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DCBF61">
      <w:pPr>
        <w:pStyle w:val="36"/>
        <w:ind w:firstLine="480"/>
        <w:jc w:val="center"/>
        <w:rPr>
          <w:color w:val="auto"/>
          <w:highlight w:val="none"/>
        </w:rPr>
      </w:pPr>
      <w:bookmarkStart w:id="0" w:name="_Toc22543"/>
      <w:r>
        <w:rPr>
          <w:color w:val="auto"/>
          <w:highlight w:val="none"/>
          <w:lang w:val="zh-CN"/>
        </w:rPr>
        <w:t>目</w:t>
      </w:r>
      <w:r>
        <w:rPr>
          <w:rFonts w:hint="eastAsia"/>
          <w:color w:val="auto"/>
          <w:highlight w:val="none"/>
          <w:lang w:val="zh-CN"/>
        </w:rPr>
        <w:t xml:space="preserve"> </w:t>
      </w:r>
      <w:r>
        <w:rPr>
          <w:color w:val="auto"/>
          <w:highlight w:val="none"/>
          <w:lang w:val="zh-CN"/>
        </w:rPr>
        <w:t>录</w:t>
      </w:r>
      <w:bookmarkEnd w:id="0"/>
    </w:p>
    <w:p w14:paraId="5A1DA648">
      <w:pPr>
        <w:pStyle w:val="19"/>
        <w:tabs>
          <w:tab w:val="right" w:leader="dot" w:pos="8306"/>
        </w:tabs>
        <w:ind w:firstLine="480"/>
        <w:rPr>
          <w:color w:val="auto"/>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color w:val="auto"/>
          <w:highlight w:val="none"/>
        </w:rPr>
        <w:instrText xml:space="preserve"> HYPERLINK \l "_Toc25703" </w:instrText>
      </w:r>
      <w:r>
        <w:rPr>
          <w:color w:val="auto"/>
          <w:highlight w:val="none"/>
        </w:rPr>
        <w:fldChar w:fldCharType="separate"/>
      </w:r>
      <w:r>
        <w:rPr>
          <w:rFonts w:hint="eastAsia"/>
          <w:color w:val="auto"/>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_Toc25703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70E75BD">
      <w:pPr>
        <w:pStyle w:val="19"/>
        <w:tabs>
          <w:tab w:val="right" w:leader="dot" w:pos="8306"/>
        </w:tabs>
        <w:ind w:firstLine="480"/>
        <w:rPr>
          <w:color w:val="auto"/>
          <w:highlight w:val="none"/>
        </w:rPr>
      </w:pPr>
      <w:r>
        <w:rPr>
          <w:color w:val="auto"/>
          <w:highlight w:val="none"/>
        </w:rPr>
        <w:fldChar w:fldCharType="begin"/>
      </w:r>
      <w:r>
        <w:rPr>
          <w:color w:val="auto"/>
          <w:highlight w:val="none"/>
        </w:rPr>
        <w:instrText xml:space="preserve"> HYPERLINK \l "_Toc20144" </w:instrText>
      </w:r>
      <w:r>
        <w:rPr>
          <w:color w:val="auto"/>
          <w:highlight w:val="none"/>
        </w:rPr>
        <w:fldChar w:fldCharType="separate"/>
      </w:r>
      <w:r>
        <w:rPr>
          <w:rFonts w:hint="eastAsia"/>
          <w:color w:val="auto"/>
          <w:highlight w:val="none"/>
        </w:rPr>
        <w:t>二、建设项目工程分析</w:t>
      </w:r>
      <w:r>
        <w:rPr>
          <w:color w:val="auto"/>
          <w:highlight w:val="none"/>
        </w:rPr>
        <w:tab/>
      </w:r>
      <w:r>
        <w:rPr>
          <w:color w:val="auto"/>
          <w:highlight w:val="none"/>
        </w:rPr>
        <w:fldChar w:fldCharType="begin"/>
      </w:r>
      <w:r>
        <w:rPr>
          <w:color w:val="auto"/>
          <w:highlight w:val="none"/>
        </w:rPr>
        <w:instrText xml:space="preserve"> PAGEREF _Toc20144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2D17936E">
      <w:pPr>
        <w:pStyle w:val="19"/>
        <w:tabs>
          <w:tab w:val="right" w:leader="dot" w:pos="8306"/>
        </w:tabs>
        <w:ind w:firstLine="480"/>
        <w:rPr>
          <w:color w:val="auto"/>
          <w:highlight w:val="none"/>
        </w:rPr>
      </w:pPr>
      <w:r>
        <w:rPr>
          <w:color w:val="auto"/>
          <w:highlight w:val="none"/>
        </w:rPr>
        <w:fldChar w:fldCharType="begin"/>
      </w:r>
      <w:r>
        <w:rPr>
          <w:color w:val="auto"/>
          <w:highlight w:val="none"/>
        </w:rPr>
        <w:instrText xml:space="preserve"> HYPERLINK \l "_Toc31593" </w:instrText>
      </w:r>
      <w:r>
        <w:rPr>
          <w:color w:val="auto"/>
          <w:highlight w:val="none"/>
        </w:rPr>
        <w:fldChar w:fldCharType="separate"/>
      </w:r>
      <w:r>
        <w:rPr>
          <w:rFonts w:hint="eastAsia"/>
          <w:color w:val="auto"/>
          <w:highlight w:val="none"/>
        </w:rPr>
        <w:t>三、区域环境质量现状、保护目标及评价标准</w:t>
      </w:r>
      <w:r>
        <w:rPr>
          <w:color w:val="auto"/>
          <w:highlight w:val="none"/>
        </w:rPr>
        <w:tab/>
      </w:r>
      <w:r>
        <w:rPr>
          <w:color w:val="auto"/>
          <w:highlight w:val="none"/>
        </w:rPr>
        <w:fldChar w:fldCharType="begin"/>
      </w:r>
      <w:r>
        <w:rPr>
          <w:color w:val="auto"/>
          <w:highlight w:val="none"/>
        </w:rPr>
        <w:instrText xml:space="preserve"> PAGEREF _Toc31593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59FCDB21">
      <w:pPr>
        <w:pStyle w:val="19"/>
        <w:tabs>
          <w:tab w:val="right" w:leader="dot" w:pos="8306"/>
        </w:tabs>
        <w:ind w:firstLine="480"/>
        <w:rPr>
          <w:color w:val="auto"/>
          <w:highlight w:val="none"/>
        </w:rPr>
      </w:pPr>
      <w:r>
        <w:rPr>
          <w:color w:val="auto"/>
          <w:highlight w:val="none"/>
        </w:rPr>
        <w:fldChar w:fldCharType="begin"/>
      </w:r>
      <w:r>
        <w:rPr>
          <w:color w:val="auto"/>
          <w:highlight w:val="none"/>
        </w:rPr>
        <w:instrText xml:space="preserve"> HYPERLINK \l "_Toc11318" </w:instrText>
      </w:r>
      <w:r>
        <w:rPr>
          <w:color w:val="auto"/>
          <w:highlight w:val="none"/>
        </w:rPr>
        <w:fldChar w:fldCharType="separate"/>
      </w:r>
      <w:r>
        <w:rPr>
          <w:rFonts w:hint="eastAsia"/>
          <w:color w:val="auto"/>
          <w:highlight w:val="none"/>
        </w:rPr>
        <w:t>四、主要环境影响和保护措施</w:t>
      </w:r>
      <w:r>
        <w:rPr>
          <w:color w:val="auto"/>
          <w:highlight w:val="none"/>
        </w:rPr>
        <w:tab/>
      </w:r>
      <w:r>
        <w:rPr>
          <w:color w:val="auto"/>
          <w:highlight w:val="none"/>
        </w:rPr>
        <w:fldChar w:fldCharType="begin"/>
      </w:r>
      <w:r>
        <w:rPr>
          <w:color w:val="auto"/>
          <w:highlight w:val="none"/>
        </w:rPr>
        <w:instrText xml:space="preserve"> PAGEREF _Toc11318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2FC4FD0C">
      <w:pPr>
        <w:pStyle w:val="19"/>
        <w:tabs>
          <w:tab w:val="right" w:leader="dot" w:pos="8306"/>
        </w:tabs>
        <w:ind w:firstLine="480"/>
        <w:rPr>
          <w:color w:val="auto"/>
          <w:highlight w:val="none"/>
        </w:rPr>
      </w:pPr>
      <w:r>
        <w:rPr>
          <w:color w:val="auto"/>
          <w:highlight w:val="none"/>
        </w:rPr>
        <w:fldChar w:fldCharType="begin"/>
      </w:r>
      <w:r>
        <w:rPr>
          <w:color w:val="auto"/>
          <w:highlight w:val="none"/>
        </w:rPr>
        <w:instrText xml:space="preserve"> HYPERLINK \l "_Toc18391" </w:instrText>
      </w:r>
      <w:r>
        <w:rPr>
          <w:color w:val="auto"/>
          <w:highlight w:val="none"/>
        </w:rPr>
        <w:fldChar w:fldCharType="separate"/>
      </w:r>
      <w:r>
        <w:rPr>
          <w:rFonts w:hint="eastAsia"/>
          <w:color w:val="auto"/>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_Toc18391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16B6B3B8">
      <w:pPr>
        <w:pStyle w:val="19"/>
        <w:tabs>
          <w:tab w:val="right" w:leader="dot" w:pos="8306"/>
        </w:tabs>
        <w:ind w:firstLine="480"/>
        <w:rPr>
          <w:color w:val="auto"/>
          <w:highlight w:val="none"/>
        </w:rPr>
      </w:pPr>
      <w:r>
        <w:rPr>
          <w:color w:val="auto"/>
          <w:highlight w:val="none"/>
        </w:rPr>
        <w:fldChar w:fldCharType="begin"/>
      </w:r>
      <w:r>
        <w:rPr>
          <w:color w:val="auto"/>
          <w:highlight w:val="none"/>
        </w:rPr>
        <w:instrText xml:space="preserve"> HYPERLINK \l "_Toc12811" </w:instrText>
      </w:r>
      <w:r>
        <w:rPr>
          <w:color w:val="auto"/>
          <w:highlight w:val="none"/>
        </w:rPr>
        <w:fldChar w:fldCharType="separate"/>
      </w:r>
      <w:r>
        <w:rPr>
          <w:rFonts w:hint="eastAsia" w:ascii="宋体" w:hAnsi="宋体"/>
          <w:color w:val="auto"/>
          <w:highlight w:val="none"/>
        </w:rPr>
        <w:t>六、</w:t>
      </w:r>
      <w:r>
        <w:rPr>
          <w:rFonts w:ascii="宋体" w:hAnsi="宋体"/>
          <w:color w:val="auto"/>
          <w:highlight w:val="none"/>
        </w:rPr>
        <w:t>结论</w:t>
      </w:r>
      <w:r>
        <w:rPr>
          <w:color w:val="auto"/>
          <w:highlight w:val="none"/>
        </w:rPr>
        <w:tab/>
      </w:r>
      <w:r>
        <w:rPr>
          <w:color w:val="auto"/>
          <w:highlight w:val="none"/>
        </w:rPr>
        <w:fldChar w:fldCharType="begin"/>
      </w:r>
      <w:r>
        <w:rPr>
          <w:color w:val="auto"/>
          <w:highlight w:val="none"/>
        </w:rPr>
        <w:instrText xml:space="preserve"> PAGEREF _Toc12811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64515777">
      <w:pPr>
        <w:ind w:firstLine="480"/>
        <w:rPr>
          <w:color w:val="auto"/>
          <w:highlight w:val="none"/>
        </w:rPr>
      </w:pPr>
      <w:r>
        <w:rPr>
          <w:bCs/>
          <w:color w:val="auto"/>
          <w:highlight w:val="none"/>
          <w:lang w:val="zh-CN"/>
        </w:rPr>
        <w:fldChar w:fldCharType="end"/>
      </w:r>
    </w:p>
    <w:p w14:paraId="06F14A20">
      <w:pPr>
        <w:ind w:firstLine="480"/>
        <w:rPr>
          <w:color w:val="auto"/>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B81656C">
      <w:pPr>
        <w:pStyle w:val="9"/>
        <w:ind w:left="0" w:leftChars="0" w:firstLine="0" w:firstLineChars="0"/>
        <w:rPr>
          <w:rFonts w:hint="eastAsia"/>
          <w:color w:val="auto"/>
          <w:highlight w:val="none"/>
          <w:lang w:val="en-US" w:eastAsia="zh-CN"/>
        </w:rPr>
      </w:pPr>
      <w:r>
        <w:rPr>
          <w:rFonts w:hint="eastAsia"/>
          <w:color w:val="auto"/>
          <w:highlight w:val="none"/>
          <w:lang w:val="en-US" w:eastAsia="zh-CN"/>
        </w:rPr>
        <w:t>附表：建设项目污染物排放量汇总表</w:t>
      </w:r>
    </w:p>
    <w:p w14:paraId="08FA9735">
      <w:pPr>
        <w:ind w:left="0" w:leftChars="0" w:firstLine="0" w:firstLineChars="0"/>
        <w:rPr>
          <w:rFonts w:hint="eastAsia"/>
          <w:color w:val="auto"/>
          <w:highlight w:val="none"/>
        </w:rPr>
      </w:pPr>
    </w:p>
    <w:p w14:paraId="34D50CE9">
      <w:pPr>
        <w:ind w:left="0" w:leftChars="0" w:firstLine="0" w:firstLineChars="0"/>
        <w:rPr>
          <w:rFonts w:hint="eastAsia"/>
          <w:color w:val="auto"/>
          <w:highlight w:val="none"/>
        </w:rPr>
      </w:pPr>
      <w:r>
        <w:rPr>
          <w:rFonts w:hint="eastAsia"/>
          <w:color w:val="auto"/>
          <w:highlight w:val="none"/>
        </w:rPr>
        <w:t>附件：</w:t>
      </w:r>
    </w:p>
    <w:p w14:paraId="7674ECB3">
      <w:pPr>
        <w:ind w:left="0" w:leftChars="0" w:firstLine="0" w:firstLineChars="0"/>
        <w:rPr>
          <w:rFonts w:hint="eastAsia"/>
          <w:color w:val="auto"/>
          <w:highlight w:val="none"/>
        </w:rPr>
      </w:pPr>
      <w:r>
        <w:rPr>
          <w:rFonts w:hint="eastAsia"/>
          <w:color w:val="auto"/>
          <w:highlight w:val="none"/>
        </w:rPr>
        <w:t>附件1 委托书</w:t>
      </w:r>
    </w:p>
    <w:p w14:paraId="19A22FDB">
      <w:pPr>
        <w:pStyle w:val="9"/>
        <w:ind w:left="0" w:leftChars="0" w:firstLine="0" w:firstLineChars="0"/>
        <w:rPr>
          <w:rFonts w:hint="default" w:eastAsia="宋体"/>
          <w:color w:val="auto"/>
          <w:highlight w:val="none"/>
          <w:lang w:val="en-US" w:eastAsia="zh-CN"/>
        </w:rPr>
      </w:pPr>
      <w:r>
        <w:rPr>
          <w:rFonts w:hint="eastAsia"/>
          <w:color w:val="auto"/>
          <w:highlight w:val="none"/>
        </w:rPr>
        <w:t>附件</w:t>
      </w:r>
      <w:r>
        <w:rPr>
          <w:rFonts w:hint="eastAsia"/>
          <w:color w:val="auto"/>
          <w:highlight w:val="none"/>
          <w:lang w:val="en-US" w:eastAsia="zh-CN"/>
        </w:rPr>
        <w:t>2 营业执照</w:t>
      </w:r>
    </w:p>
    <w:p w14:paraId="6C9D66F7">
      <w:pPr>
        <w:pStyle w:val="9"/>
        <w:ind w:left="0" w:leftChars="0" w:firstLine="0" w:firstLineChars="0"/>
        <w:rPr>
          <w:rFonts w:hint="eastAsia"/>
          <w:color w:val="auto"/>
          <w:highlight w:val="none"/>
          <w:lang w:val="en-US" w:eastAsia="zh-CN"/>
        </w:rPr>
      </w:pPr>
      <w:r>
        <w:rPr>
          <w:rFonts w:hint="eastAsia"/>
          <w:color w:val="auto"/>
          <w:highlight w:val="none"/>
          <w:lang w:val="en-US" w:eastAsia="zh-CN"/>
        </w:rPr>
        <w:t>附件</w:t>
      </w:r>
      <w:r>
        <w:rPr>
          <w:rFonts w:hint="eastAsia"/>
          <w:color w:val="auto"/>
          <w:highlight w:val="none"/>
        </w:rPr>
        <w:t>3</w:t>
      </w:r>
      <w:r>
        <w:rPr>
          <w:rFonts w:hint="eastAsia"/>
          <w:color w:val="auto"/>
          <w:highlight w:val="none"/>
          <w:lang w:val="en-US" w:eastAsia="zh-CN"/>
        </w:rPr>
        <w:t xml:space="preserve"> 项目备案证</w:t>
      </w:r>
      <w:r>
        <w:rPr>
          <w:rFonts w:hint="eastAsia"/>
          <w:color w:val="auto"/>
          <w:highlight w:val="none"/>
        </w:rPr>
        <w:t xml:space="preserve"> </w:t>
      </w:r>
    </w:p>
    <w:p w14:paraId="4856219D">
      <w:pPr>
        <w:ind w:left="0" w:leftChars="0" w:firstLine="0" w:firstLineChars="0"/>
        <w:rPr>
          <w:rFonts w:hint="eastAsia"/>
          <w:color w:val="auto"/>
          <w:highlight w:val="none"/>
          <w:lang w:val="en-US" w:eastAsia="zh-CN"/>
        </w:rPr>
      </w:pPr>
      <w:r>
        <w:rPr>
          <w:rFonts w:hint="eastAsia"/>
          <w:color w:val="auto"/>
          <w:highlight w:val="none"/>
          <w:lang w:val="en-US" w:eastAsia="zh-CN"/>
        </w:rPr>
        <w:t>附件4 土地证</w:t>
      </w:r>
    </w:p>
    <w:p w14:paraId="508F0106">
      <w:pPr>
        <w:ind w:left="0" w:leftChars="0" w:firstLine="0" w:firstLineChars="0"/>
        <w:rPr>
          <w:rFonts w:hint="default"/>
          <w:color w:val="auto"/>
          <w:highlight w:val="none"/>
          <w:lang w:val="en-US" w:eastAsia="zh-CN"/>
        </w:rPr>
      </w:pPr>
      <w:r>
        <w:rPr>
          <w:rFonts w:hint="eastAsia"/>
          <w:color w:val="auto"/>
          <w:highlight w:val="none"/>
          <w:lang w:val="en-US" w:eastAsia="zh-CN"/>
        </w:rPr>
        <w:t>附件5 入园证明</w:t>
      </w:r>
    </w:p>
    <w:p w14:paraId="4084540F">
      <w:pPr>
        <w:pStyle w:val="9"/>
        <w:ind w:left="0" w:lef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附件6 使用林地审核同意书</w:t>
      </w:r>
    </w:p>
    <w:p w14:paraId="3200E9C8">
      <w:pPr>
        <w:pStyle w:val="9"/>
        <w:ind w:left="0" w:lef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附件7 芒市自然资源局规划意见</w:t>
      </w:r>
    </w:p>
    <w:p w14:paraId="4E0C3100">
      <w:pPr>
        <w:pStyle w:val="9"/>
        <w:ind w:left="0" w:lef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附件8 芒市水利局关于项目水保方案行政许可申请的决定书</w:t>
      </w:r>
    </w:p>
    <w:p w14:paraId="037B3700">
      <w:pPr>
        <w:ind w:left="0" w:leftChars="0" w:firstLine="0" w:firstLineChars="0"/>
        <w:rPr>
          <w:rFonts w:hint="default"/>
          <w:color w:val="auto"/>
          <w:highlight w:val="none"/>
          <w:lang w:val="en-US" w:eastAsia="zh-CN"/>
        </w:rPr>
      </w:pPr>
      <w:r>
        <w:rPr>
          <w:rFonts w:hint="eastAsia"/>
          <w:color w:val="auto"/>
          <w:highlight w:val="none"/>
          <w:lang w:val="en-US" w:eastAsia="zh-CN"/>
        </w:rPr>
        <w:t>附件9 原环评批复</w:t>
      </w:r>
    </w:p>
    <w:p w14:paraId="65D2A0EE">
      <w:pPr>
        <w:ind w:left="0" w:leftChars="0" w:firstLine="0" w:firstLineChars="0"/>
        <w:rPr>
          <w:rFonts w:hint="default"/>
          <w:color w:val="auto"/>
          <w:highlight w:val="none"/>
          <w:lang w:val="en-US" w:eastAsia="zh-CN"/>
        </w:rPr>
      </w:pPr>
      <w:r>
        <w:rPr>
          <w:rFonts w:hint="eastAsia"/>
          <w:color w:val="auto"/>
          <w:highlight w:val="none"/>
          <w:lang w:val="en-US" w:eastAsia="zh-CN"/>
        </w:rPr>
        <w:t>附件10项目区现状监测报告</w:t>
      </w:r>
    </w:p>
    <w:p w14:paraId="2834D734">
      <w:pPr>
        <w:ind w:left="0" w:leftChars="0" w:firstLine="0" w:firstLineChars="0"/>
        <w:rPr>
          <w:rFonts w:hint="eastAsia"/>
          <w:color w:val="auto"/>
          <w:highlight w:val="none"/>
        </w:rPr>
      </w:pPr>
    </w:p>
    <w:p w14:paraId="2BEA30F9">
      <w:pPr>
        <w:ind w:left="0" w:leftChars="0" w:firstLine="0" w:firstLineChars="0"/>
        <w:rPr>
          <w:rFonts w:hint="eastAsia"/>
          <w:color w:val="auto"/>
          <w:highlight w:val="none"/>
        </w:rPr>
      </w:pPr>
      <w:r>
        <w:rPr>
          <w:rFonts w:hint="eastAsia"/>
          <w:color w:val="auto"/>
          <w:highlight w:val="none"/>
        </w:rPr>
        <w:t>附图：</w:t>
      </w:r>
    </w:p>
    <w:p w14:paraId="6FFE0079">
      <w:pPr>
        <w:ind w:left="0" w:leftChars="0" w:firstLine="0" w:firstLineChars="0"/>
        <w:rPr>
          <w:rFonts w:hint="eastAsia"/>
          <w:color w:val="auto"/>
          <w:highlight w:val="none"/>
        </w:rPr>
      </w:pPr>
      <w:r>
        <w:rPr>
          <w:rFonts w:hint="eastAsia"/>
          <w:color w:val="auto"/>
          <w:highlight w:val="none"/>
        </w:rPr>
        <w:t xml:space="preserve">附图1 </w:t>
      </w:r>
      <w:r>
        <w:rPr>
          <w:rFonts w:hint="eastAsia"/>
          <w:color w:val="auto"/>
          <w:highlight w:val="none"/>
          <w:lang w:val="en-US" w:eastAsia="zh-CN"/>
        </w:rPr>
        <w:t>项目平面布置图</w:t>
      </w:r>
    </w:p>
    <w:p w14:paraId="1B58AB1A">
      <w:pPr>
        <w:ind w:left="0" w:leftChars="0" w:firstLine="0" w:firstLineChars="0"/>
        <w:rPr>
          <w:rFonts w:hint="eastAsia"/>
          <w:color w:val="auto"/>
          <w:highlight w:val="none"/>
        </w:rPr>
      </w:pPr>
      <w:r>
        <w:rPr>
          <w:rFonts w:hint="eastAsia"/>
          <w:color w:val="auto"/>
          <w:highlight w:val="none"/>
        </w:rPr>
        <w:t>附图2 地理位置图</w:t>
      </w:r>
    </w:p>
    <w:p w14:paraId="444DAD79">
      <w:pPr>
        <w:ind w:left="0" w:leftChars="0" w:firstLine="0" w:firstLineChars="0"/>
        <w:rPr>
          <w:rFonts w:hint="default" w:eastAsia="宋体"/>
          <w:color w:val="auto"/>
          <w:highlight w:val="none"/>
          <w:lang w:val="en-US" w:eastAsia="zh-CN"/>
        </w:rPr>
      </w:pPr>
      <w:r>
        <w:rPr>
          <w:rFonts w:hint="eastAsia"/>
          <w:color w:val="auto"/>
          <w:highlight w:val="none"/>
          <w:lang w:val="en-US" w:eastAsia="zh-CN"/>
        </w:rPr>
        <w:t>附图3 项目区水系图</w:t>
      </w:r>
    </w:p>
    <w:p w14:paraId="5BC6EAA6">
      <w:pPr>
        <w:ind w:left="0" w:leftChars="0" w:firstLine="0" w:firstLineChars="0"/>
        <w:rPr>
          <w:rFonts w:hint="default"/>
          <w:color w:val="auto"/>
          <w:highlight w:val="none"/>
          <w:lang w:val="en-US" w:eastAsia="zh-CN"/>
        </w:rPr>
      </w:pPr>
      <w:r>
        <w:rPr>
          <w:rFonts w:hint="eastAsia"/>
          <w:color w:val="auto"/>
          <w:highlight w:val="none"/>
        </w:rPr>
        <w:t>附图</w:t>
      </w:r>
      <w:r>
        <w:rPr>
          <w:rFonts w:hint="eastAsia"/>
          <w:color w:val="auto"/>
          <w:highlight w:val="none"/>
          <w:lang w:val="en-US" w:eastAsia="zh-CN"/>
        </w:rPr>
        <w:t>4 项目评价范围及周边关系图</w:t>
      </w:r>
    </w:p>
    <w:p w14:paraId="4177680D">
      <w:pPr>
        <w:pStyle w:val="9"/>
        <w:ind w:left="0" w:leftChars="0" w:firstLine="0" w:firstLineChars="0"/>
        <w:rPr>
          <w:rFonts w:hint="eastAsia"/>
          <w:color w:val="auto"/>
          <w:highlight w:val="none"/>
          <w:lang w:val="en-US" w:eastAsia="zh-CN"/>
        </w:rPr>
      </w:pPr>
      <w:r>
        <w:rPr>
          <w:rFonts w:hint="default"/>
          <w:color w:val="auto"/>
          <w:highlight w:val="none"/>
          <w:lang w:val="en-US" w:eastAsia="zh-CN"/>
        </w:rPr>
        <w:t>附图5 项目</w:t>
      </w:r>
      <w:r>
        <w:rPr>
          <w:rFonts w:hint="eastAsia"/>
          <w:color w:val="auto"/>
          <w:highlight w:val="none"/>
          <w:lang w:val="en-US" w:eastAsia="zh-CN"/>
        </w:rPr>
        <w:t>与园区位置关系图</w:t>
      </w:r>
    </w:p>
    <w:p w14:paraId="1D94AF4C">
      <w:pPr>
        <w:pStyle w:val="9"/>
        <w:ind w:left="0" w:leftChars="0" w:firstLine="0" w:firstLineChars="0"/>
        <w:rPr>
          <w:rFonts w:hint="eastAsia" w:ascii="Times New Roman" w:hAnsi="Times New Roman" w:eastAsia="宋体" w:cs="Times New Roman"/>
          <w:color w:val="auto"/>
          <w:highlight w:val="none"/>
          <w:lang w:val="en-US" w:eastAsia="zh-CN"/>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color w:val="auto"/>
          <w:highlight w:val="none"/>
          <w:lang w:val="en-US" w:eastAsia="zh-CN"/>
        </w:rPr>
        <w:t>附图</w:t>
      </w:r>
      <w:bookmarkStart w:id="1" w:name="_Toc25703"/>
      <w:r>
        <w:rPr>
          <w:rFonts w:hint="eastAsia"/>
          <w:color w:val="auto"/>
          <w:highlight w:val="none"/>
          <w:lang w:val="en-US" w:eastAsia="zh-CN"/>
        </w:rPr>
        <w:t xml:space="preserve">6 </w:t>
      </w:r>
      <w:r>
        <w:rPr>
          <w:rFonts w:hint="eastAsia" w:ascii="Times New Roman" w:hAnsi="Times New Roman" w:eastAsia="宋体" w:cs="Times New Roman"/>
          <w:color w:val="auto"/>
          <w:highlight w:val="none"/>
          <w:lang w:val="en-US" w:eastAsia="zh-CN"/>
        </w:rPr>
        <w:t>现状监测布点图</w:t>
      </w:r>
    </w:p>
    <w:p w14:paraId="12E46869">
      <w:pPr>
        <w:pStyle w:val="5"/>
        <w:jc w:val="center"/>
        <w:rPr>
          <w:color w:val="auto"/>
          <w:highlight w:val="none"/>
        </w:rPr>
      </w:pPr>
      <w:r>
        <w:rPr>
          <w:rFonts w:hint="eastAsia"/>
          <w:color w:val="auto"/>
          <w:highlight w:val="none"/>
        </w:rPr>
        <w:t>一、建设项目基本情况</w:t>
      </w:r>
      <w:bookmarkEnd w:id="1"/>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297"/>
        <w:gridCol w:w="2499"/>
        <w:gridCol w:w="1828"/>
        <w:gridCol w:w="2796"/>
      </w:tblGrid>
      <w:tr w14:paraId="0067A7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48" w:hRule="atLeast"/>
          <w:jc w:val="center"/>
        </w:trPr>
        <w:tc>
          <w:tcPr>
            <w:tcW w:w="1297" w:type="dxa"/>
            <w:vAlign w:val="center"/>
          </w:tcPr>
          <w:p w14:paraId="50D5F54D">
            <w:pPr>
              <w:spacing w:line="240" w:lineRule="auto"/>
              <w:ind w:firstLine="0" w:firstLineChars="0"/>
              <w:jc w:val="center"/>
              <w:rPr>
                <w:color w:val="auto"/>
                <w:highlight w:val="none"/>
              </w:rPr>
            </w:pPr>
            <w:r>
              <w:rPr>
                <w:rFonts w:hAnsi="宋体"/>
                <w:color w:val="auto"/>
                <w:highlight w:val="none"/>
              </w:rPr>
              <w:t>项目名称</w:t>
            </w:r>
          </w:p>
        </w:tc>
        <w:tc>
          <w:tcPr>
            <w:tcW w:w="7123" w:type="dxa"/>
            <w:gridSpan w:val="3"/>
            <w:vAlign w:val="center"/>
          </w:tcPr>
          <w:p w14:paraId="5C3B5EBD">
            <w:pPr>
              <w:spacing w:line="240" w:lineRule="auto"/>
              <w:ind w:firstLine="0" w:firstLineChars="0"/>
              <w:jc w:val="center"/>
              <w:rPr>
                <w:rFonts w:hint="eastAsia" w:eastAsia="宋体"/>
                <w:color w:val="auto"/>
                <w:szCs w:val="24"/>
                <w:highlight w:val="none"/>
                <w:lang w:eastAsia="zh-CN"/>
              </w:rPr>
            </w:pPr>
            <w:r>
              <w:rPr>
                <w:rFonts w:hint="default" w:ascii="Times New Roman" w:hAnsi="Times New Roman" w:cs="Times New Roman"/>
                <w:color w:val="auto"/>
                <w:sz w:val="24"/>
              </w:rPr>
              <w:t>瑞丽市富康路桥工程有限公司新型墙材厂及沥青混凝土拌合站项目（一期）</w:t>
            </w:r>
          </w:p>
        </w:tc>
      </w:tr>
      <w:tr w14:paraId="60F5EE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88" w:hRule="atLeast"/>
          <w:jc w:val="center"/>
        </w:trPr>
        <w:tc>
          <w:tcPr>
            <w:tcW w:w="1297" w:type="dxa"/>
            <w:vAlign w:val="center"/>
          </w:tcPr>
          <w:p w14:paraId="5F9740DC">
            <w:pPr>
              <w:spacing w:line="240" w:lineRule="auto"/>
              <w:ind w:firstLine="0" w:firstLineChars="0"/>
              <w:jc w:val="center"/>
              <w:rPr>
                <w:rFonts w:hint="eastAsia" w:hAnsi="宋体" w:eastAsia="宋体"/>
                <w:color w:val="auto"/>
                <w:highlight w:val="none"/>
                <w:lang w:val="en-US" w:eastAsia="zh-CN"/>
              </w:rPr>
            </w:pPr>
            <w:r>
              <w:rPr>
                <w:rFonts w:hint="eastAsia" w:hAnsi="宋体"/>
                <w:color w:val="auto"/>
                <w:highlight w:val="none"/>
                <w:lang w:val="en-US" w:eastAsia="zh-CN"/>
              </w:rPr>
              <w:t>建设单位</w:t>
            </w:r>
          </w:p>
        </w:tc>
        <w:tc>
          <w:tcPr>
            <w:tcW w:w="7123" w:type="dxa"/>
            <w:gridSpan w:val="3"/>
            <w:vAlign w:val="center"/>
          </w:tcPr>
          <w:p w14:paraId="45EAA5A0">
            <w:pPr>
              <w:spacing w:line="240" w:lineRule="auto"/>
              <w:ind w:firstLine="0" w:firstLineChars="0"/>
              <w:jc w:val="center"/>
              <w:rPr>
                <w:rFonts w:hint="default" w:eastAsia="宋体"/>
                <w:color w:val="auto"/>
                <w:szCs w:val="21"/>
                <w:lang w:val="en-US" w:eastAsia="zh-CN"/>
              </w:rPr>
            </w:pPr>
            <w:r>
              <w:rPr>
                <w:rFonts w:hint="default" w:ascii="Times New Roman" w:hAnsi="Times New Roman" w:cs="Times New Roman"/>
                <w:color w:val="auto"/>
                <w:sz w:val="24"/>
              </w:rPr>
              <w:t>瑞丽市富康路桥工程有限公司</w:t>
            </w:r>
          </w:p>
        </w:tc>
      </w:tr>
      <w:tr w14:paraId="002B71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4" w:hRule="atLeast"/>
          <w:jc w:val="center"/>
        </w:trPr>
        <w:tc>
          <w:tcPr>
            <w:tcW w:w="1297" w:type="dxa"/>
            <w:vAlign w:val="center"/>
          </w:tcPr>
          <w:p w14:paraId="7E439FEC">
            <w:pPr>
              <w:spacing w:line="240" w:lineRule="auto"/>
              <w:ind w:firstLine="0" w:firstLineChars="0"/>
              <w:jc w:val="center"/>
              <w:rPr>
                <w:color w:val="auto"/>
                <w:highlight w:val="none"/>
              </w:rPr>
            </w:pPr>
            <w:r>
              <w:rPr>
                <w:rFonts w:hint="eastAsia" w:hAnsi="宋体"/>
                <w:color w:val="auto"/>
                <w:highlight w:val="none"/>
              </w:rPr>
              <w:t>项目代码</w:t>
            </w:r>
          </w:p>
        </w:tc>
        <w:tc>
          <w:tcPr>
            <w:tcW w:w="7123" w:type="dxa"/>
            <w:gridSpan w:val="3"/>
            <w:vAlign w:val="center"/>
          </w:tcPr>
          <w:p w14:paraId="42B35D4C">
            <w:pPr>
              <w:spacing w:line="240" w:lineRule="auto"/>
              <w:ind w:firstLine="0" w:firstLineChars="0"/>
              <w:jc w:val="center"/>
              <w:rPr>
                <w:rFonts w:hint="default" w:eastAsia="宋体"/>
                <w:color w:val="auto"/>
                <w:szCs w:val="24"/>
                <w:highlight w:val="none"/>
                <w:lang w:val="en-US" w:eastAsia="zh-CN"/>
              </w:rPr>
            </w:pPr>
            <w:r>
              <w:rPr>
                <w:rFonts w:hint="eastAsia"/>
                <w:color w:val="auto"/>
                <w:szCs w:val="24"/>
                <w:highlight w:val="none"/>
                <w:lang w:eastAsia="zh-CN"/>
              </w:rPr>
              <w:t>2</w:t>
            </w:r>
            <w:r>
              <w:rPr>
                <w:rFonts w:hint="eastAsia"/>
                <w:color w:val="auto"/>
                <w:szCs w:val="24"/>
                <w:highlight w:val="none"/>
                <w:lang w:val="en-US" w:eastAsia="zh-CN"/>
              </w:rPr>
              <w:t>019-</w:t>
            </w:r>
            <w:r>
              <w:rPr>
                <w:rFonts w:hint="eastAsia"/>
                <w:color w:val="auto"/>
                <w:szCs w:val="24"/>
                <w:highlight w:val="none"/>
                <w:lang w:eastAsia="zh-CN"/>
              </w:rPr>
              <w:t>53</w:t>
            </w:r>
            <w:r>
              <w:rPr>
                <w:rFonts w:hint="eastAsia"/>
                <w:color w:val="auto"/>
                <w:szCs w:val="24"/>
                <w:highlight w:val="none"/>
                <w:lang w:val="en-US" w:eastAsia="zh-CN"/>
              </w:rPr>
              <w:t>3103</w:t>
            </w:r>
            <w:r>
              <w:rPr>
                <w:rFonts w:hint="eastAsia"/>
                <w:color w:val="auto"/>
                <w:szCs w:val="24"/>
                <w:highlight w:val="none"/>
                <w:lang w:eastAsia="zh-CN"/>
              </w:rPr>
              <w:t>-</w:t>
            </w:r>
            <w:r>
              <w:rPr>
                <w:rFonts w:hint="eastAsia"/>
                <w:color w:val="auto"/>
                <w:szCs w:val="24"/>
                <w:highlight w:val="none"/>
                <w:lang w:val="en-US" w:eastAsia="zh-CN"/>
              </w:rPr>
              <w:t>41</w:t>
            </w:r>
            <w:r>
              <w:rPr>
                <w:rFonts w:hint="eastAsia"/>
                <w:color w:val="auto"/>
                <w:szCs w:val="24"/>
                <w:highlight w:val="none"/>
                <w:lang w:eastAsia="zh-CN"/>
              </w:rPr>
              <w:t>-0</w:t>
            </w:r>
            <w:r>
              <w:rPr>
                <w:rFonts w:hint="eastAsia"/>
                <w:color w:val="auto"/>
                <w:szCs w:val="24"/>
                <w:highlight w:val="none"/>
                <w:lang w:val="en-US" w:eastAsia="zh-CN"/>
              </w:rPr>
              <w:t>3</w:t>
            </w:r>
            <w:r>
              <w:rPr>
                <w:rFonts w:hint="eastAsia"/>
                <w:color w:val="auto"/>
                <w:szCs w:val="24"/>
                <w:highlight w:val="none"/>
                <w:lang w:eastAsia="zh-CN"/>
              </w:rPr>
              <w:t>-</w:t>
            </w:r>
            <w:r>
              <w:rPr>
                <w:rFonts w:hint="eastAsia"/>
                <w:color w:val="auto"/>
                <w:szCs w:val="24"/>
                <w:highlight w:val="none"/>
                <w:lang w:val="en-US" w:eastAsia="zh-CN"/>
              </w:rPr>
              <w:t>033957</w:t>
            </w:r>
          </w:p>
        </w:tc>
      </w:tr>
      <w:tr w14:paraId="3AC47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14" w:hRule="atLeast"/>
          <w:jc w:val="center"/>
        </w:trPr>
        <w:tc>
          <w:tcPr>
            <w:tcW w:w="1297" w:type="dxa"/>
            <w:vAlign w:val="center"/>
          </w:tcPr>
          <w:p w14:paraId="73960B8A">
            <w:pPr>
              <w:spacing w:line="240" w:lineRule="auto"/>
              <w:ind w:firstLine="0" w:firstLineChars="0"/>
              <w:jc w:val="center"/>
              <w:rPr>
                <w:color w:val="auto"/>
                <w:highlight w:val="none"/>
              </w:rPr>
            </w:pPr>
            <w:r>
              <w:rPr>
                <w:rFonts w:hint="eastAsia" w:hAnsi="宋体"/>
                <w:color w:val="auto"/>
                <w:highlight w:val="none"/>
              </w:rPr>
              <w:t>建设单位联系人</w:t>
            </w:r>
          </w:p>
        </w:tc>
        <w:tc>
          <w:tcPr>
            <w:tcW w:w="2499" w:type="dxa"/>
            <w:vAlign w:val="center"/>
          </w:tcPr>
          <w:p w14:paraId="775FBC45">
            <w:pPr>
              <w:keepNext w:val="0"/>
              <w:keepLines w:val="0"/>
              <w:widowControl/>
              <w:suppressLineNumbers w:val="0"/>
              <w:ind w:firstLine="960" w:firstLineChars="400"/>
              <w:jc w:val="left"/>
              <w:rPr>
                <w:rFonts w:hint="default" w:ascii="Times New Roman" w:hAnsi="Times New Roman" w:cs="Times New Roman"/>
                <w:color w:val="auto"/>
                <w:sz w:val="24"/>
                <w:lang w:val="en-US" w:eastAsia="zh-CN"/>
              </w:rPr>
            </w:pPr>
            <w:r>
              <w:rPr>
                <w:rFonts w:hint="eastAsia" w:ascii="Times New Roman" w:hAnsi="Times New Roman" w:cs="Times New Roman"/>
                <w:color w:val="auto"/>
                <w:sz w:val="24"/>
              </w:rPr>
              <w:t>杨恩鹏</w:t>
            </w:r>
          </w:p>
        </w:tc>
        <w:tc>
          <w:tcPr>
            <w:tcW w:w="1828" w:type="dxa"/>
            <w:vAlign w:val="center"/>
          </w:tcPr>
          <w:p w14:paraId="617AE63D">
            <w:pPr>
              <w:keepNext w:val="0"/>
              <w:keepLines w:val="0"/>
              <w:widowControl/>
              <w:suppressLineNumbers w:val="0"/>
              <w:jc w:val="left"/>
              <w:rPr>
                <w:rFonts w:hint="default" w:ascii="Times New Roman" w:hAnsi="Times New Roman" w:cs="Times New Roman"/>
                <w:color w:val="auto"/>
                <w:sz w:val="24"/>
              </w:rPr>
            </w:pPr>
            <w:r>
              <w:rPr>
                <w:rFonts w:hint="eastAsia" w:ascii="Times New Roman" w:hAnsi="Times New Roman" w:cs="Times New Roman"/>
                <w:color w:val="auto"/>
                <w:sz w:val="24"/>
              </w:rPr>
              <w:t>联系方式</w:t>
            </w:r>
          </w:p>
        </w:tc>
        <w:tc>
          <w:tcPr>
            <w:tcW w:w="2796" w:type="dxa"/>
            <w:vAlign w:val="center"/>
          </w:tcPr>
          <w:p w14:paraId="09A2862C">
            <w:pPr>
              <w:keepNext w:val="0"/>
              <w:keepLines w:val="0"/>
              <w:widowControl/>
              <w:suppressLineNumbers w:val="0"/>
              <w:ind w:firstLine="960" w:firstLineChars="400"/>
              <w:jc w:val="left"/>
              <w:rPr>
                <w:rFonts w:hint="default" w:ascii="Times New Roman" w:hAnsi="Times New Roman" w:cs="Times New Roman"/>
                <w:color w:val="auto"/>
                <w:sz w:val="24"/>
                <w:lang w:val="en-US" w:eastAsia="zh-CN"/>
              </w:rPr>
            </w:pPr>
            <w:r>
              <w:rPr>
                <w:rFonts w:hint="eastAsia" w:ascii="Times New Roman" w:hAnsi="Times New Roman" w:cs="Times New Roman"/>
                <w:color w:val="auto"/>
                <w:sz w:val="24"/>
              </w:rPr>
              <w:t>136</w:t>
            </w:r>
            <w:r>
              <w:rPr>
                <w:rFonts w:hint="eastAsia" w:cs="Times New Roman"/>
                <w:color w:val="auto"/>
                <w:sz w:val="24"/>
                <w:lang w:val="en-US" w:eastAsia="zh-CN"/>
              </w:rPr>
              <w:t>******</w:t>
            </w:r>
            <w:r>
              <w:rPr>
                <w:rFonts w:hint="eastAsia" w:ascii="Times New Roman" w:hAnsi="Times New Roman" w:cs="Times New Roman"/>
                <w:color w:val="auto"/>
                <w:sz w:val="24"/>
              </w:rPr>
              <w:t>73</w:t>
            </w:r>
          </w:p>
        </w:tc>
      </w:tr>
      <w:tr w14:paraId="203B8F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29" w:hRule="atLeast"/>
          <w:jc w:val="center"/>
        </w:trPr>
        <w:tc>
          <w:tcPr>
            <w:tcW w:w="1297" w:type="dxa"/>
            <w:vAlign w:val="center"/>
          </w:tcPr>
          <w:p w14:paraId="18914187">
            <w:pPr>
              <w:spacing w:line="240" w:lineRule="auto"/>
              <w:ind w:firstLine="0" w:firstLineChars="0"/>
              <w:jc w:val="center"/>
              <w:rPr>
                <w:color w:val="auto"/>
                <w:highlight w:val="none"/>
              </w:rPr>
            </w:pPr>
            <w:r>
              <w:rPr>
                <w:rFonts w:hint="eastAsia" w:hAnsi="宋体"/>
                <w:color w:val="auto"/>
                <w:highlight w:val="none"/>
              </w:rPr>
              <w:t>建设地点</w:t>
            </w:r>
          </w:p>
        </w:tc>
        <w:tc>
          <w:tcPr>
            <w:tcW w:w="7123" w:type="dxa"/>
            <w:gridSpan w:val="3"/>
            <w:vAlign w:val="center"/>
          </w:tcPr>
          <w:p w14:paraId="235FD504">
            <w:pPr>
              <w:keepNext w:val="0"/>
              <w:keepLines w:val="0"/>
              <w:widowControl/>
              <w:suppressLineNumbers w:val="0"/>
              <w:ind w:firstLine="960" w:firstLineChars="400"/>
              <w:jc w:val="left"/>
              <w:rPr>
                <w:rFonts w:hint="eastAsia" w:eastAsia="宋体"/>
                <w:color w:val="auto"/>
                <w:highlight w:val="none"/>
                <w:lang w:eastAsia="zh-CN"/>
              </w:rPr>
            </w:pPr>
            <w:r>
              <w:rPr>
                <w:rFonts w:hint="default" w:ascii="Times New Roman" w:hAnsi="Times New Roman" w:cs="Times New Roman"/>
                <w:color w:val="auto"/>
                <w:sz w:val="24"/>
              </w:rPr>
              <w:t>云南省德宏州芒市帕底工业园区等岗组团</w:t>
            </w:r>
          </w:p>
        </w:tc>
      </w:tr>
      <w:tr w14:paraId="74077D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88" w:hRule="atLeast"/>
          <w:jc w:val="center"/>
        </w:trPr>
        <w:tc>
          <w:tcPr>
            <w:tcW w:w="1297" w:type="dxa"/>
            <w:vAlign w:val="center"/>
          </w:tcPr>
          <w:p w14:paraId="02DD1A76">
            <w:pPr>
              <w:spacing w:line="240" w:lineRule="auto"/>
              <w:ind w:firstLine="0" w:firstLineChars="0"/>
              <w:jc w:val="center"/>
              <w:rPr>
                <w:color w:val="auto"/>
                <w:highlight w:val="none"/>
              </w:rPr>
            </w:pPr>
            <w:r>
              <w:rPr>
                <w:rFonts w:hint="eastAsia" w:hAnsi="宋体"/>
                <w:color w:val="auto"/>
                <w:highlight w:val="none"/>
              </w:rPr>
              <w:t>地理坐标</w:t>
            </w:r>
          </w:p>
        </w:tc>
        <w:tc>
          <w:tcPr>
            <w:tcW w:w="7123" w:type="dxa"/>
            <w:gridSpan w:val="3"/>
            <w:vAlign w:val="center"/>
          </w:tcPr>
          <w:p w14:paraId="1E5F74D4">
            <w:pPr>
              <w:spacing w:line="240" w:lineRule="auto"/>
              <w:ind w:firstLine="0" w:firstLineChars="0"/>
              <w:jc w:val="center"/>
              <w:rPr>
                <w:color w:val="auto"/>
                <w:highlight w:val="none"/>
              </w:rPr>
            </w:pPr>
            <w:r>
              <w:rPr>
                <w:rFonts w:hint="eastAsia"/>
                <w:color w:val="auto"/>
                <w:highlight w:val="none"/>
                <w:lang w:val="en-US" w:eastAsia="zh-CN"/>
              </w:rPr>
              <w:t>东经98°26′36.841″</w:t>
            </w:r>
            <w:r>
              <w:rPr>
                <w:rFonts w:hint="eastAsia"/>
                <w:color w:val="auto"/>
                <w:highlight w:val="none"/>
                <w:lang w:eastAsia="zh-CN"/>
              </w:rPr>
              <w:t>，</w:t>
            </w:r>
            <w:r>
              <w:rPr>
                <w:rFonts w:hint="eastAsia"/>
                <w:color w:val="auto"/>
                <w:highlight w:val="none"/>
                <w:lang w:val="en-US" w:eastAsia="zh-CN"/>
              </w:rPr>
              <w:t>北纬：</w:t>
            </w:r>
            <w:r>
              <w:rPr>
                <w:rFonts w:hint="eastAsia"/>
                <w:color w:val="auto"/>
                <w:highlight w:val="none"/>
              </w:rPr>
              <w:t>24°23′57.41</w:t>
            </w:r>
            <w:r>
              <w:rPr>
                <w:rFonts w:hint="eastAsia"/>
                <w:color w:val="auto"/>
                <w:highlight w:val="none"/>
                <w:lang w:val="en-US" w:eastAsia="zh-CN"/>
              </w:rPr>
              <w:t>2</w:t>
            </w:r>
            <w:r>
              <w:rPr>
                <w:rFonts w:hint="eastAsia"/>
                <w:color w:val="auto"/>
                <w:highlight w:val="none"/>
              </w:rPr>
              <w:t>″</w:t>
            </w:r>
          </w:p>
        </w:tc>
      </w:tr>
      <w:tr w14:paraId="1C072B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297" w:type="dxa"/>
            <w:vAlign w:val="center"/>
          </w:tcPr>
          <w:p w14:paraId="7A4DA2F2">
            <w:pPr>
              <w:spacing w:line="240" w:lineRule="auto"/>
              <w:ind w:firstLine="0" w:firstLineChars="0"/>
              <w:jc w:val="center"/>
              <w:rPr>
                <w:rFonts w:hAnsi="宋体"/>
                <w:color w:val="auto"/>
                <w:highlight w:val="none"/>
              </w:rPr>
            </w:pPr>
            <w:r>
              <w:rPr>
                <w:rFonts w:hint="eastAsia" w:hAnsi="宋体"/>
                <w:color w:val="auto"/>
                <w:highlight w:val="none"/>
              </w:rPr>
              <w:t>国民经济</w:t>
            </w:r>
          </w:p>
          <w:p w14:paraId="1A43FFCC">
            <w:pPr>
              <w:spacing w:line="240" w:lineRule="auto"/>
              <w:ind w:firstLine="0" w:firstLineChars="0"/>
              <w:jc w:val="center"/>
              <w:rPr>
                <w:color w:val="auto"/>
                <w:highlight w:val="none"/>
              </w:rPr>
            </w:pPr>
            <w:r>
              <w:rPr>
                <w:rFonts w:hint="eastAsia" w:hAnsi="宋体"/>
                <w:color w:val="auto"/>
                <w:highlight w:val="none"/>
              </w:rPr>
              <w:t>行业类别</w:t>
            </w:r>
          </w:p>
        </w:tc>
        <w:tc>
          <w:tcPr>
            <w:tcW w:w="2499" w:type="dxa"/>
            <w:vAlign w:val="center"/>
          </w:tcPr>
          <w:p w14:paraId="0CD3FEA5">
            <w:pPr>
              <w:spacing w:line="240" w:lineRule="auto"/>
              <w:ind w:firstLine="0" w:firstLineChars="0"/>
              <w:jc w:val="center"/>
              <w:rPr>
                <w:rFonts w:hint="default" w:eastAsia="宋体"/>
                <w:color w:val="auto"/>
                <w:highlight w:val="none"/>
                <w:lang w:val="en-US" w:eastAsia="zh-CN"/>
              </w:rPr>
            </w:pPr>
            <w:r>
              <w:rPr>
                <w:color w:val="auto"/>
                <w:szCs w:val="21"/>
              </w:rPr>
              <w:t>C3099其他非金属矿物制品制造</w:t>
            </w:r>
          </w:p>
        </w:tc>
        <w:tc>
          <w:tcPr>
            <w:tcW w:w="1828" w:type="dxa"/>
            <w:vAlign w:val="center"/>
          </w:tcPr>
          <w:p w14:paraId="6E282641">
            <w:pPr>
              <w:spacing w:line="240" w:lineRule="auto"/>
              <w:ind w:firstLine="0" w:firstLineChars="0"/>
              <w:jc w:val="center"/>
              <w:rPr>
                <w:rFonts w:hint="eastAsia" w:hAnsi="宋体"/>
                <w:color w:val="auto"/>
                <w:highlight w:val="none"/>
              </w:rPr>
            </w:pPr>
            <w:r>
              <w:rPr>
                <w:rFonts w:hint="eastAsia" w:hAnsi="宋体"/>
                <w:color w:val="auto"/>
                <w:highlight w:val="none"/>
              </w:rPr>
              <w:t>建设项目</w:t>
            </w:r>
          </w:p>
          <w:p w14:paraId="54C3A242">
            <w:pPr>
              <w:spacing w:line="240" w:lineRule="auto"/>
              <w:ind w:firstLine="0" w:firstLineChars="0"/>
              <w:jc w:val="center"/>
              <w:rPr>
                <w:color w:val="auto"/>
                <w:highlight w:val="none"/>
              </w:rPr>
            </w:pPr>
            <w:r>
              <w:rPr>
                <w:rFonts w:hint="eastAsia" w:hAnsi="宋体"/>
                <w:color w:val="auto"/>
                <w:highlight w:val="none"/>
              </w:rPr>
              <w:t>行业类别</w:t>
            </w:r>
          </w:p>
        </w:tc>
        <w:tc>
          <w:tcPr>
            <w:tcW w:w="2796" w:type="dxa"/>
            <w:vAlign w:val="center"/>
          </w:tcPr>
          <w:p w14:paraId="1CC3102B">
            <w:pPr>
              <w:spacing w:line="240" w:lineRule="auto"/>
              <w:ind w:firstLine="0" w:firstLineChars="0"/>
              <w:jc w:val="center"/>
              <w:rPr>
                <w:rFonts w:hint="default"/>
                <w:color w:val="auto"/>
                <w:highlight w:val="none"/>
                <w:lang w:val="en-US" w:eastAsia="zh-CN"/>
              </w:rPr>
            </w:pPr>
            <w:r>
              <w:rPr>
                <w:color w:val="auto"/>
                <w:szCs w:val="21"/>
              </w:rPr>
              <w:t>二十七、非金属矿物制品业30</w:t>
            </w:r>
            <w:r>
              <w:rPr>
                <w:rFonts w:hint="eastAsia"/>
                <w:color w:val="auto"/>
                <w:szCs w:val="21"/>
                <w:lang w:val="en-US" w:eastAsia="zh-CN"/>
              </w:rPr>
              <w:t>-</w:t>
            </w:r>
            <w:r>
              <w:rPr>
                <w:rFonts w:ascii="Times New Roman" w:hAnsi="Times New Roman"/>
                <w:color w:val="auto"/>
                <w:szCs w:val="21"/>
              </w:rPr>
              <w:t>石墨及其他非金属矿物制品制造（309）-其他</w:t>
            </w:r>
          </w:p>
        </w:tc>
      </w:tr>
      <w:tr w14:paraId="53DD45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78" w:hRule="atLeast"/>
          <w:jc w:val="center"/>
        </w:trPr>
        <w:tc>
          <w:tcPr>
            <w:tcW w:w="1297" w:type="dxa"/>
            <w:vAlign w:val="center"/>
          </w:tcPr>
          <w:p w14:paraId="13DCF0AF">
            <w:pPr>
              <w:spacing w:line="240" w:lineRule="auto"/>
              <w:ind w:firstLine="0" w:firstLineChars="0"/>
              <w:jc w:val="center"/>
              <w:rPr>
                <w:color w:val="auto"/>
                <w:highlight w:val="none"/>
              </w:rPr>
            </w:pPr>
            <w:r>
              <w:rPr>
                <w:rFonts w:hint="eastAsia"/>
                <w:color w:val="auto"/>
                <w:highlight w:val="none"/>
              </w:rPr>
              <w:t>建设性质</w:t>
            </w:r>
          </w:p>
        </w:tc>
        <w:tc>
          <w:tcPr>
            <w:tcW w:w="2499" w:type="dxa"/>
            <w:vAlign w:val="center"/>
          </w:tcPr>
          <w:p w14:paraId="230AE342">
            <w:pPr>
              <w:spacing w:line="240" w:lineRule="auto"/>
              <w:ind w:firstLine="0" w:firstLineChars="0"/>
              <w:jc w:val="left"/>
              <w:rPr>
                <w:color w:val="auto"/>
                <w:highlight w:val="none"/>
              </w:rPr>
            </w:pPr>
            <w:r>
              <w:rPr>
                <w:rFonts w:hint="eastAsia" w:asciiTheme="minorEastAsia" w:hAnsiTheme="minorEastAsia" w:eastAsiaTheme="minorEastAsia" w:cstheme="minorEastAsia"/>
                <w:color w:val="auto"/>
                <w:highlight w:val="none"/>
              </w:rPr>
              <w:sym w:font="Wingdings 2" w:char="0052"/>
            </w:r>
            <w:r>
              <w:rPr>
                <w:rFonts w:hint="eastAsia"/>
                <w:color w:val="auto"/>
                <w:highlight w:val="none"/>
              </w:rPr>
              <w:t>新建（迁建）</w:t>
            </w:r>
          </w:p>
          <w:p w14:paraId="3DC5838C">
            <w:pPr>
              <w:spacing w:line="240" w:lineRule="auto"/>
              <w:ind w:firstLine="0" w:firstLineChars="0"/>
              <w:jc w:val="left"/>
              <w:rPr>
                <w:color w:val="auto"/>
                <w:highlight w:val="none"/>
              </w:rPr>
            </w:pPr>
            <w:r>
              <w:rPr>
                <w:rFonts w:hint="eastAsia" w:asciiTheme="minorEastAsia" w:hAnsiTheme="minorEastAsia" w:eastAsiaTheme="minorEastAsia" w:cstheme="minorEastAsia"/>
                <w:color w:val="auto"/>
                <w:highlight w:val="none"/>
              </w:rPr>
              <w:sym w:font="Wingdings 2" w:char="00A3"/>
            </w:r>
            <w:r>
              <w:rPr>
                <w:rFonts w:hint="eastAsia"/>
                <w:color w:val="auto"/>
                <w:highlight w:val="none"/>
              </w:rPr>
              <w:t>改建</w:t>
            </w:r>
          </w:p>
          <w:p w14:paraId="01B93192">
            <w:pPr>
              <w:spacing w:line="240" w:lineRule="auto"/>
              <w:ind w:firstLine="0" w:firstLineChars="0"/>
              <w:jc w:val="left"/>
              <w:rPr>
                <w:color w:val="auto"/>
                <w:highlight w:val="none"/>
              </w:rPr>
            </w:pPr>
            <w:r>
              <w:rPr>
                <w:rFonts w:hint="eastAsia" w:asciiTheme="minorEastAsia" w:hAnsiTheme="minorEastAsia" w:eastAsiaTheme="minorEastAsia" w:cstheme="minorEastAsia"/>
                <w:color w:val="auto"/>
                <w:highlight w:val="none"/>
              </w:rPr>
              <w:t>□</w:t>
            </w:r>
            <w:r>
              <w:rPr>
                <w:rFonts w:hint="eastAsia"/>
                <w:color w:val="auto"/>
                <w:highlight w:val="none"/>
              </w:rPr>
              <w:t>扩建</w:t>
            </w:r>
          </w:p>
          <w:p w14:paraId="4C3413DF">
            <w:pPr>
              <w:spacing w:line="240" w:lineRule="auto"/>
              <w:ind w:firstLine="0" w:firstLineChars="0"/>
              <w:jc w:val="left"/>
              <w:rPr>
                <w:color w:val="auto"/>
                <w:highlight w:val="none"/>
              </w:rPr>
            </w:pPr>
            <w:r>
              <w:rPr>
                <w:rFonts w:hint="eastAsia" w:asciiTheme="minorEastAsia" w:hAnsiTheme="minorEastAsia" w:eastAsiaTheme="minorEastAsia" w:cstheme="minorEastAsia"/>
                <w:color w:val="auto"/>
                <w:highlight w:val="none"/>
              </w:rPr>
              <w:t>□</w:t>
            </w:r>
            <w:r>
              <w:rPr>
                <w:rFonts w:hint="eastAsia"/>
                <w:color w:val="auto"/>
                <w:highlight w:val="none"/>
              </w:rPr>
              <w:t>技术改造</w:t>
            </w:r>
          </w:p>
        </w:tc>
        <w:tc>
          <w:tcPr>
            <w:tcW w:w="1828" w:type="dxa"/>
            <w:vAlign w:val="center"/>
          </w:tcPr>
          <w:p w14:paraId="40D5A8F5">
            <w:pPr>
              <w:spacing w:line="240" w:lineRule="auto"/>
              <w:ind w:firstLine="0" w:firstLineChars="0"/>
              <w:jc w:val="center"/>
              <w:rPr>
                <w:color w:val="auto"/>
                <w:highlight w:val="none"/>
              </w:rPr>
            </w:pPr>
            <w:r>
              <w:rPr>
                <w:rFonts w:hint="eastAsia"/>
                <w:color w:val="auto"/>
                <w:highlight w:val="none"/>
              </w:rPr>
              <w:t>建设项目</w:t>
            </w:r>
          </w:p>
          <w:p w14:paraId="11ECB96B">
            <w:pPr>
              <w:spacing w:line="240" w:lineRule="auto"/>
              <w:ind w:firstLine="0" w:firstLineChars="0"/>
              <w:jc w:val="center"/>
              <w:rPr>
                <w:color w:val="auto"/>
                <w:highlight w:val="none"/>
              </w:rPr>
            </w:pPr>
            <w:r>
              <w:rPr>
                <w:rFonts w:hint="eastAsia"/>
                <w:color w:val="auto"/>
                <w:highlight w:val="none"/>
              </w:rPr>
              <w:t>申报情况</w:t>
            </w:r>
          </w:p>
        </w:tc>
        <w:tc>
          <w:tcPr>
            <w:tcW w:w="2796" w:type="dxa"/>
            <w:vAlign w:val="center"/>
          </w:tcPr>
          <w:p w14:paraId="4A8AE448">
            <w:pPr>
              <w:spacing w:line="240" w:lineRule="auto"/>
              <w:ind w:firstLine="0" w:firstLineChars="0"/>
              <w:jc w:val="left"/>
              <w:rPr>
                <w:color w:val="auto"/>
                <w:highlight w:val="none"/>
              </w:rPr>
            </w:pPr>
            <w:r>
              <w:rPr>
                <w:rFonts w:hint="eastAsia" w:asciiTheme="minorEastAsia" w:hAnsiTheme="minorEastAsia" w:eastAsiaTheme="minorEastAsia" w:cstheme="minorEastAsia"/>
                <w:color w:val="auto"/>
                <w:highlight w:val="none"/>
              </w:rPr>
              <w:sym w:font="Wingdings 2" w:char="00A3"/>
            </w:r>
            <w:r>
              <w:rPr>
                <w:rFonts w:hint="eastAsia"/>
                <w:color w:val="auto"/>
                <w:highlight w:val="none"/>
              </w:rPr>
              <w:t>首次申报项目</w:t>
            </w:r>
          </w:p>
          <w:p w14:paraId="770C67F7">
            <w:pPr>
              <w:spacing w:line="240" w:lineRule="auto"/>
              <w:ind w:firstLine="0" w:firstLineChars="0"/>
              <w:jc w:val="left"/>
              <w:rPr>
                <w:color w:val="auto"/>
                <w:highlight w:val="none"/>
              </w:rPr>
            </w:pPr>
            <w:r>
              <w:rPr>
                <w:rFonts w:hint="eastAsia" w:asciiTheme="minorEastAsia" w:hAnsiTheme="minorEastAsia" w:eastAsiaTheme="minorEastAsia" w:cstheme="minorEastAsia"/>
                <w:color w:val="auto"/>
                <w:highlight w:val="none"/>
              </w:rPr>
              <w:t>□</w:t>
            </w:r>
            <w:r>
              <w:rPr>
                <w:rFonts w:hint="eastAsia"/>
                <w:color w:val="auto"/>
                <w:highlight w:val="none"/>
              </w:rPr>
              <w:t>不予批准后再次申报项目</w:t>
            </w:r>
          </w:p>
          <w:p w14:paraId="47AAE070">
            <w:pPr>
              <w:spacing w:line="240" w:lineRule="auto"/>
              <w:ind w:firstLine="0" w:firstLineChars="0"/>
              <w:jc w:val="left"/>
              <w:rPr>
                <w:color w:val="auto"/>
                <w:highlight w:val="none"/>
              </w:rPr>
            </w:pPr>
            <w:r>
              <w:rPr>
                <w:rFonts w:hint="eastAsia" w:asciiTheme="minorEastAsia" w:hAnsiTheme="minorEastAsia" w:eastAsiaTheme="minorEastAsia" w:cstheme="minorEastAsia"/>
                <w:color w:val="auto"/>
                <w:highlight w:val="none"/>
              </w:rPr>
              <w:t>□</w:t>
            </w:r>
            <w:r>
              <w:rPr>
                <w:rFonts w:hint="eastAsia"/>
                <w:color w:val="auto"/>
                <w:highlight w:val="none"/>
              </w:rPr>
              <w:t>超五年重新审核项目</w:t>
            </w:r>
          </w:p>
          <w:p w14:paraId="6D3282BA">
            <w:pPr>
              <w:spacing w:line="240" w:lineRule="auto"/>
              <w:ind w:firstLine="0" w:firstLineChars="0"/>
              <w:jc w:val="left"/>
              <w:rPr>
                <w:color w:val="auto"/>
                <w:highlight w:val="none"/>
              </w:rPr>
            </w:pPr>
            <w:r>
              <w:rPr>
                <w:rFonts w:hint="eastAsia" w:asciiTheme="minorEastAsia" w:hAnsiTheme="minorEastAsia" w:eastAsiaTheme="minorEastAsia" w:cstheme="minorEastAsia"/>
                <w:color w:val="auto"/>
                <w:highlight w:val="none"/>
                <w:lang w:eastAsia="zh-CN"/>
              </w:rPr>
              <w:t>☑</w:t>
            </w:r>
            <w:r>
              <w:rPr>
                <w:rFonts w:hint="eastAsia"/>
                <w:color w:val="auto"/>
                <w:highlight w:val="none"/>
              </w:rPr>
              <w:t>重大变动重新报批项目</w:t>
            </w:r>
          </w:p>
        </w:tc>
      </w:tr>
      <w:tr w14:paraId="6A94D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1297" w:type="dxa"/>
            <w:vAlign w:val="center"/>
          </w:tcPr>
          <w:p w14:paraId="5F7AC3B7">
            <w:pPr>
              <w:spacing w:line="240" w:lineRule="auto"/>
              <w:ind w:firstLine="0" w:firstLineChars="0"/>
              <w:jc w:val="center"/>
              <w:rPr>
                <w:color w:val="auto"/>
                <w:highlight w:val="none"/>
              </w:rPr>
            </w:pPr>
            <w:r>
              <w:rPr>
                <w:rFonts w:hint="eastAsia" w:hAnsi="宋体"/>
                <w:color w:val="auto"/>
                <w:highlight w:val="none"/>
              </w:rPr>
              <w:t>项目审批（核准/备案）部门</w:t>
            </w:r>
          </w:p>
        </w:tc>
        <w:tc>
          <w:tcPr>
            <w:tcW w:w="2499" w:type="dxa"/>
            <w:vAlign w:val="center"/>
          </w:tcPr>
          <w:p w14:paraId="622AB68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eastAsia="宋体"/>
                <w:color w:val="auto"/>
                <w:highlight w:val="none"/>
                <w:lang w:eastAsia="zh-CN"/>
              </w:rPr>
            </w:pPr>
            <w:r>
              <w:rPr>
                <w:rFonts w:hint="default" w:ascii="Times New Roman" w:hAnsi="Times New Roman" w:cs="Times New Roman"/>
                <w:color w:val="auto"/>
                <w:sz w:val="24"/>
              </w:rPr>
              <w:t>芒市发展和改革局</w:t>
            </w:r>
          </w:p>
        </w:tc>
        <w:tc>
          <w:tcPr>
            <w:tcW w:w="1828" w:type="dxa"/>
            <w:vAlign w:val="center"/>
          </w:tcPr>
          <w:p w14:paraId="4FCB187F">
            <w:pPr>
              <w:spacing w:line="240" w:lineRule="auto"/>
              <w:ind w:firstLine="0" w:firstLineChars="0"/>
              <w:jc w:val="center"/>
              <w:rPr>
                <w:color w:val="auto"/>
                <w:w w:val="80"/>
                <w:highlight w:val="none"/>
              </w:rPr>
            </w:pPr>
            <w:r>
              <w:rPr>
                <w:rFonts w:hint="eastAsia" w:hAnsi="宋体"/>
                <w:color w:val="auto"/>
                <w:highlight w:val="none"/>
              </w:rPr>
              <w:t>项目审批（核准/备案）文号</w:t>
            </w:r>
          </w:p>
        </w:tc>
        <w:tc>
          <w:tcPr>
            <w:tcW w:w="2796" w:type="dxa"/>
            <w:vAlign w:val="center"/>
          </w:tcPr>
          <w:p w14:paraId="7A471EE5">
            <w:pPr>
              <w:spacing w:line="240" w:lineRule="auto"/>
              <w:ind w:right="-58" w:rightChars="-24" w:firstLine="0" w:firstLineChars="0"/>
              <w:jc w:val="center"/>
              <w:rPr>
                <w:rFonts w:hint="eastAsia" w:eastAsia="宋体"/>
                <w:color w:val="auto"/>
                <w:highlight w:val="none"/>
                <w:lang w:eastAsia="zh-CN"/>
              </w:rPr>
            </w:pPr>
            <w:r>
              <w:rPr>
                <w:rFonts w:hint="default" w:ascii="Times New Roman" w:hAnsi="Times New Roman" w:cs="Times New Roman"/>
                <w:color w:val="auto"/>
                <w:sz w:val="24"/>
              </w:rPr>
              <w:t>芒发改备案[2019]60号</w:t>
            </w:r>
          </w:p>
        </w:tc>
      </w:tr>
      <w:tr w14:paraId="1A587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13" w:hRule="atLeast"/>
          <w:jc w:val="center"/>
        </w:trPr>
        <w:tc>
          <w:tcPr>
            <w:tcW w:w="1297" w:type="dxa"/>
            <w:vAlign w:val="center"/>
          </w:tcPr>
          <w:p w14:paraId="0BF495AB">
            <w:pPr>
              <w:spacing w:line="240" w:lineRule="auto"/>
              <w:ind w:firstLine="0" w:firstLineChars="0"/>
              <w:jc w:val="center"/>
              <w:rPr>
                <w:color w:val="auto"/>
                <w:spacing w:val="0"/>
                <w:sz w:val="24"/>
                <w:highlight w:val="none"/>
              </w:rPr>
            </w:pPr>
            <w:r>
              <w:rPr>
                <w:rFonts w:hint="eastAsia" w:hAnsi="宋体"/>
                <w:color w:val="auto"/>
                <w:spacing w:val="0"/>
                <w:sz w:val="24"/>
                <w:highlight w:val="none"/>
              </w:rPr>
              <w:t>总投资</w:t>
            </w:r>
            <w:r>
              <w:rPr>
                <w:rFonts w:hint="eastAsia" w:ascii="宋体" w:hAnsi="宋体" w:cs="宋体"/>
                <w:color w:val="auto"/>
                <w:spacing w:val="0"/>
                <w:sz w:val="24"/>
                <w:szCs w:val="21"/>
                <w:highlight w:val="none"/>
              </w:rPr>
              <w:t>（万元）</w:t>
            </w:r>
          </w:p>
        </w:tc>
        <w:tc>
          <w:tcPr>
            <w:tcW w:w="2499" w:type="dxa"/>
            <w:vAlign w:val="center"/>
          </w:tcPr>
          <w:p w14:paraId="29869F5D">
            <w:pPr>
              <w:spacing w:line="240" w:lineRule="auto"/>
              <w:ind w:firstLine="0" w:firstLineChars="0"/>
              <w:jc w:val="center"/>
              <w:rPr>
                <w:rFonts w:hint="default" w:eastAsia="宋体"/>
                <w:color w:val="auto"/>
                <w:spacing w:val="0"/>
                <w:sz w:val="24"/>
                <w:highlight w:val="none"/>
                <w:lang w:val="en-US" w:eastAsia="zh-CN"/>
              </w:rPr>
            </w:pPr>
            <w:r>
              <w:rPr>
                <w:rFonts w:hint="default" w:ascii="Times New Roman" w:hAnsi="Times New Roman" w:cs="Times New Roman"/>
                <w:color w:val="auto"/>
                <w:sz w:val="24"/>
              </w:rPr>
              <w:t>总投资5000万元（其中：一期投资3500万元）</w:t>
            </w:r>
          </w:p>
        </w:tc>
        <w:tc>
          <w:tcPr>
            <w:tcW w:w="1828" w:type="dxa"/>
            <w:vAlign w:val="center"/>
          </w:tcPr>
          <w:p w14:paraId="45F0AACA">
            <w:pPr>
              <w:spacing w:line="240" w:lineRule="auto"/>
              <w:ind w:firstLine="0" w:firstLineChars="0"/>
              <w:jc w:val="center"/>
              <w:rPr>
                <w:rFonts w:hint="default" w:hAnsi="宋体"/>
                <w:color w:val="auto"/>
                <w:highlight w:val="none"/>
                <w:lang w:val="en-US" w:eastAsia="zh-CN"/>
              </w:rPr>
            </w:pPr>
            <w:r>
              <w:rPr>
                <w:rFonts w:hint="eastAsia" w:hAnsi="宋体"/>
                <w:color w:val="auto"/>
                <w:highlight w:val="none"/>
              </w:rPr>
              <w:t>环保投资</w:t>
            </w:r>
            <w:r>
              <w:rPr>
                <w:rFonts w:hint="eastAsia" w:hAnsi="宋体"/>
                <w:color w:val="auto"/>
                <w:highlight w:val="none"/>
                <w:lang w:eastAsia="zh-CN"/>
              </w:rPr>
              <w:t>（</w:t>
            </w:r>
            <w:r>
              <w:rPr>
                <w:rFonts w:hint="eastAsia" w:hAnsi="宋体"/>
                <w:color w:val="auto"/>
                <w:highlight w:val="none"/>
                <w:lang w:val="en-US" w:eastAsia="zh-CN"/>
              </w:rPr>
              <w:t>万元）</w:t>
            </w:r>
          </w:p>
        </w:tc>
        <w:tc>
          <w:tcPr>
            <w:tcW w:w="2796" w:type="dxa"/>
            <w:vAlign w:val="center"/>
          </w:tcPr>
          <w:p w14:paraId="0FD0181A">
            <w:pPr>
              <w:spacing w:line="240" w:lineRule="auto"/>
              <w:ind w:firstLine="0" w:firstLineChars="0"/>
              <w:jc w:val="center"/>
              <w:rPr>
                <w:rFonts w:hint="default" w:hAnsi="宋体"/>
                <w:color w:val="auto"/>
                <w:highlight w:val="none"/>
                <w:lang w:val="en-US" w:eastAsia="zh-CN"/>
              </w:rPr>
            </w:pPr>
            <w:r>
              <w:rPr>
                <w:rFonts w:hint="eastAsia" w:hAnsi="宋体"/>
                <w:color w:val="auto"/>
                <w:highlight w:val="none"/>
                <w:lang w:val="en-US" w:eastAsia="zh-CN"/>
              </w:rPr>
              <w:t>169.3</w:t>
            </w:r>
          </w:p>
        </w:tc>
      </w:tr>
      <w:tr w14:paraId="39D9E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297" w:type="dxa"/>
            <w:vAlign w:val="center"/>
          </w:tcPr>
          <w:p w14:paraId="705B0852">
            <w:pPr>
              <w:spacing w:line="240" w:lineRule="auto"/>
              <w:ind w:firstLine="0" w:firstLineChars="0"/>
              <w:jc w:val="center"/>
              <w:rPr>
                <w:color w:val="auto"/>
                <w:highlight w:val="none"/>
              </w:rPr>
            </w:pPr>
            <w:r>
              <w:rPr>
                <w:rFonts w:hint="eastAsia" w:hAnsi="宋体"/>
                <w:color w:val="auto"/>
                <w:highlight w:val="none"/>
              </w:rPr>
              <w:t>环保投资占比（%）</w:t>
            </w:r>
          </w:p>
        </w:tc>
        <w:tc>
          <w:tcPr>
            <w:tcW w:w="2499" w:type="dxa"/>
            <w:vAlign w:val="center"/>
          </w:tcPr>
          <w:p w14:paraId="13E3B9F4">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4.84</w:t>
            </w:r>
          </w:p>
        </w:tc>
        <w:tc>
          <w:tcPr>
            <w:tcW w:w="1828" w:type="dxa"/>
            <w:vAlign w:val="center"/>
          </w:tcPr>
          <w:p w14:paraId="271EF294">
            <w:pPr>
              <w:spacing w:line="240" w:lineRule="auto"/>
              <w:ind w:firstLine="0" w:firstLineChars="0"/>
              <w:jc w:val="center"/>
              <w:rPr>
                <w:color w:val="auto"/>
                <w:highlight w:val="none"/>
              </w:rPr>
            </w:pPr>
            <w:r>
              <w:rPr>
                <w:rFonts w:hint="eastAsia"/>
                <w:color w:val="auto"/>
                <w:highlight w:val="none"/>
              </w:rPr>
              <w:t>施工工期</w:t>
            </w:r>
          </w:p>
        </w:tc>
        <w:tc>
          <w:tcPr>
            <w:tcW w:w="2796" w:type="dxa"/>
            <w:vAlign w:val="center"/>
          </w:tcPr>
          <w:p w14:paraId="5E1B8DFB">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w:t>
            </w:r>
          </w:p>
        </w:tc>
      </w:tr>
      <w:tr w14:paraId="2E0342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297" w:type="dxa"/>
            <w:vAlign w:val="center"/>
          </w:tcPr>
          <w:p w14:paraId="2EEAA9CE">
            <w:pPr>
              <w:spacing w:line="240" w:lineRule="auto"/>
              <w:ind w:firstLine="0" w:firstLineChars="0"/>
              <w:jc w:val="center"/>
              <w:rPr>
                <w:color w:val="auto"/>
                <w:highlight w:val="none"/>
              </w:rPr>
            </w:pPr>
            <w:r>
              <w:rPr>
                <w:rFonts w:hint="eastAsia" w:hAnsi="宋体"/>
                <w:color w:val="auto"/>
                <w:highlight w:val="none"/>
              </w:rPr>
              <w:t>是否开工建设</w:t>
            </w:r>
          </w:p>
        </w:tc>
        <w:tc>
          <w:tcPr>
            <w:tcW w:w="2499" w:type="dxa"/>
            <w:vAlign w:val="center"/>
          </w:tcPr>
          <w:p w14:paraId="0C19352E">
            <w:pPr>
              <w:spacing w:line="240" w:lineRule="auto"/>
              <w:ind w:firstLine="0" w:firstLineChars="0"/>
              <w:jc w:val="left"/>
              <w:rPr>
                <w:color w:val="auto"/>
                <w:highlight w:val="none"/>
              </w:rPr>
            </w:pPr>
            <w:r>
              <w:rPr>
                <w:rFonts w:hint="eastAsia" w:asciiTheme="minorEastAsia" w:hAnsiTheme="minorEastAsia" w:eastAsiaTheme="minorEastAsia" w:cstheme="minorEastAsia"/>
                <w:color w:val="auto"/>
                <w:highlight w:val="none"/>
              </w:rPr>
              <w:sym w:font="Wingdings 2" w:char="00A3"/>
            </w:r>
            <w:r>
              <w:rPr>
                <w:rFonts w:hint="eastAsia"/>
                <w:color w:val="auto"/>
                <w:highlight w:val="none"/>
              </w:rPr>
              <w:t>否</w:t>
            </w:r>
          </w:p>
          <w:p w14:paraId="72F981F0">
            <w:pPr>
              <w:spacing w:line="240" w:lineRule="auto"/>
              <w:ind w:firstLine="0" w:firstLineChars="0"/>
              <w:jc w:val="left"/>
              <w:rPr>
                <w:rFonts w:hint="default" w:eastAsia="宋体"/>
                <w:color w:val="auto"/>
                <w:highlight w:val="none"/>
                <w:lang w:val="en-US" w:eastAsia="zh-CN"/>
              </w:rPr>
            </w:pPr>
            <w:r>
              <w:rPr>
                <w:rFonts w:hint="eastAsia" w:asciiTheme="minorEastAsia" w:hAnsiTheme="minorEastAsia" w:eastAsiaTheme="minorEastAsia" w:cstheme="minorEastAsia"/>
                <w:color w:val="auto"/>
                <w:highlight w:val="none"/>
              </w:rPr>
              <w:sym w:font="Wingdings 2" w:char="0052"/>
            </w:r>
            <w:r>
              <w:rPr>
                <w:rFonts w:hint="eastAsia"/>
                <w:color w:val="auto"/>
                <w:highlight w:val="none"/>
              </w:rPr>
              <w:t>是：</w:t>
            </w:r>
            <w:r>
              <w:rPr>
                <w:rFonts w:hint="eastAsia" w:cs="Times New Roman"/>
                <w:color w:val="auto"/>
                <w:sz w:val="24"/>
                <w:u w:val="single"/>
                <w:lang w:val="en-US" w:eastAsia="zh-CN"/>
              </w:rPr>
              <w:t>项</w:t>
            </w:r>
            <w:r>
              <w:rPr>
                <w:rFonts w:hint="eastAsia" w:ascii="Times New Roman" w:hAnsi="Times New Roman" w:eastAsia="宋体" w:cs="Times New Roman"/>
                <w:color w:val="auto"/>
                <w:sz w:val="24"/>
                <w:u w:val="single"/>
                <w:lang w:val="en-US" w:eastAsia="zh-CN"/>
              </w:rPr>
              <w:t>目一期工程</w:t>
            </w:r>
            <w:r>
              <w:rPr>
                <w:rFonts w:hint="eastAsia" w:cs="Times New Roman"/>
                <w:color w:val="auto"/>
                <w:sz w:val="24"/>
                <w:u w:val="single"/>
                <w:lang w:val="en-US" w:eastAsia="zh-CN"/>
              </w:rPr>
              <w:t>目前</w:t>
            </w:r>
            <w:r>
              <w:rPr>
                <w:rFonts w:hint="eastAsia" w:ascii="Times New Roman" w:hAnsi="Times New Roman" w:eastAsia="宋体" w:cs="Times New Roman"/>
                <w:color w:val="auto"/>
                <w:sz w:val="24"/>
                <w:u w:val="single"/>
                <w:lang w:val="en-US" w:eastAsia="zh-CN"/>
              </w:rPr>
              <w:t>已建成</w:t>
            </w:r>
            <w:r>
              <w:rPr>
                <w:rFonts w:hint="eastAsia" w:cs="Times New Roman"/>
                <w:color w:val="auto"/>
                <w:sz w:val="24"/>
                <w:u w:val="single"/>
                <w:lang w:val="en-US" w:eastAsia="zh-CN"/>
              </w:rPr>
              <w:t>一条生产线</w:t>
            </w:r>
            <w:r>
              <w:rPr>
                <w:rFonts w:hint="eastAsia" w:ascii="Times New Roman" w:hAnsi="Times New Roman" w:eastAsia="宋体" w:cs="Times New Roman"/>
                <w:color w:val="auto"/>
                <w:sz w:val="24"/>
                <w:u w:val="single"/>
                <w:lang w:val="en-US" w:eastAsia="zh-CN"/>
              </w:rPr>
              <w:t>，但尚未投入运行</w:t>
            </w:r>
            <w:r>
              <w:rPr>
                <w:rFonts w:hint="eastAsia" w:cs="Times New Roman"/>
                <w:color w:val="auto"/>
                <w:sz w:val="24"/>
                <w:u w:val="single"/>
                <w:lang w:val="en-US" w:eastAsia="zh-CN"/>
              </w:rPr>
              <w:t>。</w:t>
            </w:r>
          </w:p>
        </w:tc>
        <w:tc>
          <w:tcPr>
            <w:tcW w:w="1828" w:type="dxa"/>
            <w:vAlign w:val="center"/>
          </w:tcPr>
          <w:p w14:paraId="4E064E5B">
            <w:pPr>
              <w:spacing w:line="240" w:lineRule="auto"/>
              <w:ind w:firstLine="0" w:firstLineChars="0"/>
              <w:jc w:val="center"/>
              <w:rPr>
                <w:rFonts w:asciiTheme="minorEastAsia" w:hAnsiTheme="minorEastAsia" w:eastAsiaTheme="minorEastAsia" w:cstheme="minorEastAsia"/>
                <w:color w:val="auto"/>
                <w:highlight w:val="none"/>
              </w:rPr>
            </w:pPr>
            <w:r>
              <w:rPr>
                <w:rFonts w:hint="eastAsia"/>
                <w:color w:val="auto"/>
                <w:highlight w:val="none"/>
              </w:rPr>
              <w:t>用地（用海）面积（m</w:t>
            </w:r>
            <w:r>
              <w:rPr>
                <w:rFonts w:hint="eastAsia"/>
                <w:color w:val="auto"/>
                <w:highlight w:val="none"/>
                <w:vertAlign w:val="superscript"/>
              </w:rPr>
              <w:t>2</w:t>
            </w:r>
            <w:r>
              <w:rPr>
                <w:rFonts w:hint="eastAsia"/>
                <w:color w:val="auto"/>
                <w:highlight w:val="none"/>
              </w:rPr>
              <w:t>）</w:t>
            </w:r>
          </w:p>
        </w:tc>
        <w:tc>
          <w:tcPr>
            <w:tcW w:w="2796" w:type="dxa"/>
            <w:vAlign w:val="center"/>
          </w:tcPr>
          <w:p w14:paraId="04691A36">
            <w:pPr>
              <w:spacing w:line="240" w:lineRule="auto"/>
              <w:ind w:firstLine="0" w:firstLineChars="0"/>
              <w:jc w:val="center"/>
              <w:rPr>
                <w:rFonts w:hint="default" w:asciiTheme="minorEastAsia" w:hAnsiTheme="minorEastAsia" w:eastAsiaTheme="minorEastAsia" w:cstheme="minorEastAsia"/>
                <w:color w:val="auto"/>
                <w:highlight w:val="none"/>
                <w:lang w:val="en-US" w:eastAsia="zh-CN"/>
              </w:rPr>
            </w:pPr>
            <w:r>
              <w:rPr>
                <w:rFonts w:hint="default" w:ascii="Times New Roman" w:hAnsi="Times New Roman" w:cs="Times New Roman"/>
                <w:color w:val="auto"/>
                <w:sz w:val="24"/>
              </w:rPr>
              <w:t>24206.47</w:t>
            </w:r>
          </w:p>
        </w:tc>
      </w:tr>
      <w:tr w14:paraId="6E1E3D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297" w:type="dxa"/>
            <w:vAlign w:val="center"/>
          </w:tcPr>
          <w:p w14:paraId="4B9E6704">
            <w:pPr>
              <w:ind w:firstLine="0" w:firstLineChars="0"/>
              <w:jc w:val="center"/>
              <w:rPr>
                <w:color w:val="auto"/>
                <w:highlight w:val="none"/>
              </w:rPr>
            </w:pPr>
            <w:r>
              <w:rPr>
                <w:rFonts w:hint="eastAsia"/>
                <w:color w:val="auto"/>
                <w:highlight w:val="none"/>
              </w:rPr>
              <w:t>专项评价设置情况</w:t>
            </w:r>
          </w:p>
        </w:tc>
        <w:tc>
          <w:tcPr>
            <w:tcW w:w="7123" w:type="dxa"/>
            <w:gridSpan w:val="3"/>
            <w:vAlign w:val="center"/>
          </w:tcPr>
          <w:p w14:paraId="2C8C44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表1-1 专项评价设置原则表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3256"/>
              <w:gridCol w:w="2617"/>
            </w:tblGrid>
            <w:tr w14:paraId="24BE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26" w:type="dxa"/>
                  <w:vAlign w:val="center"/>
                </w:tcPr>
                <w:p w14:paraId="01E06F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专项评价的原则</w:t>
                  </w:r>
                </w:p>
              </w:tc>
              <w:tc>
                <w:tcPr>
                  <w:tcW w:w="3256" w:type="dxa"/>
                  <w:vAlign w:val="center"/>
                </w:tcPr>
                <w:p w14:paraId="198FD9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设置原则</w:t>
                  </w:r>
                </w:p>
              </w:tc>
              <w:tc>
                <w:tcPr>
                  <w:tcW w:w="2617" w:type="dxa"/>
                  <w:vAlign w:val="center"/>
                </w:tcPr>
                <w:p w14:paraId="57B9E0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本项目情况</w:t>
                  </w:r>
                </w:p>
              </w:tc>
            </w:tr>
            <w:tr w14:paraId="54A9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26" w:type="dxa"/>
                  <w:vAlign w:val="center"/>
                </w:tcPr>
                <w:p w14:paraId="3A991F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大气</w:t>
                  </w:r>
                </w:p>
              </w:tc>
              <w:tc>
                <w:tcPr>
                  <w:tcW w:w="3256" w:type="dxa"/>
                  <w:vAlign w:val="center"/>
                </w:tcPr>
                <w:p w14:paraId="63465E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排放废气含有毒有害污染物</w:t>
                  </w:r>
                  <w:r>
                    <w:rPr>
                      <w:rFonts w:hint="default" w:ascii="Times New Roman" w:hAnsi="Times New Roman" w:eastAsia="宋体" w:cs="Times New Roman"/>
                      <w:color w:val="auto"/>
                      <w:kern w:val="0"/>
                      <w:sz w:val="21"/>
                      <w:szCs w:val="21"/>
                      <w:vertAlign w:val="superscript"/>
                      <w:lang w:val="en-US" w:eastAsia="zh-CN" w:bidi="ar"/>
                    </w:rPr>
                    <w:t>1</w:t>
                  </w:r>
                  <w:r>
                    <w:rPr>
                      <w:rFonts w:hint="default" w:ascii="Times New Roman" w:hAnsi="Times New Roman" w:eastAsia="宋体" w:cs="Times New Roman"/>
                      <w:color w:val="auto"/>
                      <w:kern w:val="0"/>
                      <w:sz w:val="21"/>
                      <w:szCs w:val="21"/>
                      <w:lang w:val="en-US" w:eastAsia="zh-CN" w:bidi="ar"/>
                    </w:rPr>
                    <w:t>、二噁英、苯并[</w:t>
                  </w:r>
                  <w:r>
                    <w:rPr>
                      <w:rFonts w:hint="default" w:ascii="Times New Roman" w:hAnsi="Times New Roman" w:eastAsia="宋体" w:cs="Times New Roman"/>
                      <w:i/>
                      <w:iCs/>
                      <w:color w:val="auto"/>
                      <w:kern w:val="0"/>
                      <w:sz w:val="21"/>
                      <w:szCs w:val="21"/>
                      <w:lang w:val="en-US" w:eastAsia="zh-CN" w:bidi="ar"/>
                    </w:rPr>
                    <w:t>a</w:t>
                  </w:r>
                  <w:r>
                    <w:rPr>
                      <w:rFonts w:hint="default" w:ascii="Times New Roman" w:hAnsi="Times New Roman" w:eastAsia="宋体" w:cs="Times New Roman"/>
                      <w:color w:val="auto"/>
                      <w:kern w:val="0"/>
                      <w:sz w:val="21"/>
                      <w:szCs w:val="21"/>
                      <w:lang w:val="en-US" w:eastAsia="zh-CN" w:bidi="ar"/>
                    </w:rPr>
                    <w:t>]芘、氰化物、氯气且厂界外500米范围内有环境空气保护目标</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的建设项目</w:t>
                  </w:r>
                </w:p>
              </w:tc>
              <w:tc>
                <w:tcPr>
                  <w:tcW w:w="2617" w:type="dxa"/>
                  <w:vAlign w:val="center"/>
                </w:tcPr>
                <w:p w14:paraId="47478C86">
                  <w:pPr>
                    <w:tabs>
                      <w:tab w:val="left" w:pos="576"/>
                      <w:tab w:val="left" w:pos="2520"/>
                      <w:tab w:val="left" w:pos="5180"/>
                    </w:tabs>
                    <w:topLinePunct/>
                    <w:adjustRightInd w:val="0"/>
                    <w:snapToGrid w:val="0"/>
                    <w:spacing w:line="288"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
                    </w:rPr>
                    <w:t>本项目废气涉及有毒有害污染物苯并[a]芘，厂界外500米范围内无自然保护区、风景名胜区、文化区</w:t>
                  </w:r>
                  <w:r>
                    <w:rPr>
                      <w:rFonts w:hint="eastAsia" w:cs="Times New Roman"/>
                      <w:color w:val="auto"/>
                      <w:kern w:val="0"/>
                      <w:sz w:val="21"/>
                      <w:szCs w:val="21"/>
                      <w:lang w:val="en-US" w:eastAsia="zh-CN" w:bidi="ar"/>
                    </w:rPr>
                    <w:t>分布，但有1处</w:t>
                  </w:r>
                  <w:r>
                    <w:rPr>
                      <w:rFonts w:hint="default" w:ascii="Times New Roman" w:hAnsi="Times New Roman" w:eastAsia="宋体" w:cs="Times New Roman"/>
                      <w:color w:val="auto"/>
                      <w:kern w:val="0"/>
                      <w:sz w:val="21"/>
                      <w:szCs w:val="21"/>
                      <w:lang w:val="en-US" w:eastAsia="zh-CN" w:bidi="ar"/>
                    </w:rPr>
                    <w:t>农村地区</w:t>
                  </w:r>
                  <w:r>
                    <w:rPr>
                      <w:rFonts w:hint="eastAsia" w:cs="Times New Roman"/>
                      <w:color w:val="auto"/>
                      <w:kern w:val="0"/>
                      <w:sz w:val="21"/>
                      <w:szCs w:val="21"/>
                      <w:lang w:val="en-US" w:eastAsia="zh-CN" w:bidi="ar"/>
                    </w:rPr>
                    <w:t>居民点</w:t>
                  </w:r>
                  <w:r>
                    <w:rPr>
                      <w:rFonts w:hint="default" w:ascii="Times New Roman" w:hAnsi="Times New Roman" w:eastAsia="宋体" w:cs="Times New Roman"/>
                      <w:color w:val="auto"/>
                      <w:kern w:val="0"/>
                      <w:sz w:val="21"/>
                      <w:szCs w:val="21"/>
                      <w:lang w:val="en-US" w:eastAsia="zh-CN" w:bidi="ar"/>
                    </w:rPr>
                    <w:t>分布，因此开展大气专项评价</w:t>
                  </w:r>
                </w:p>
              </w:tc>
            </w:tr>
            <w:tr w14:paraId="6E4E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6" w:type="dxa"/>
                  <w:vAlign w:val="center"/>
                </w:tcPr>
                <w:p w14:paraId="1C09CA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地表水</w:t>
                  </w:r>
                </w:p>
              </w:tc>
              <w:tc>
                <w:tcPr>
                  <w:tcW w:w="3256" w:type="dxa"/>
                  <w:vAlign w:val="center"/>
                </w:tcPr>
                <w:p w14:paraId="16207D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2"/>
                      <w:sz w:val="21"/>
                      <w:szCs w:val="21"/>
                      <w:vertAlign w:val="baseline"/>
                      <w:lang w:val="en-US" w:eastAsia="zh-CN"/>
                    </w:rPr>
                  </w:pPr>
                  <w:r>
                    <w:rPr>
                      <w:rFonts w:hint="eastAsia" w:ascii="宋体" w:hAnsi="宋体" w:eastAsia="宋体" w:cs="宋体"/>
                      <w:color w:val="auto"/>
                      <w:kern w:val="0"/>
                      <w:sz w:val="21"/>
                      <w:szCs w:val="21"/>
                      <w:lang w:val="en-US" w:eastAsia="zh-CN" w:bidi="ar"/>
                    </w:rPr>
                    <w:t>新增工业废水直排建设项目（槽罐车外送污水处理厂的除外）；新增废水直排的污水集中处理厂</w:t>
                  </w:r>
                </w:p>
              </w:tc>
              <w:tc>
                <w:tcPr>
                  <w:tcW w:w="2617" w:type="dxa"/>
                  <w:vAlign w:val="center"/>
                </w:tcPr>
                <w:p w14:paraId="1EE111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本项目不涉及废水直排</w:t>
                  </w:r>
                  <w:r>
                    <w:rPr>
                      <w:rFonts w:hint="eastAsia" w:ascii="宋体" w:hAnsi="宋体" w:eastAsia="宋体" w:cs="宋体"/>
                      <w:color w:val="auto"/>
                      <w:kern w:val="0"/>
                      <w:sz w:val="21"/>
                      <w:szCs w:val="21"/>
                      <w:lang w:val="en-US" w:eastAsia="zh-CN" w:bidi="ar"/>
                    </w:rPr>
                    <w:t>，因此无需开展地表水专项评价</w:t>
                  </w:r>
                </w:p>
              </w:tc>
            </w:tr>
            <w:tr w14:paraId="5651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26" w:type="dxa"/>
                  <w:vAlign w:val="center"/>
                </w:tcPr>
                <w:p w14:paraId="635E3C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环境风险</w:t>
                  </w:r>
                </w:p>
              </w:tc>
              <w:tc>
                <w:tcPr>
                  <w:tcW w:w="3256" w:type="dxa"/>
                  <w:vAlign w:val="center"/>
                </w:tcPr>
                <w:p w14:paraId="4A887C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2"/>
                      <w:sz w:val="21"/>
                      <w:szCs w:val="21"/>
                      <w:vertAlign w:val="baseline"/>
                      <w:lang w:val="en-US" w:eastAsia="zh-CN"/>
                    </w:rPr>
                  </w:pPr>
                  <w:r>
                    <w:rPr>
                      <w:rFonts w:hint="eastAsia" w:ascii="宋体" w:hAnsi="宋体" w:eastAsia="宋体" w:cs="宋体"/>
                      <w:color w:val="auto"/>
                      <w:kern w:val="0"/>
                      <w:sz w:val="21"/>
                      <w:szCs w:val="21"/>
                      <w:lang w:val="en-US" w:eastAsia="zh-CN" w:bidi="ar"/>
                    </w:rPr>
                    <w:t>有毒有害和易燃易爆危险物质存储量超过临界量</w:t>
                  </w:r>
                  <w:r>
                    <w:rPr>
                      <w:rFonts w:hint="eastAsia" w:ascii="宋体" w:hAnsi="宋体" w:eastAsia="宋体" w:cs="宋体"/>
                      <w:color w:val="auto"/>
                      <w:kern w:val="0"/>
                      <w:sz w:val="21"/>
                      <w:szCs w:val="21"/>
                      <w:vertAlign w:val="superscript"/>
                      <w:lang w:val="en-US" w:eastAsia="zh-CN" w:bidi="ar"/>
                    </w:rPr>
                    <w:t>3</w:t>
                  </w:r>
                  <w:r>
                    <w:rPr>
                      <w:rFonts w:hint="eastAsia" w:ascii="宋体" w:hAnsi="宋体" w:eastAsia="宋体" w:cs="宋体"/>
                      <w:color w:val="auto"/>
                      <w:kern w:val="0"/>
                      <w:sz w:val="21"/>
                      <w:szCs w:val="21"/>
                      <w:lang w:val="en-US" w:eastAsia="zh-CN" w:bidi="ar"/>
                    </w:rPr>
                    <w:t>的建设项目</w:t>
                  </w:r>
                </w:p>
              </w:tc>
              <w:tc>
                <w:tcPr>
                  <w:tcW w:w="2617" w:type="dxa"/>
                  <w:vAlign w:val="center"/>
                </w:tcPr>
                <w:p w14:paraId="53FBBE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本项目</w:t>
                  </w:r>
                  <w:r>
                    <w:rPr>
                      <w:rFonts w:hint="eastAsia" w:ascii="宋体" w:hAnsi="宋体" w:eastAsia="宋体" w:cs="宋体"/>
                      <w:color w:val="auto"/>
                      <w:kern w:val="0"/>
                      <w:sz w:val="21"/>
                      <w:szCs w:val="21"/>
                      <w:lang w:val="en-US" w:eastAsia="zh-CN" w:bidi="ar"/>
                    </w:rPr>
                    <w:t>有毒有害和易燃易爆危险物质存储量未超过临界量，</w:t>
                  </w:r>
                  <w:r>
                    <w:rPr>
                      <w:rFonts w:hint="eastAsia" w:ascii="宋体" w:hAnsi="宋体" w:eastAsia="宋体" w:cs="宋体"/>
                      <w:color w:val="auto"/>
                      <w:kern w:val="2"/>
                      <w:sz w:val="21"/>
                      <w:szCs w:val="21"/>
                      <w:vertAlign w:val="baseline"/>
                      <w:lang w:val="en-US" w:eastAsia="zh-CN" w:bidi="ar-SA"/>
                    </w:rPr>
                    <w:t>因此无需开展环境风险专项评价</w:t>
                  </w:r>
                </w:p>
              </w:tc>
            </w:tr>
            <w:tr w14:paraId="25F0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26" w:type="dxa"/>
                  <w:vAlign w:val="center"/>
                </w:tcPr>
                <w:p w14:paraId="3794C5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生态</w:t>
                  </w:r>
                </w:p>
              </w:tc>
              <w:tc>
                <w:tcPr>
                  <w:tcW w:w="3256" w:type="dxa"/>
                  <w:vAlign w:val="center"/>
                </w:tcPr>
                <w:p w14:paraId="17AF21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2"/>
                      <w:sz w:val="21"/>
                      <w:szCs w:val="21"/>
                      <w:vertAlign w:val="baseline"/>
                      <w:lang w:val="en-US" w:eastAsia="zh-CN"/>
                    </w:rPr>
                  </w:pPr>
                  <w:r>
                    <w:rPr>
                      <w:rFonts w:hint="eastAsia" w:ascii="宋体" w:hAnsi="宋体" w:eastAsia="宋体" w:cs="宋体"/>
                      <w:color w:val="auto"/>
                      <w:kern w:val="0"/>
                      <w:sz w:val="21"/>
                      <w:szCs w:val="21"/>
                      <w:lang w:val="en-US" w:eastAsia="zh-CN" w:bidi="ar"/>
                    </w:rPr>
                    <w:t>取水口下游</w:t>
                  </w:r>
                  <w:r>
                    <w:rPr>
                      <w:rFonts w:hint="default" w:ascii="Times New Roman" w:hAnsi="Times New Roman" w:eastAsia="宋体" w:cs="Times New Roman"/>
                      <w:color w:val="auto"/>
                      <w:kern w:val="0"/>
                      <w:sz w:val="21"/>
                      <w:szCs w:val="21"/>
                      <w:lang w:val="en-US" w:eastAsia="zh-CN" w:bidi="ar"/>
                    </w:rPr>
                    <w:t>500米</w:t>
                  </w:r>
                  <w:r>
                    <w:rPr>
                      <w:rFonts w:hint="eastAsia" w:ascii="宋体" w:hAnsi="宋体" w:eastAsia="宋体" w:cs="宋体"/>
                      <w:color w:val="auto"/>
                      <w:kern w:val="0"/>
                      <w:sz w:val="21"/>
                      <w:szCs w:val="21"/>
                      <w:lang w:val="en-US" w:eastAsia="zh-CN" w:bidi="ar"/>
                    </w:rPr>
                    <w:t>范围内有重要水生生物的自然产卵场、索饵场、越冬场和洄游通道的新增河道取水的污染类建设项目</w:t>
                  </w:r>
                </w:p>
              </w:tc>
              <w:tc>
                <w:tcPr>
                  <w:tcW w:w="2617" w:type="dxa"/>
                  <w:vAlign w:val="center"/>
                </w:tcPr>
                <w:p w14:paraId="1E177294">
                  <w:pPr>
                    <w:keepNext w:val="0"/>
                    <w:keepLines w:val="0"/>
                    <w:widowControl/>
                    <w:suppressLineNumbers w:val="0"/>
                    <w:spacing w:line="240" w:lineRule="auto"/>
                    <w:ind w:left="0" w:leftChars="0" w:firstLine="0" w:firstLineChars="0"/>
                    <w:jc w:val="center"/>
                    <w:rPr>
                      <w:rFonts w:hint="default" w:ascii="宋体" w:hAnsi="宋体" w:eastAsia="宋体" w:cs="宋体"/>
                      <w:color w:val="auto"/>
                      <w:kern w:val="2"/>
                      <w:sz w:val="21"/>
                      <w:szCs w:val="21"/>
                      <w:vertAlign w:val="baseline"/>
                      <w:lang w:val="en-US" w:eastAsia="zh-CN" w:bidi="ar-SA"/>
                    </w:rPr>
                  </w:pPr>
                  <w:r>
                    <w:rPr>
                      <w:rFonts w:hint="eastAsia" w:ascii="宋体" w:hAnsi="宋体" w:cs="宋体"/>
                      <w:color w:val="auto"/>
                      <w:kern w:val="0"/>
                      <w:sz w:val="21"/>
                      <w:szCs w:val="21"/>
                      <w:lang w:val="en-US" w:eastAsia="zh-CN" w:bidi="ar"/>
                    </w:rPr>
                    <w:t>该项目不涉及河道取水，</w:t>
                  </w:r>
                  <w:r>
                    <w:rPr>
                      <w:rFonts w:hint="eastAsia" w:ascii="宋体" w:hAnsi="宋体" w:eastAsia="宋体" w:cs="宋体"/>
                      <w:color w:val="auto"/>
                      <w:kern w:val="0"/>
                      <w:sz w:val="21"/>
                      <w:szCs w:val="21"/>
                      <w:lang w:val="en-US" w:eastAsia="zh-CN" w:bidi="ar"/>
                    </w:rPr>
                    <w:t>因此无需开展生态专项评价</w:t>
                  </w:r>
                </w:p>
              </w:tc>
            </w:tr>
            <w:tr w14:paraId="30A3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26" w:type="dxa"/>
                  <w:vAlign w:val="center"/>
                </w:tcPr>
                <w:p w14:paraId="4CA99D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海洋</w:t>
                  </w:r>
                </w:p>
              </w:tc>
              <w:tc>
                <w:tcPr>
                  <w:tcW w:w="3256" w:type="dxa"/>
                  <w:vAlign w:val="center"/>
                </w:tcPr>
                <w:p w14:paraId="343711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宋体" w:hAnsi="宋体" w:eastAsia="宋体" w:cs="宋体"/>
                      <w:color w:val="auto"/>
                      <w:kern w:val="2"/>
                      <w:sz w:val="21"/>
                      <w:szCs w:val="21"/>
                      <w:vertAlign w:val="baseline"/>
                      <w:lang w:val="en-US" w:eastAsia="zh-CN"/>
                    </w:rPr>
                  </w:pPr>
                  <w:r>
                    <w:rPr>
                      <w:rFonts w:hint="eastAsia" w:ascii="宋体" w:hAnsi="宋体" w:eastAsia="宋体" w:cs="宋体"/>
                      <w:color w:val="auto"/>
                      <w:kern w:val="0"/>
                      <w:sz w:val="21"/>
                      <w:szCs w:val="21"/>
                      <w:lang w:val="en-US" w:eastAsia="zh-CN" w:bidi="ar"/>
                    </w:rPr>
                    <w:t>直接向海排放污染物的海洋工程建设项目</w:t>
                  </w:r>
                </w:p>
              </w:tc>
              <w:tc>
                <w:tcPr>
                  <w:tcW w:w="2617" w:type="dxa"/>
                  <w:vAlign w:val="center"/>
                </w:tcPr>
                <w:p w14:paraId="275E90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本项目不属于海洋工程建设项目</w:t>
                  </w:r>
                </w:p>
              </w:tc>
            </w:tr>
          </w:tbl>
          <w:p w14:paraId="512212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jc w:val="left"/>
              <w:textAlignment w:val="baseline"/>
              <w:rPr>
                <w:rFonts w:hint="default"/>
                <w:color w:val="auto"/>
                <w:highlight w:val="none"/>
                <w:lang w:val="en-US" w:eastAsia="zh-CN"/>
              </w:rPr>
            </w:pPr>
            <w:r>
              <w:rPr>
                <w:rFonts w:hint="eastAsia"/>
                <w:b/>
                <w:bCs/>
                <w:color w:val="auto"/>
                <w:highlight w:val="none"/>
                <w:lang w:val="en-US" w:eastAsia="zh-CN"/>
              </w:rPr>
              <w:t>综上，该项目设大气专项评价。</w:t>
            </w:r>
          </w:p>
        </w:tc>
      </w:tr>
      <w:tr w14:paraId="3E2A1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297" w:type="dxa"/>
          </w:tcPr>
          <w:p w14:paraId="7B7950C5">
            <w:pPr>
              <w:ind w:firstLine="0" w:firstLineChars="0"/>
              <w:jc w:val="center"/>
              <w:rPr>
                <w:color w:val="auto"/>
                <w:highlight w:val="none"/>
              </w:rPr>
            </w:pPr>
            <w:r>
              <w:rPr>
                <w:rFonts w:hint="eastAsia"/>
                <w:color w:val="auto"/>
                <w:highlight w:val="none"/>
              </w:rPr>
              <w:t>规划情况</w:t>
            </w:r>
          </w:p>
        </w:tc>
        <w:tc>
          <w:tcPr>
            <w:tcW w:w="7123" w:type="dxa"/>
            <w:gridSpan w:val="3"/>
          </w:tcPr>
          <w:p w14:paraId="44069222">
            <w:pPr>
              <w:keepNext w:val="0"/>
              <w:keepLines w:val="0"/>
              <w:widowControl/>
              <w:suppressLineNumbers w:val="0"/>
              <w:jc w:val="left"/>
              <w:rPr>
                <w:color w:val="auto"/>
                <w:highlight w:val="none"/>
              </w:rPr>
            </w:pPr>
            <w:r>
              <w:rPr>
                <w:rFonts w:hint="default" w:ascii="Times New Roman" w:hAnsi="Times New Roman" w:eastAsia="宋体" w:cs="Times New Roman"/>
                <w:color w:val="000000"/>
                <w:kern w:val="0"/>
                <w:sz w:val="24"/>
                <w:szCs w:val="24"/>
                <w:lang w:val="en-US" w:eastAsia="zh-CN" w:bidi="ar"/>
              </w:rPr>
              <w:t>2021</w:t>
            </w:r>
            <w:r>
              <w:rPr>
                <w:rFonts w:hint="eastAsia" w:ascii="宋体" w:hAnsi="宋体" w:eastAsia="宋体" w:cs="宋体"/>
                <w:color w:val="000000"/>
                <w:kern w:val="0"/>
                <w:sz w:val="24"/>
                <w:szCs w:val="24"/>
                <w:lang w:val="en-US" w:eastAsia="zh-CN" w:bidi="ar"/>
              </w:rPr>
              <w:t>年，芒市工业园区管理委员会委托昆明市规划设计研究院有限公司编制了《云南芒市产业园区总体规划（</w:t>
            </w:r>
            <w:r>
              <w:rPr>
                <w:rFonts w:hint="default" w:ascii="Times New Roman" w:hAnsi="Times New Roman" w:eastAsia="宋体" w:cs="Times New Roman"/>
                <w:color w:val="000000"/>
                <w:kern w:val="0"/>
                <w:sz w:val="24"/>
                <w:szCs w:val="24"/>
                <w:lang w:val="en-US" w:eastAsia="zh-CN" w:bidi="ar"/>
              </w:rPr>
              <w:t xml:space="preserve">2021-2035 </w:t>
            </w:r>
            <w:r>
              <w:rPr>
                <w:rFonts w:hint="eastAsia" w:ascii="宋体" w:hAnsi="宋体" w:eastAsia="宋体" w:cs="宋体"/>
                <w:color w:val="000000"/>
                <w:kern w:val="0"/>
                <w:sz w:val="24"/>
                <w:szCs w:val="24"/>
                <w:lang w:val="en-US" w:eastAsia="zh-CN" w:bidi="ar"/>
              </w:rPr>
              <w:t>年）》。</w:t>
            </w:r>
          </w:p>
        </w:tc>
      </w:tr>
      <w:tr w14:paraId="5751E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297" w:type="dxa"/>
          </w:tcPr>
          <w:p w14:paraId="48E428A8">
            <w:pPr>
              <w:ind w:firstLine="0" w:firstLineChars="0"/>
              <w:jc w:val="center"/>
              <w:rPr>
                <w:color w:val="auto"/>
                <w:highlight w:val="none"/>
              </w:rPr>
            </w:pPr>
            <w:r>
              <w:rPr>
                <w:rFonts w:hint="eastAsia"/>
                <w:color w:val="auto"/>
                <w:highlight w:val="none"/>
              </w:rPr>
              <w:t>规划环境影响评价情况</w:t>
            </w:r>
          </w:p>
        </w:tc>
        <w:tc>
          <w:tcPr>
            <w:tcW w:w="7123" w:type="dxa"/>
            <w:gridSpan w:val="3"/>
            <w:vAlign w:val="center"/>
          </w:tcPr>
          <w:p w14:paraId="092A45C4">
            <w:pPr>
              <w:pStyle w:val="23"/>
              <w:keepNext w:val="0"/>
              <w:keepLines w:val="0"/>
              <w:widowControl/>
              <w:suppressLineNumbers w:val="0"/>
              <w:jc w:val="left"/>
              <w:rPr>
                <w:rFonts w:hint="default" w:eastAsia="宋体"/>
                <w:color w:val="auto"/>
                <w:highlight w:val="none"/>
                <w:lang w:val="en-US" w:eastAsia="zh-CN"/>
              </w:rPr>
            </w:pPr>
            <w:r>
              <w:rPr>
                <w:rFonts w:hint="default" w:ascii="Times New Roman" w:hAnsi="Times New Roman" w:eastAsia="宋体" w:cs="Times New Roman"/>
                <w:color w:val="000000"/>
                <w:kern w:val="0"/>
                <w:sz w:val="24"/>
                <w:szCs w:val="24"/>
                <w:lang w:val="en-US" w:eastAsia="zh-CN" w:bidi="ar"/>
              </w:rPr>
              <w:t>2023年4月，芒市工业园区管理委员会委托中国能源建设集团云南省电力设计院有限公司编制了《云南芒市产业园区总体规划（2021-2035年）环境影响报告书》；2023年9月14日，项目取得了德宏州生态环境局关于《云南芒市产业园区总体规划(2021-2035年)环境影响报告书》审查意见的函（德环函〔2023〕24号）。</w:t>
            </w:r>
          </w:p>
        </w:tc>
      </w:tr>
      <w:tr w14:paraId="4EC9E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1297" w:type="dxa"/>
          </w:tcPr>
          <w:p w14:paraId="69862B0D">
            <w:pPr>
              <w:ind w:firstLine="0" w:firstLineChars="0"/>
              <w:jc w:val="center"/>
              <w:rPr>
                <w:color w:val="auto"/>
                <w:highlight w:val="none"/>
              </w:rPr>
            </w:pPr>
            <w:r>
              <w:rPr>
                <w:rFonts w:hint="eastAsia"/>
                <w:color w:val="auto"/>
                <w:highlight w:val="none"/>
              </w:rPr>
              <w:t>规划及规划环境影响评价符合性分析</w:t>
            </w:r>
          </w:p>
        </w:tc>
        <w:tc>
          <w:tcPr>
            <w:tcW w:w="7123" w:type="dxa"/>
            <w:gridSpan w:val="3"/>
            <w:vAlign w:val="center"/>
          </w:tcPr>
          <w:p w14:paraId="352074C5">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根据《云南芒市产业园区总体规划（2021-2035 年）》内容，园区总体定位</w:t>
            </w:r>
            <w:r>
              <w:rPr>
                <w:rFonts w:hint="eastAsia" w:ascii="Times New Roman" w:hAnsi="Times New Roman" w:eastAsia="宋体" w:cs="Times New Roman"/>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：主要打造形成以轻工消费品制造产业集群、先进装备制造产业集群、新型建材产业集群、新能源材料、现代物流产业集群等产业集群化发展省</w:t>
            </w:r>
            <w:r>
              <w:rPr>
                <w:rFonts w:hint="eastAsia" w:ascii="宋体" w:hAnsi="宋体" w:eastAsia="宋体" w:cs="宋体"/>
                <w:color w:val="000000"/>
                <w:kern w:val="0"/>
                <w:sz w:val="24"/>
                <w:szCs w:val="24"/>
                <w:lang w:val="en-US" w:eastAsia="zh-CN" w:bidi="ar"/>
              </w:rPr>
              <w:t>级开发区。其中帕底片区等岗组团定位为：以硅光伏产业（工业硅、多晶硅、单晶硅、有机硅等）、智能光伏发电装备、新能源电池、新型建材为主导的加工制造业，适度拓展上下游相关产业，实现多产业并举的产业格局。</w:t>
            </w:r>
          </w:p>
          <w:p w14:paraId="37C9AB20">
            <w:pPr>
              <w:keepNext w:val="0"/>
              <w:keepLines w:val="0"/>
              <w:widowControl/>
              <w:suppressLineNumbers w:val="0"/>
              <w:jc w:val="left"/>
              <w:rPr>
                <w:color w:val="auto"/>
                <w:highlight w:val="none"/>
              </w:rPr>
            </w:pPr>
            <w:r>
              <w:rPr>
                <w:rFonts w:hint="eastAsia" w:ascii="Times New Roman" w:hAnsi="Times New Roman" w:eastAsia="宋体" w:cs="Times New Roman"/>
                <w:color w:val="auto"/>
                <w:sz w:val="24"/>
                <w:lang w:val="en-US" w:eastAsia="zh-CN"/>
              </w:rPr>
              <w:t>该项目位于</w:t>
            </w:r>
            <w:r>
              <w:rPr>
                <w:rFonts w:hint="default" w:ascii="Times New Roman" w:hAnsi="Times New Roman" w:cs="Times New Roman"/>
                <w:color w:val="auto"/>
                <w:sz w:val="24"/>
              </w:rPr>
              <w:t>芒市帕底工业园区等岗组团</w:t>
            </w:r>
            <w:r>
              <w:rPr>
                <w:rFonts w:hint="eastAsia" w:ascii="Times New Roman" w:hAnsi="Times New Roman" w:cs="Times New Roman"/>
                <w:color w:val="auto"/>
                <w:sz w:val="24"/>
                <w:lang w:eastAsia="zh-CN"/>
              </w:rPr>
              <w:t>，</w:t>
            </w:r>
            <w:r>
              <w:rPr>
                <w:rFonts w:hint="eastAsia" w:ascii="Times New Roman" w:hAnsi="Times New Roman" w:eastAsia="宋体" w:cs="Times New Roman"/>
                <w:color w:val="auto"/>
                <w:sz w:val="24"/>
                <w:lang w:val="en-US" w:eastAsia="zh-CN"/>
              </w:rPr>
              <w:t>行业类别为</w:t>
            </w:r>
            <w:r>
              <w:rPr>
                <w:color w:val="auto"/>
                <w:szCs w:val="21"/>
              </w:rPr>
              <w:t>非金属矿物制品制造</w:t>
            </w:r>
            <w:r>
              <w:rPr>
                <w:rFonts w:hint="eastAsia" w:ascii="Times New Roman" w:hAnsi="Times New Roman" w:eastAsia="宋体" w:cs="Times New Roman"/>
                <w:color w:val="auto"/>
                <w:sz w:val="24"/>
                <w:lang w:val="en-US" w:eastAsia="zh-CN"/>
              </w:rPr>
              <w:t>业，与园区规划的新型建材加工等产业定位相符。</w:t>
            </w:r>
          </w:p>
        </w:tc>
      </w:tr>
      <w:tr w14:paraId="340B5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1045" w:hRule="atLeast"/>
          <w:jc w:val="center"/>
        </w:trPr>
        <w:tc>
          <w:tcPr>
            <w:tcW w:w="1297" w:type="dxa"/>
            <w:vAlign w:val="center"/>
          </w:tcPr>
          <w:p w14:paraId="2F902E97">
            <w:pPr>
              <w:ind w:firstLine="0" w:firstLineChars="0"/>
              <w:jc w:val="center"/>
              <w:rPr>
                <w:color w:val="auto"/>
                <w:highlight w:val="none"/>
              </w:rPr>
            </w:pPr>
            <w:r>
              <w:rPr>
                <w:rFonts w:hint="eastAsia"/>
                <w:color w:val="auto"/>
                <w:highlight w:val="none"/>
              </w:rPr>
              <w:t>其他符合性分析</w:t>
            </w:r>
          </w:p>
        </w:tc>
        <w:tc>
          <w:tcPr>
            <w:tcW w:w="7123" w:type="dxa"/>
            <w:gridSpan w:val="3"/>
          </w:tcPr>
          <w:p w14:paraId="21E2FB79">
            <w:pPr>
              <w:autoSpaceDE w:val="0"/>
              <w:autoSpaceDN w:val="0"/>
              <w:adjustRightInd w:val="0"/>
              <w:snapToGrid w:val="0"/>
              <w:spacing w:line="360" w:lineRule="auto"/>
              <w:ind w:firstLine="482" w:firstLineChars="200"/>
              <w:rPr>
                <w:b/>
                <w:bCs/>
                <w:color w:val="auto"/>
                <w:kern w:val="0"/>
                <w:szCs w:val="21"/>
              </w:rPr>
            </w:pPr>
            <w:r>
              <w:rPr>
                <w:rFonts w:hint="eastAsia"/>
                <w:b/>
                <w:bCs/>
                <w:color w:val="auto"/>
                <w:kern w:val="0"/>
                <w:szCs w:val="21"/>
              </w:rPr>
              <w:t>1、国家产业政策符合性</w:t>
            </w:r>
          </w:p>
          <w:p w14:paraId="3629E9FE">
            <w:pPr>
              <w:autoSpaceDE w:val="0"/>
              <w:autoSpaceDN w:val="0"/>
              <w:adjustRightInd w:val="0"/>
              <w:snapToGrid w:val="0"/>
              <w:spacing w:line="360" w:lineRule="auto"/>
              <w:ind w:firstLine="480" w:firstLineChars="200"/>
              <w:jc w:val="left"/>
              <w:rPr>
                <w:color w:val="auto"/>
                <w:kern w:val="0"/>
                <w:szCs w:val="21"/>
              </w:rPr>
            </w:pPr>
            <w:r>
              <w:rPr>
                <w:rFonts w:hint="eastAsia"/>
                <w:color w:val="auto"/>
                <w:sz w:val="24"/>
              </w:rPr>
              <w:t>经查阅《产业结构调整指导目录（</w:t>
            </w:r>
            <w:r>
              <w:rPr>
                <w:color w:val="auto"/>
                <w:sz w:val="24"/>
              </w:rPr>
              <w:t>2019</w:t>
            </w:r>
            <w:r>
              <w:rPr>
                <w:rFonts w:hint="eastAsia"/>
                <w:color w:val="auto"/>
                <w:sz w:val="24"/>
              </w:rPr>
              <w:t>年本）》，</w:t>
            </w:r>
            <w:r>
              <w:rPr>
                <w:color w:val="auto"/>
                <w:kern w:val="0"/>
                <w:szCs w:val="21"/>
              </w:rPr>
              <w:t>本项目不属于限制类及淘汰类，符合国家产业政策。本项目生产设备及生产工艺未使用国家明令禁止淘汰类和限制类，符合国家产业政策。</w:t>
            </w:r>
          </w:p>
          <w:p w14:paraId="2AE0F65A">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 w:val="24"/>
                <w:lang w:eastAsia="zh-CN"/>
              </w:rPr>
            </w:pPr>
            <w:r>
              <w:rPr>
                <w:rFonts w:hint="eastAsia" w:ascii="Times New Roman" w:hAnsi="Times New Roman" w:eastAsia="宋体" w:cs="Times New Roman"/>
                <w:color w:val="auto"/>
                <w:kern w:val="0"/>
                <w:sz w:val="24"/>
                <w:lang w:val="en-US" w:eastAsia="zh-CN"/>
              </w:rPr>
              <w:t>另外，</w:t>
            </w:r>
            <w:r>
              <w:rPr>
                <w:rFonts w:hint="eastAsia" w:ascii="Times New Roman" w:hAnsi="Times New Roman" w:eastAsia="宋体" w:cs="Times New Roman"/>
                <w:color w:val="auto"/>
                <w:kern w:val="0"/>
                <w:sz w:val="24"/>
              </w:rPr>
              <w:t>项目</w:t>
            </w:r>
            <w:r>
              <w:rPr>
                <w:rFonts w:hint="eastAsia" w:ascii="Times New Roman" w:hAnsi="Times New Roman" w:eastAsia="宋体" w:cs="Times New Roman"/>
                <w:color w:val="auto"/>
                <w:kern w:val="0"/>
                <w:sz w:val="24"/>
                <w:lang w:val="en-US" w:eastAsia="zh-CN"/>
              </w:rPr>
              <w:t>于</w:t>
            </w:r>
            <w:r>
              <w:rPr>
                <w:rFonts w:hint="default" w:ascii="Times New Roman" w:hAnsi="Times New Roman" w:cs="Times New Roman"/>
                <w:color w:val="auto"/>
                <w:sz w:val="24"/>
                <w:szCs w:val="24"/>
                <w:lang w:eastAsia="zh-CN"/>
              </w:rPr>
              <w:t>20</w:t>
            </w:r>
            <w:r>
              <w:rPr>
                <w:rFonts w:hint="eastAsia" w:cs="Times New Roman"/>
                <w:color w:val="auto"/>
                <w:sz w:val="24"/>
                <w:szCs w:val="24"/>
                <w:lang w:val="en-US" w:eastAsia="zh-CN"/>
              </w:rPr>
              <w:t>19</w:t>
            </w:r>
            <w:r>
              <w:rPr>
                <w:rFonts w:hint="default" w:ascii="Times New Roman" w:hAnsi="Times New Roman" w:cs="Times New Roman"/>
                <w:color w:val="auto"/>
                <w:sz w:val="24"/>
                <w:szCs w:val="24"/>
                <w:lang w:eastAsia="zh-CN"/>
              </w:rPr>
              <w:t>年</w:t>
            </w:r>
            <w:r>
              <w:rPr>
                <w:rFonts w:hint="eastAsia" w:ascii="Times New Roman" w:hAnsi="Times New Roman" w:eastAsia="宋体" w:cs="Times New Roman"/>
                <w:color w:val="auto"/>
                <w:kern w:val="0"/>
                <w:sz w:val="24"/>
              </w:rPr>
              <w:t>取得了</w:t>
            </w:r>
            <w:r>
              <w:rPr>
                <w:rFonts w:hint="eastAsia"/>
                <w:color w:val="auto"/>
                <w:szCs w:val="21"/>
                <w:lang w:val="en-US" w:eastAsia="zh-CN"/>
              </w:rPr>
              <w:t>芒市</w:t>
            </w:r>
            <w:r>
              <w:rPr>
                <w:rFonts w:hint="eastAsia"/>
                <w:color w:val="auto"/>
                <w:szCs w:val="21"/>
              </w:rPr>
              <w:t>发展</w:t>
            </w:r>
            <w:r>
              <w:rPr>
                <w:rFonts w:hint="eastAsia"/>
                <w:color w:val="auto"/>
                <w:szCs w:val="21"/>
                <w:lang w:val="en-US" w:eastAsia="zh-CN"/>
              </w:rPr>
              <w:t>和</w:t>
            </w:r>
            <w:r>
              <w:rPr>
                <w:rFonts w:hint="eastAsia"/>
                <w:color w:val="auto"/>
                <w:szCs w:val="21"/>
              </w:rPr>
              <w:t>改革</w:t>
            </w:r>
            <w:r>
              <w:rPr>
                <w:rFonts w:hint="eastAsia"/>
                <w:color w:val="auto"/>
                <w:szCs w:val="21"/>
                <w:lang w:val="en-US" w:eastAsia="zh-CN"/>
              </w:rPr>
              <w:t>局</w:t>
            </w:r>
            <w:r>
              <w:rPr>
                <w:rFonts w:hint="eastAsia"/>
                <w:color w:val="auto"/>
                <w:szCs w:val="21"/>
                <w:lang w:eastAsia="zh-CN"/>
              </w:rPr>
              <w:t>“</w:t>
            </w:r>
            <w:r>
              <w:rPr>
                <w:rFonts w:hint="eastAsia"/>
                <w:color w:val="auto"/>
                <w:szCs w:val="21"/>
                <w:lang w:val="en-US" w:eastAsia="zh-CN"/>
              </w:rPr>
              <w:t>投资项目</w:t>
            </w:r>
            <w:r>
              <w:rPr>
                <w:rFonts w:hint="eastAsia" w:ascii="Times New Roman" w:hAnsi="Times New Roman" w:cs="Times New Roman"/>
                <w:color w:val="auto"/>
                <w:sz w:val="24"/>
                <w:szCs w:val="24"/>
                <w:lang w:val="en-US" w:eastAsia="zh-CN"/>
              </w:rPr>
              <w:t>备案证</w:t>
            </w:r>
            <w:r>
              <w:rPr>
                <w:rFonts w:hint="eastAsia"/>
                <w:color w:val="auto"/>
                <w:szCs w:val="21"/>
                <w:lang w:eastAsia="zh-CN"/>
              </w:rPr>
              <w:t>”（</w:t>
            </w:r>
            <w:r>
              <w:rPr>
                <w:rFonts w:hint="default" w:ascii="Times New Roman" w:hAnsi="Times New Roman" w:cs="Times New Roman"/>
                <w:color w:val="auto"/>
                <w:sz w:val="24"/>
              </w:rPr>
              <w:t>芒发改备案[2019]60号</w:t>
            </w:r>
            <w:r>
              <w:rPr>
                <w:rFonts w:hint="eastAsia"/>
                <w:color w:val="auto"/>
                <w:szCs w:val="21"/>
                <w:lang w:eastAsia="zh-CN"/>
              </w:rPr>
              <w:t>）</w:t>
            </w:r>
            <w:r>
              <w:rPr>
                <w:rFonts w:hint="eastAsia" w:ascii="Times New Roman" w:hAnsi="Times New Roman" w:eastAsia="宋体" w:cs="Times New Roman"/>
                <w:color w:val="auto"/>
                <w:kern w:val="0"/>
                <w:sz w:val="24"/>
              </w:rPr>
              <w:t>，项目代码为：</w:t>
            </w:r>
            <w:r>
              <w:rPr>
                <w:rFonts w:hint="eastAsia"/>
                <w:color w:val="auto"/>
                <w:szCs w:val="24"/>
                <w:highlight w:val="none"/>
                <w:lang w:eastAsia="zh-CN"/>
              </w:rPr>
              <w:t>2</w:t>
            </w:r>
            <w:r>
              <w:rPr>
                <w:rFonts w:hint="eastAsia"/>
                <w:color w:val="auto"/>
                <w:szCs w:val="24"/>
                <w:highlight w:val="none"/>
                <w:lang w:val="en-US" w:eastAsia="zh-CN"/>
              </w:rPr>
              <w:t>019-</w:t>
            </w:r>
            <w:r>
              <w:rPr>
                <w:rFonts w:hint="eastAsia"/>
                <w:color w:val="auto"/>
                <w:szCs w:val="24"/>
                <w:highlight w:val="none"/>
                <w:lang w:eastAsia="zh-CN"/>
              </w:rPr>
              <w:t>53</w:t>
            </w:r>
            <w:r>
              <w:rPr>
                <w:rFonts w:hint="eastAsia"/>
                <w:color w:val="auto"/>
                <w:szCs w:val="24"/>
                <w:highlight w:val="none"/>
                <w:lang w:val="en-US" w:eastAsia="zh-CN"/>
              </w:rPr>
              <w:t>3103</w:t>
            </w:r>
            <w:r>
              <w:rPr>
                <w:rFonts w:hint="eastAsia"/>
                <w:color w:val="auto"/>
                <w:szCs w:val="24"/>
                <w:highlight w:val="none"/>
                <w:lang w:eastAsia="zh-CN"/>
              </w:rPr>
              <w:t>-</w:t>
            </w:r>
            <w:r>
              <w:rPr>
                <w:rFonts w:hint="eastAsia"/>
                <w:color w:val="auto"/>
                <w:szCs w:val="24"/>
                <w:highlight w:val="none"/>
                <w:lang w:val="en-US" w:eastAsia="zh-CN"/>
              </w:rPr>
              <w:t>41</w:t>
            </w:r>
            <w:r>
              <w:rPr>
                <w:rFonts w:hint="eastAsia"/>
                <w:color w:val="auto"/>
                <w:szCs w:val="24"/>
                <w:highlight w:val="none"/>
                <w:lang w:eastAsia="zh-CN"/>
              </w:rPr>
              <w:t>-0</w:t>
            </w:r>
            <w:r>
              <w:rPr>
                <w:rFonts w:hint="eastAsia"/>
                <w:color w:val="auto"/>
                <w:szCs w:val="24"/>
                <w:highlight w:val="none"/>
                <w:lang w:val="en-US" w:eastAsia="zh-CN"/>
              </w:rPr>
              <w:t>3</w:t>
            </w:r>
            <w:r>
              <w:rPr>
                <w:rFonts w:hint="eastAsia"/>
                <w:color w:val="auto"/>
                <w:szCs w:val="24"/>
                <w:highlight w:val="none"/>
                <w:lang w:eastAsia="zh-CN"/>
              </w:rPr>
              <w:t>-</w:t>
            </w:r>
            <w:r>
              <w:rPr>
                <w:rFonts w:hint="eastAsia"/>
                <w:color w:val="auto"/>
                <w:szCs w:val="24"/>
                <w:highlight w:val="none"/>
                <w:lang w:val="en-US" w:eastAsia="zh-CN"/>
              </w:rPr>
              <w:t>033957</w:t>
            </w:r>
            <w:r>
              <w:rPr>
                <w:rFonts w:hint="eastAsia" w:ascii="Times New Roman" w:hAnsi="Times New Roman" w:cs="Times New Roman"/>
                <w:color w:val="auto"/>
                <w:sz w:val="24"/>
                <w:lang w:eastAsia="zh-CN"/>
              </w:rPr>
              <w:t>。</w:t>
            </w:r>
          </w:p>
          <w:p w14:paraId="62843540">
            <w:pPr>
              <w:widowControl/>
              <w:adjustRightInd w:val="0"/>
              <w:snapToGrid w:val="0"/>
              <w:spacing w:line="360" w:lineRule="auto"/>
              <w:ind w:firstLine="480" w:firstLineChars="200"/>
              <w:rPr>
                <w:color w:val="auto"/>
                <w:sz w:val="24"/>
              </w:rPr>
            </w:pPr>
            <w:r>
              <w:rPr>
                <w:rFonts w:hint="eastAsia"/>
                <w:color w:val="auto"/>
                <w:sz w:val="24"/>
              </w:rPr>
              <w:t>项目符合国家相关产业政策。</w:t>
            </w:r>
          </w:p>
          <w:p w14:paraId="290CBF67">
            <w:pPr>
              <w:numPr>
                <w:ilvl w:val="0"/>
                <w:numId w:val="1"/>
              </w:numPr>
              <w:spacing w:line="360" w:lineRule="auto"/>
              <w:ind w:firstLine="480"/>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与《</w:t>
            </w:r>
            <w:r>
              <w:rPr>
                <w:rFonts w:hint="eastAsia" w:cs="Times New Roman"/>
                <w:b/>
                <w:bCs w:val="0"/>
                <w:color w:val="auto"/>
                <w:sz w:val="24"/>
                <w:szCs w:val="24"/>
                <w:highlight w:val="none"/>
                <w:lang w:val="en-US" w:eastAsia="zh-CN"/>
              </w:rPr>
              <w:t>德宏</w:t>
            </w:r>
            <w:r>
              <w:rPr>
                <w:rFonts w:hint="default" w:ascii="Times New Roman" w:hAnsi="Times New Roman" w:eastAsia="宋体" w:cs="Times New Roman"/>
                <w:b/>
                <w:bCs w:val="0"/>
                <w:color w:val="auto"/>
                <w:sz w:val="24"/>
                <w:szCs w:val="24"/>
                <w:highlight w:val="none"/>
                <w:lang w:val="en-US" w:eastAsia="zh-CN"/>
              </w:rPr>
              <w:t xml:space="preserve">州“三线一单”生态环境分区管控实施方案》符合性分析 </w:t>
            </w:r>
          </w:p>
          <w:p w14:paraId="172CACA8">
            <w:pPr>
              <w:numPr>
                <w:ilvl w:val="0"/>
                <w:numId w:val="0"/>
              </w:num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2021年10月22日，德宏州人民政府发布了《关于印发德宏州“三线一单”生态环境分区管控实施方案的通知》（德政发[2021]15号），全州共划分42个生态环境管控单元，分为优先保护、重点管控和一般管控3类。</w:t>
            </w:r>
          </w:p>
          <w:p w14:paraId="234A7BC1">
            <w:pPr>
              <w:spacing w:line="360" w:lineRule="auto"/>
              <w:ind w:firstLine="480"/>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本项目选址于德宏州</w:t>
            </w:r>
            <w:r>
              <w:rPr>
                <w:rFonts w:hint="default" w:ascii="Times New Roman" w:hAnsi="Times New Roman" w:cs="Times New Roman"/>
                <w:color w:val="auto"/>
                <w:sz w:val="24"/>
              </w:rPr>
              <w:t>芒市帕底工业园区等岗组团</w:t>
            </w:r>
            <w:r>
              <w:rPr>
                <w:rFonts w:ascii="Times New Roman" w:hAnsi="Times New Roman" w:eastAsia="宋体"/>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项目所在区域属于芒市工业园区重点管控单元。项目与“三线一单”</w:t>
            </w:r>
            <w:r>
              <w:rPr>
                <w:rFonts w:ascii="Times New Roman" w:hAnsi="Times New Roman" w:eastAsia="宋体"/>
                <w:color w:val="000000" w:themeColor="text1"/>
                <w:sz w:val="24"/>
                <w:szCs w:val="24"/>
                <w14:textFill>
                  <w14:solidFill>
                    <w14:schemeClr w14:val="tx1"/>
                  </w14:solidFill>
                </w14:textFill>
              </w:rPr>
              <w:t>符合性分析如下。</w:t>
            </w:r>
          </w:p>
          <w:p w14:paraId="66B4D299">
            <w:pPr>
              <w:tabs>
                <w:tab w:val="left" w:pos="2715"/>
                <w:tab w:val="center" w:pos="4535"/>
              </w:tabs>
              <w:adjustRightInd w:val="0"/>
              <w:snapToGrid w:val="0"/>
              <w:spacing w:line="240" w:lineRule="auto"/>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表1-</w:t>
            </w:r>
            <w:r>
              <w:rPr>
                <w:rFonts w:hint="eastAsia" w:ascii="Times New Roman" w:hAnsi="Times New Roman" w:eastAsia="宋体"/>
                <w:b/>
                <w:bCs/>
                <w:color w:val="000000" w:themeColor="text1"/>
                <w:sz w:val="21"/>
                <w:szCs w:val="21"/>
                <w:lang w:val="en-US" w:eastAsia="zh-CN"/>
                <w14:textFill>
                  <w14:solidFill>
                    <w14:schemeClr w14:val="tx1"/>
                  </w14:solidFill>
                </w14:textFill>
              </w:rPr>
              <w:t>2</w:t>
            </w:r>
            <w:r>
              <w:rPr>
                <w:rFonts w:ascii="Times New Roman" w:hAnsi="Times New Roman" w:eastAsia="宋体"/>
                <w:b/>
                <w:bCs/>
                <w:color w:val="000000" w:themeColor="text1"/>
                <w:sz w:val="21"/>
                <w:szCs w:val="21"/>
                <w14:textFill>
                  <w14:solidFill>
                    <w14:schemeClr w14:val="tx1"/>
                  </w14:solidFill>
                </w14:textFill>
              </w:rPr>
              <w:t xml:space="preserve"> 三线一单相符性分析</w:t>
            </w:r>
          </w:p>
          <w:tbl>
            <w:tblPr>
              <w:tblStyle w:val="27"/>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4"/>
              <w:gridCol w:w="570"/>
              <w:gridCol w:w="2670"/>
              <w:gridCol w:w="2738"/>
              <w:gridCol w:w="534"/>
            </w:tblGrid>
            <w:tr w14:paraId="6E4A7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53" w:type="pct"/>
                  <w:gridSpan w:val="2"/>
                  <w:tcBorders>
                    <w:top w:val="single" w:color="000000" w:sz="4" w:space="0"/>
                    <w:left w:val="single" w:color="000000" w:sz="4" w:space="0"/>
                    <w:bottom w:val="single" w:color="000000" w:sz="4" w:space="0"/>
                    <w:right w:val="single" w:color="000000" w:sz="4" w:space="0"/>
                  </w:tcBorders>
                  <w:vAlign w:val="center"/>
                </w:tcPr>
                <w:p w14:paraId="38B025D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类别</w:t>
                  </w:r>
                </w:p>
              </w:tc>
              <w:tc>
                <w:tcPr>
                  <w:tcW w:w="1908" w:type="pct"/>
                  <w:tcBorders>
                    <w:top w:val="single" w:color="000000" w:sz="4" w:space="0"/>
                    <w:left w:val="single" w:color="000000" w:sz="4" w:space="0"/>
                    <w:bottom w:val="single" w:color="000000" w:sz="4" w:space="0"/>
                    <w:right w:val="single" w:color="000000" w:sz="4" w:space="0"/>
                  </w:tcBorders>
                  <w:vAlign w:val="center"/>
                </w:tcPr>
                <w:p w14:paraId="0D6E8F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内容要求</w:t>
                  </w:r>
                </w:p>
              </w:tc>
              <w:tc>
                <w:tcPr>
                  <w:tcW w:w="1956" w:type="pct"/>
                  <w:tcBorders>
                    <w:top w:val="single" w:color="000000" w:sz="4" w:space="0"/>
                    <w:left w:val="single" w:color="000000" w:sz="4" w:space="0"/>
                    <w:bottom w:val="single" w:color="000000" w:sz="4" w:space="0"/>
                    <w:right w:val="single" w:color="000000" w:sz="4" w:space="0"/>
                  </w:tcBorders>
                  <w:vAlign w:val="center"/>
                </w:tcPr>
                <w:p w14:paraId="7E6B231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项目情况</w:t>
                  </w:r>
                </w:p>
              </w:tc>
              <w:tc>
                <w:tcPr>
                  <w:tcW w:w="381" w:type="pct"/>
                  <w:tcBorders>
                    <w:top w:val="single" w:color="000000" w:sz="4" w:space="0"/>
                    <w:left w:val="single" w:color="000000" w:sz="4" w:space="0"/>
                    <w:bottom w:val="single" w:color="000000" w:sz="4" w:space="0"/>
                    <w:right w:val="single" w:color="000000" w:sz="4" w:space="0"/>
                  </w:tcBorders>
                  <w:vAlign w:val="center"/>
                </w:tcPr>
                <w:p w14:paraId="31A45B5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符合情况</w:t>
                  </w:r>
                </w:p>
              </w:tc>
            </w:tr>
            <w:tr w14:paraId="6F754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53" w:type="pct"/>
                  <w:gridSpan w:val="2"/>
                  <w:tcBorders>
                    <w:top w:val="single" w:color="000000" w:sz="4" w:space="0"/>
                    <w:left w:val="single" w:color="000000" w:sz="4" w:space="0"/>
                    <w:bottom w:val="single" w:color="000000" w:sz="4" w:space="0"/>
                    <w:right w:val="single" w:color="000000" w:sz="4" w:space="0"/>
                  </w:tcBorders>
                  <w:vAlign w:val="center"/>
                </w:tcPr>
                <w:p w14:paraId="6AF8F37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生态保护红线和一般生态空间</w:t>
                  </w:r>
                </w:p>
              </w:tc>
              <w:tc>
                <w:tcPr>
                  <w:tcW w:w="1908" w:type="pct"/>
                  <w:tcBorders>
                    <w:top w:val="single" w:color="000000" w:sz="4" w:space="0"/>
                    <w:left w:val="single" w:color="000000" w:sz="4" w:space="0"/>
                    <w:bottom w:val="single" w:color="000000" w:sz="4" w:space="0"/>
                    <w:right w:val="single" w:color="000000" w:sz="4" w:space="0"/>
                  </w:tcBorders>
                  <w:vAlign w:val="center"/>
                </w:tcPr>
                <w:p w14:paraId="1792BC1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态保护红线执行《云南省人民政府关于发布云南省生态保护红线的通知》（云政发〔2018〕32号）要求，生态保护红线评估调整成果获批后，按照批准成果执行。将未划入生态保护红线的自然保护区、国家公园、森林公园、风景名胜区、湿地公园、重要湿地、集中式饮用水水源地等生态功能重要区域、生态环境敏感区域划入一般生态空间。</w:t>
                  </w:r>
                </w:p>
              </w:tc>
              <w:tc>
                <w:tcPr>
                  <w:tcW w:w="1956" w:type="pct"/>
                  <w:tcBorders>
                    <w:top w:val="single" w:color="000000" w:sz="4" w:space="0"/>
                    <w:left w:val="single" w:color="000000" w:sz="4" w:space="0"/>
                    <w:bottom w:val="single" w:color="000000" w:sz="4" w:space="0"/>
                    <w:right w:val="single" w:color="000000" w:sz="4" w:space="0"/>
                  </w:tcBorders>
                  <w:vAlign w:val="center"/>
                </w:tcPr>
                <w:p w14:paraId="1906C2C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本项</w:t>
                  </w:r>
                  <w:r>
                    <w:rPr>
                      <w:rFonts w:ascii="Times New Roman" w:hAnsi="Times New Roman" w:eastAsia="宋体" w:cs="Times New Roman"/>
                      <w:color w:val="000000" w:themeColor="text1"/>
                      <w:sz w:val="21"/>
                      <w:szCs w:val="21"/>
                      <w14:textFill>
                        <w14:solidFill>
                          <w14:schemeClr w14:val="tx1"/>
                        </w14:solidFill>
                      </w14:textFill>
                    </w:rPr>
                    <w:t>目位于</w:t>
                  </w:r>
                  <w:r>
                    <w:rPr>
                      <w:rFonts w:hint="default" w:ascii="Times New Roman" w:hAnsi="Times New Roman" w:eastAsia="宋体" w:cs="Times New Roman"/>
                      <w:color w:val="000000" w:themeColor="text1"/>
                      <w:sz w:val="21"/>
                      <w:szCs w:val="21"/>
                      <w14:textFill>
                        <w14:solidFill>
                          <w14:schemeClr w14:val="tx1"/>
                        </w14:solidFill>
                      </w14:textFill>
                    </w:rPr>
                    <w:t>德宏州芒市帕底工业园区等岗组团</w:t>
                  </w:r>
                  <w:r>
                    <w:rPr>
                      <w:rFonts w:ascii="Times New Roman" w:hAnsi="Times New Roman" w:eastAsia="宋体" w:cs="Times New Roman"/>
                      <w:color w:val="000000" w:themeColor="text1"/>
                      <w:sz w:val="21"/>
                      <w:szCs w:val="21"/>
                      <w14:textFill>
                        <w14:solidFill>
                          <w14:schemeClr w14:val="tx1"/>
                        </w14:solidFill>
                      </w14:textFill>
                    </w:rPr>
                    <w:t>，项目用地性质为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园区</w:t>
                  </w:r>
                  <w:r>
                    <w:rPr>
                      <w:rFonts w:ascii="Times New Roman" w:hAnsi="Times New Roman" w:eastAsia="宋体" w:cs="Times New Roman"/>
                      <w:color w:val="000000" w:themeColor="text1"/>
                      <w:sz w:val="21"/>
                      <w:szCs w:val="21"/>
                      <w14:textFill>
                        <w14:solidFill>
                          <w14:schemeClr w14:val="tx1"/>
                        </w14:solidFill>
                      </w14:textFill>
                    </w:rPr>
                    <w:t>工业用地，不占用永久基本农田，不占用生态保护红线，不涉及饮用水水源保护区等，不涉及自然保护区、生态功能重要</w:t>
                  </w:r>
                  <w:r>
                    <w:rPr>
                      <w:rFonts w:ascii="Times New Roman" w:hAnsi="Times New Roman" w:eastAsia="宋体"/>
                      <w:color w:val="000000" w:themeColor="text1"/>
                      <w:sz w:val="21"/>
                      <w:szCs w:val="21"/>
                      <w14:textFill>
                        <w14:solidFill>
                          <w14:schemeClr w14:val="tx1"/>
                        </w14:solidFill>
                      </w14:textFill>
                    </w:rPr>
                    <w:t>区域、生态环境敏感区域。</w:t>
                  </w:r>
                </w:p>
              </w:tc>
              <w:tc>
                <w:tcPr>
                  <w:tcW w:w="381" w:type="pct"/>
                  <w:tcBorders>
                    <w:top w:val="single" w:color="000000" w:sz="4" w:space="0"/>
                    <w:left w:val="single" w:color="000000" w:sz="4" w:space="0"/>
                    <w:bottom w:val="single" w:color="000000" w:sz="4" w:space="0"/>
                    <w:right w:val="single" w:color="000000" w:sz="4" w:space="0"/>
                  </w:tcBorders>
                  <w:vAlign w:val="center"/>
                </w:tcPr>
                <w:p w14:paraId="7086D05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25C67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345" w:type="pct"/>
                  <w:vMerge w:val="restart"/>
                  <w:tcBorders>
                    <w:top w:val="single" w:color="000000" w:sz="4" w:space="0"/>
                    <w:left w:val="single" w:color="000000" w:sz="4" w:space="0"/>
                    <w:right w:val="single" w:color="000000" w:sz="4" w:space="0"/>
                  </w:tcBorders>
                  <w:vAlign w:val="center"/>
                </w:tcPr>
                <w:p w14:paraId="0401637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环境质量底线</w:t>
                  </w:r>
                </w:p>
              </w:tc>
              <w:tc>
                <w:tcPr>
                  <w:tcW w:w="407" w:type="pct"/>
                  <w:tcBorders>
                    <w:top w:val="single" w:color="000000" w:sz="4" w:space="0"/>
                    <w:left w:val="single" w:color="000000" w:sz="4" w:space="0"/>
                    <w:right w:val="single" w:color="000000" w:sz="4" w:space="0"/>
                  </w:tcBorders>
                  <w:vAlign w:val="center"/>
                </w:tcPr>
                <w:p w14:paraId="44C3479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水环境质量底线</w:t>
                  </w:r>
                </w:p>
              </w:tc>
              <w:tc>
                <w:tcPr>
                  <w:tcW w:w="1908" w:type="pct"/>
                  <w:tcBorders>
                    <w:top w:val="single" w:color="000000" w:sz="4" w:space="0"/>
                    <w:left w:val="single" w:color="000000" w:sz="4" w:space="0"/>
                    <w:bottom w:val="single" w:color="000000" w:sz="4" w:space="0"/>
                    <w:right w:val="single" w:color="000000" w:sz="4" w:space="0"/>
                  </w:tcBorders>
                  <w:vAlign w:val="center"/>
                </w:tcPr>
                <w:p w14:paraId="1EC76DD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到2025年，全州水环境质量总体优良，9个河流地表水断面中优良水体断面（达到或优于Ⅲ类）比例稳定达到100%，“十四五”新增监测断面水质达标率100%，水生生态系统功能进一步提升，县市及以上集中式饮用水水源水质巩固改善。到2035年，全州水环境质量持续优良，水生生态系统全面提升，实现“人水和谐”。</w:t>
                  </w:r>
                </w:p>
              </w:tc>
              <w:tc>
                <w:tcPr>
                  <w:tcW w:w="1956" w:type="pct"/>
                  <w:tcBorders>
                    <w:top w:val="single" w:color="000000" w:sz="4" w:space="0"/>
                    <w:left w:val="single" w:color="000000" w:sz="4" w:space="0"/>
                    <w:bottom w:val="single" w:color="000000" w:sz="4" w:space="0"/>
                    <w:right w:val="single" w:color="000000" w:sz="4" w:space="0"/>
                  </w:tcBorders>
                  <w:vAlign w:val="center"/>
                </w:tcPr>
                <w:p w14:paraId="689CC4E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根据《德宏州2022年环境质量状况公报》主要河流（出境河流）水环境质量状况，全州开展监测的11个国控、省控监测断面中，8个断面水质类别为Ⅱ类，3个断面水质类别为Ⅲ类，其中Ⅱ类水质占72.7%，Ⅲ类水质占27.3%。所有河流断面均满足其水环境功能区水质目标要求，全州河流水质状况优良率100%。2022年，芒市大河3个监测断面为2个Ⅱ类、1个Ⅲ类。</w:t>
                  </w:r>
                </w:p>
                <w:p w14:paraId="7B8FD5B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hint="eastAsia" w:cs="Times New Roman"/>
                      <w:color w:val="auto"/>
                      <w:sz w:val="21"/>
                      <w:szCs w:val="21"/>
                      <w:lang w:val="en-US" w:eastAsia="zh-CN"/>
                    </w:rPr>
                    <w:t>项目产生的</w:t>
                  </w:r>
                  <w:r>
                    <w:rPr>
                      <w:rFonts w:hint="default" w:ascii="Times New Roman" w:hAnsi="Times New Roman" w:cs="Times New Roman"/>
                      <w:color w:val="auto"/>
                      <w:sz w:val="21"/>
                      <w:szCs w:val="21"/>
                    </w:rPr>
                    <w:t>初期雨水</w:t>
                  </w:r>
                  <w:r>
                    <w:rPr>
                      <w:rFonts w:hint="eastAsia" w:cs="Times New Roman"/>
                      <w:color w:val="auto"/>
                      <w:sz w:val="21"/>
                      <w:szCs w:val="21"/>
                      <w:lang w:eastAsia="zh-CN"/>
                    </w:rPr>
                    <w:t>、</w:t>
                  </w:r>
                  <w:r>
                    <w:rPr>
                      <w:rFonts w:hint="eastAsia" w:cs="Times New Roman"/>
                      <w:color w:val="auto"/>
                      <w:sz w:val="21"/>
                      <w:szCs w:val="21"/>
                      <w:lang w:val="en-US" w:eastAsia="zh-CN"/>
                    </w:rPr>
                    <w:t>车辆及设备冲洗废水、</w:t>
                  </w:r>
                  <w:r>
                    <w:rPr>
                      <w:rFonts w:hint="eastAsia" w:ascii="Times New Roman" w:hAnsi="Times New Roman" w:cs="Times New Roman"/>
                      <w:color w:val="auto"/>
                      <w:sz w:val="21"/>
                      <w:szCs w:val="21"/>
                      <w:lang w:val="en-US" w:eastAsia="zh-CN"/>
                    </w:rPr>
                    <w:t>场地冲洗废水</w:t>
                  </w:r>
                  <w:r>
                    <w:rPr>
                      <w:rFonts w:hint="default" w:ascii="Times New Roman" w:hAnsi="Times New Roman" w:cs="Times New Roman"/>
                      <w:color w:val="auto"/>
                      <w:sz w:val="21"/>
                      <w:szCs w:val="21"/>
                    </w:rPr>
                    <w:t>排入三级隔油沉淀池处理</w:t>
                  </w:r>
                  <w:r>
                    <w:rPr>
                      <w:rFonts w:hint="eastAsia" w:cs="Times New Roman"/>
                      <w:color w:val="auto"/>
                      <w:sz w:val="21"/>
                      <w:szCs w:val="21"/>
                      <w:lang w:val="en-US" w:eastAsia="zh-CN"/>
                    </w:rPr>
                    <w:t>后</w:t>
                  </w:r>
                  <w:r>
                    <w:rPr>
                      <w:rFonts w:hint="eastAsia" w:ascii="Times New Roman" w:hAnsi="Times New Roman" w:eastAsia="宋体" w:cs="Times New Roman"/>
                      <w:smallCaps w:val="0"/>
                      <w:color w:val="auto"/>
                      <w:sz w:val="21"/>
                      <w:szCs w:val="21"/>
                      <w:lang w:val="en-US" w:eastAsia="zh-CN"/>
                    </w:rPr>
                    <w:t>回</w:t>
                  </w:r>
                  <w:r>
                    <w:rPr>
                      <w:rFonts w:hint="default" w:ascii="Times New Roman" w:hAnsi="Times New Roman" w:eastAsia="宋体" w:cs="Times New Roman"/>
                      <w:smallCaps w:val="0"/>
                      <w:color w:val="auto"/>
                      <w:sz w:val="21"/>
                      <w:szCs w:val="21"/>
                      <w:lang w:val="en-US" w:eastAsia="zh-CN"/>
                    </w:rPr>
                    <w:t>用于</w:t>
                  </w:r>
                  <w:r>
                    <w:rPr>
                      <w:rFonts w:hint="eastAsia" w:ascii="Times New Roman" w:hAnsi="Times New Roman" w:eastAsia="宋体" w:cs="Times New Roman"/>
                      <w:smallCaps w:val="0"/>
                      <w:color w:val="auto"/>
                      <w:sz w:val="21"/>
                      <w:szCs w:val="21"/>
                      <w:lang w:val="en-US" w:eastAsia="zh-CN"/>
                    </w:rPr>
                    <w:t>厂区</w:t>
                  </w:r>
                  <w:r>
                    <w:rPr>
                      <w:rFonts w:hint="default" w:ascii="Times New Roman" w:hAnsi="Times New Roman" w:eastAsia="宋体" w:cs="Times New Roman"/>
                      <w:smallCaps w:val="0"/>
                      <w:color w:val="auto"/>
                      <w:sz w:val="21"/>
                      <w:szCs w:val="21"/>
                      <w:lang w:val="en-US" w:eastAsia="zh-CN"/>
                    </w:rPr>
                    <w:t>搅拌工作区地面冲洗</w:t>
                  </w:r>
                  <w:r>
                    <w:rPr>
                      <w:rFonts w:hint="eastAsia" w:ascii="Times New Roman" w:hAnsi="Times New Roman" w:eastAsia="宋体" w:cs="Times New Roman"/>
                      <w:smallCaps w:val="0"/>
                      <w:color w:val="auto"/>
                      <w:sz w:val="21"/>
                      <w:szCs w:val="21"/>
                      <w:lang w:val="en-US" w:eastAsia="zh-CN"/>
                    </w:rPr>
                    <w:t>及洒水降尘</w:t>
                  </w:r>
                  <w:r>
                    <w:rPr>
                      <w:rFonts w:hint="default" w:ascii="Times New Roman" w:hAnsi="Times New Roman" w:cs="Times New Roman"/>
                      <w:color w:val="auto"/>
                      <w:sz w:val="21"/>
                      <w:szCs w:val="21"/>
                    </w:rPr>
                    <w:t>；</w:t>
                  </w:r>
                  <w:r>
                    <w:rPr>
                      <w:rFonts w:hint="eastAsia" w:ascii="Times New Roman" w:hAnsi="Times New Roman" w:eastAsia="宋体" w:cs="Times New Roman"/>
                      <w:color w:val="auto"/>
                      <w:sz w:val="21"/>
                      <w:szCs w:val="21"/>
                      <w:lang w:val="en-US" w:eastAsia="zh-CN"/>
                    </w:rPr>
                    <w:t>生活污水</w:t>
                  </w:r>
                  <w:r>
                    <w:rPr>
                      <w:rFonts w:hint="default"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lang w:val="en-US" w:eastAsia="zh-CN"/>
                    </w:rPr>
                    <w:t>化粪池及</w:t>
                  </w:r>
                  <w:r>
                    <w:rPr>
                      <w:rFonts w:hint="default" w:ascii="Times New Roman" w:hAnsi="Times New Roman" w:eastAsia="宋体" w:cs="Times New Roman"/>
                      <w:color w:val="auto"/>
                      <w:sz w:val="21"/>
                      <w:szCs w:val="21"/>
                      <w:lang w:val="en-US" w:eastAsia="zh-CN"/>
                    </w:rPr>
                    <w:t>污水处理站处理后近期达《城市污水再生利用 城市杂用水质》（GB/T18920-2002）中“</w:t>
                  </w:r>
                  <w:r>
                    <w:rPr>
                      <w:rFonts w:hint="eastAsia" w:cs="Times New Roman"/>
                      <w:color w:val="auto"/>
                      <w:sz w:val="21"/>
                      <w:szCs w:val="21"/>
                      <w:lang w:val="en-US" w:eastAsia="zh-CN"/>
                    </w:rPr>
                    <w:t>城市绿化</w:t>
                  </w:r>
                  <w:r>
                    <w:rPr>
                      <w:rFonts w:hint="default" w:ascii="Times New Roman" w:hAnsi="Times New Roman" w:eastAsia="宋体" w:cs="Times New Roman"/>
                      <w:color w:val="auto"/>
                      <w:sz w:val="21"/>
                      <w:szCs w:val="21"/>
                      <w:lang w:val="en-US" w:eastAsia="zh-CN"/>
                    </w:rPr>
                    <w:t>标准”</w:t>
                  </w:r>
                  <w:r>
                    <w:rPr>
                      <w:rFonts w:hint="eastAsia" w:ascii="Times New Roman" w:hAnsi="Times New Roman" w:eastAsia="宋体" w:cs="Times New Roman"/>
                      <w:color w:val="auto"/>
                      <w:sz w:val="21"/>
                      <w:szCs w:val="21"/>
                      <w:lang w:val="en-US" w:eastAsia="zh-CN"/>
                    </w:rPr>
                    <w:t>用于厂区绿化；</w:t>
                  </w:r>
                  <w:r>
                    <w:rPr>
                      <w:rFonts w:hint="default" w:ascii="Times New Roman" w:hAnsi="Times New Roman" w:eastAsia="宋体" w:cs="Times New Roman"/>
                      <w:color w:val="auto"/>
                      <w:sz w:val="21"/>
                      <w:szCs w:val="21"/>
                      <w:lang w:val="en-US" w:eastAsia="zh-CN"/>
                    </w:rPr>
                    <w:t>远期在污水管网覆盖项目区域后，达《污水排入城镇下水道水质标准》（GB/T31962-2015）中的B级标准后排入工业园区污水管网，进入帕底工业园区污水处理厂。</w:t>
                  </w:r>
                  <w:r>
                    <w:rPr>
                      <w:rFonts w:hint="eastAsia" w:ascii="Times New Roman" w:hAnsi="Times New Roman" w:eastAsia="宋体" w:cs="Times New Roman"/>
                      <w:color w:val="auto"/>
                      <w:sz w:val="21"/>
                      <w:szCs w:val="21"/>
                      <w:lang w:val="en-US" w:eastAsia="zh-CN"/>
                    </w:rPr>
                    <w:t>项目区废水不直接排入周边地表水环境，不会突破水环境质量底线。</w:t>
                  </w:r>
                </w:p>
              </w:tc>
              <w:tc>
                <w:tcPr>
                  <w:tcW w:w="381" w:type="pct"/>
                  <w:tcBorders>
                    <w:top w:val="single" w:color="000000" w:sz="4" w:space="0"/>
                    <w:left w:val="single" w:color="000000" w:sz="4" w:space="0"/>
                    <w:bottom w:val="single" w:color="000000" w:sz="4" w:space="0"/>
                    <w:right w:val="single" w:color="000000" w:sz="4" w:space="0"/>
                  </w:tcBorders>
                  <w:vAlign w:val="center"/>
                </w:tcPr>
                <w:p w14:paraId="159EEF0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04761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345" w:type="pct"/>
                  <w:vMerge w:val="continue"/>
                  <w:tcBorders>
                    <w:left w:val="single" w:color="000000" w:sz="4" w:space="0"/>
                    <w:right w:val="single" w:color="000000" w:sz="4" w:space="0"/>
                  </w:tcBorders>
                  <w:vAlign w:val="center"/>
                </w:tcPr>
                <w:p w14:paraId="01DF01C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p>
              </w:tc>
              <w:tc>
                <w:tcPr>
                  <w:tcW w:w="407" w:type="pct"/>
                  <w:tcBorders>
                    <w:left w:val="single" w:color="000000" w:sz="4" w:space="0"/>
                    <w:right w:val="single" w:color="000000" w:sz="4" w:space="0"/>
                  </w:tcBorders>
                  <w:vAlign w:val="center"/>
                </w:tcPr>
                <w:p w14:paraId="52E438E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大气环境质量底线</w:t>
                  </w:r>
                </w:p>
              </w:tc>
              <w:tc>
                <w:tcPr>
                  <w:tcW w:w="1908" w:type="pct"/>
                  <w:tcBorders>
                    <w:top w:val="single" w:color="000000" w:sz="4" w:space="0"/>
                    <w:left w:val="single" w:color="000000" w:sz="4" w:space="0"/>
                    <w:bottom w:val="single" w:color="000000" w:sz="4" w:space="0"/>
                    <w:right w:val="single" w:color="000000" w:sz="4" w:space="0"/>
                  </w:tcBorders>
                  <w:vAlign w:val="center"/>
                </w:tcPr>
                <w:p w14:paraId="4C00919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到2025年，全州空气质量优良率达到省级要求，中心城市环境空气质量稳定达到国家二级标准。2035年，全州空气质量优良率保持稳定，中心城市、各县市城市环境空气质量稳定达到国家二级标准。</w:t>
                  </w:r>
                </w:p>
              </w:tc>
              <w:tc>
                <w:tcPr>
                  <w:tcW w:w="1956" w:type="pct"/>
                  <w:tcBorders>
                    <w:top w:val="single" w:color="000000" w:sz="4" w:space="0"/>
                    <w:left w:val="single" w:color="000000" w:sz="4" w:space="0"/>
                    <w:bottom w:val="single" w:color="000000" w:sz="4" w:space="0"/>
                    <w:right w:val="single" w:color="000000" w:sz="4" w:space="0"/>
                  </w:tcBorders>
                  <w:vAlign w:val="center"/>
                </w:tcPr>
                <w:p w14:paraId="15A8491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根据《2022年德宏州环境状况公报》，2021年芒市有效监测天数362 天，优良天数为352天，按空气质量指数（AQI）评价，环境空气优良率为97.2%，年度综合评价，芒市环境空气质量达二级标准。环境质量状况较好。</w:t>
                  </w:r>
                </w:p>
                <w:p w14:paraId="4E9C484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经环评预测，项目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w:t>
                  </w:r>
                  <w:r>
                    <w:rPr>
                      <w:rFonts w:hint="default" w:ascii="Times New Roman" w:hAnsi="Times New Roman" w:eastAsia="宋体" w:cs="Times New Roman"/>
                      <w:color w:val="000000" w:themeColor="text1"/>
                      <w:sz w:val="21"/>
                      <w:szCs w:val="21"/>
                      <w14:textFill>
                        <w14:solidFill>
                          <w14:schemeClr w14:val="tx1"/>
                        </w14:solidFill>
                      </w14:textFill>
                    </w:rPr>
                    <w:t>废气污染物经采取措施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治理</w:t>
                  </w:r>
                  <w:r>
                    <w:rPr>
                      <w:rFonts w:hint="default" w:ascii="Times New Roman" w:hAnsi="Times New Roman" w:eastAsia="宋体" w:cs="Times New Roman"/>
                      <w:color w:val="000000" w:themeColor="text1"/>
                      <w:sz w:val="21"/>
                      <w:szCs w:val="21"/>
                      <w14:textFill>
                        <w14:solidFill>
                          <w14:schemeClr w14:val="tx1"/>
                        </w14:solidFill>
                      </w14:textFill>
                    </w:rPr>
                    <w:t>后能做到达标排放，对环境空气影响较小</w:t>
                  </w:r>
                  <w:r>
                    <w:rPr>
                      <w:rFonts w:ascii="Times New Roman" w:hAnsi="Times New Roman" w:eastAsia="宋体" w:cs="Times New Roman"/>
                      <w:color w:val="000000" w:themeColor="text1"/>
                      <w:sz w:val="21"/>
                      <w:szCs w:val="21"/>
                      <w14:textFill>
                        <w14:solidFill>
                          <w14:schemeClr w14:val="tx1"/>
                        </w14:solidFill>
                      </w14:textFill>
                    </w:rPr>
                    <w:t>。</w:t>
                  </w:r>
                </w:p>
              </w:tc>
              <w:tc>
                <w:tcPr>
                  <w:tcW w:w="381" w:type="pct"/>
                  <w:tcBorders>
                    <w:top w:val="single" w:color="000000" w:sz="4" w:space="0"/>
                    <w:left w:val="single" w:color="000000" w:sz="4" w:space="0"/>
                    <w:bottom w:val="single" w:color="000000" w:sz="4" w:space="0"/>
                    <w:right w:val="single" w:color="000000" w:sz="4" w:space="0"/>
                  </w:tcBorders>
                  <w:vAlign w:val="center"/>
                </w:tcPr>
                <w:p w14:paraId="3E3577D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0758F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345" w:type="pct"/>
                  <w:vMerge w:val="continue"/>
                  <w:tcBorders>
                    <w:left w:val="single" w:color="000000" w:sz="4" w:space="0"/>
                    <w:bottom w:val="single" w:color="000000" w:sz="4" w:space="0"/>
                    <w:right w:val="single" w:color="000000" w:sz="4" w:space="0"/>
                  </w:tcBorders>
                  <w:vAlign w:val="center"/>
                </w:tcPr>
                <w:p w14:paraId="039EFDB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p>
              </w:tc>
              <w:tc>
                <w:tcPr>
                  <w:tcW w:w="407" w:type="pct"/>
                  <w:tcBorders>
                    <w:left w:val="single" w:color="000000" w:sz="4" w:space="0"/>
                    <w:bottom w:val="single" w:color="000000" w:sz="4" w:space="0"/>
                    <w:right w:val="single" w:color="000000" w:sz="4" w:space="0"/>
                  </w:tcBorders>
                  <w:vAlign w:val="center"/>
                </w:tcPr>
                <w:p w14:paraId="7E5D857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土壤环境风险防控底线</w:t>
                  </w:r>
                </w:p>
              </w:tc>
              <w:tc>
                <w:tcPr>
                  <w:tcW w:w="1908" w:type="pct"/>
                  <w:tcBorders>
                    <w:top w:val="single" w:color="000000" w:sz="4" w:space="0"/>
                    <w:left w:val="single" w:color="000000" w:sz="4" w:space="0"/>
                    <w:bottom w:val="single" w:color="000000" w:sz="4" w:space="0"/>
                    <w:right w:val="single" w:color="000000" w:sz="4" w:space="0"/>
                  </w:tcBorders>
                  <w:vAlign w:val="center"/>
                </w:tcPr>
                <w:p w14:paraId="38DD094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到2025年，全州土壤环境质量保持优异，土壤环境风险管控水平不断提升，受污染耕地安全利用率达到85%以上，受污染工业用地地块安全利用率达到95%以上。2035年，全州土壤环境风险防范体系全面建立，农用地和工业用地土壤环境安全得到有效保障，土壤环境风险得到全面管控。</w:t>
                  </w:r>
                </w:p>
              </w:tc>
              <w:tc>
                <w:tcPr>
                  <w:tcW w:w="1956" w:type="pct"/>
                  <w:tcBorders>
                    <w:top w:val="single" w:color="000000" w:sz="4" w:space="0"/>
                    <w:left w:val="single" w:color="000000" w:sz="4" w:space="0"/>
                    <w:bottom w:val="single" w:color="000000" w:sz="4" w:space="0"/>
                    <w:right w:val="single" w:color="000000" w:sz="4" w:space="0"/>
                  </w:tcBorders>
                  <w:vAlign w:val="center"/>
                </w:tcPr>
                <w:p w14:paraId="5775BA0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本项</w:t>
                  </w:r>
                  <w:r>
                    <w:rPr>
                      <w:rFonts w:ascii="Times New Roman" w:hAnsi="Times New Roman" w:eastAsia="宋体" w:cs="Times New Roman"/>
                      <w:color w:val="000000" w:themeColor="text1"/>
                      <w:sz w:val="21"/>
                      <w:szCs w:val="21"/>
                      <w14:textFill>
                        <w14:solidFill>
                          <w14:schemeClr w14:val="tx1"/>
                        </w14:solidFill>
                      </w14:textFill>
                    </w:rPr>
                    <w:t>目位于</w:t>
                  </w:r>
                  <w:r>
                    <w:rPr>
                      <w:rFonts w:hint="default" w:ascii="Times New Roman" w:hAnsi="Times New Roman" w:eastAsia="宋体" w:cs="Times New Roman"/>
                      <w:color w:val="000000" w:themeColor="text1"/>
                      <w:sz w:val="21"/>
                      <w:szCs w:val="21"/>
                      <w14:textFill>
                        <w14:solidFill>
                          <w14:schemeClr w14:val="tx1"/>
                        </w14:solidFill>
                      </w14:textFill>
                    </w:rPr>
                    <w:t>德宏州芒市帕底工业园区等岗组团</w:t>
                  </w:r>
                  <w:r>
                    <w:rPr>
                      <w:rFonts w:ascii="Times New Roman" w:hAnsi="Times New Roman" w:eastAsia="宋体" w:cs="Times New Roman"/>
                      <w:color w:val="000000" w:themeColor="text1"/>
                      <w:sz w:val="21"/>
                      <w:szCs w:val="21"/>
                      <w14:textFill>
                        <w14:solidFill>
                          <w14:schemeClr w14:val="tx1"/>
                        </w14:solidFill>
                      </w14:textFill>
                    </w:rPr>
                    <w:t>，项目用地性质为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园区</w:t>
                  </w:r>
                  <w:r>
                    <w:rPr>
                      <w:rFonts w:ascii="Times New Roman" w:hAnsi="Times New Roman" w:eastAsia="宋体" w:cs="Times New Roman"/>
                      <w:color w:val="000000" w:themeColor="text1"/>
                      <w:sz w:val="21"/>
                      <w:szCs w:val="21"/>
                      <w14:textFill>
                        <w14:solidFill>
                          <w14:schemeClr w14:val="tx1"/>
                        </w14:solidFill>
                      </w14:textFill>
                    </w:rPr>
                    <w:t>工业用地，</w:t>
                  </w:r>
                  <w:r>
                    <w:rPr>
                      <w:rFonts w:ascii="Times New Roman" w:hAnsi="Times New Roman" w:eastAsia="宋体"/>
                      <w:color w:val="000000" w:themeColor="text1"/>
                      <w:sz w:val="21"/>
                      <w:szCs w:val="21"/>
                      <w14:textFill>
                        <w14:solidFill>
                          <w14:schemeClr w14:val="tx1"/>
                        </w14:solidFill>
                      </w14:textFill>
                    </w:rPr>
                    <w:t>占地范围不涉及永久基本农田，项目营运期各项目污染物均采取有效治理措施，对项目区土壤污染较小。</w:t>
                  </w:r>
                </w:p>
              </w:tc>
              <w:tc>
                <w:tcPr>
                  <w:tcW w:w="381" w:type="pct"/>
                  <w:tcBorders>
                    <w:top w:val="single" w:color="000000" w:sz="4" w:space="0"/>
                    <w:left w:val="single" w:color="000000" w:sz="4" w:space="0"/>
                    <w:bottom w:val="single" w:color="000000" w:sz="4" w:space="0"/>
                    <w:right w:val="single" w:color="000000" w:sz="4" w:space="0"/>
                  </w:tcBorders>
                  <w:vAlign w:val="center"/>
                </w:tcPr>
                <w:p w14:paraId="528552E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2546F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53" w:type="pct"/>
                  <w:gridSpan w:val="2"/>
                  <w:tcBorders>
                    <w:top w:val="single" w:color="000000" w:sz="4" w:space="0"/>
                    <w:left w:val="single" w:color="000000" w:sz="4" w:space="0"/>
                    <w:bottom w:val="single" w:color="000000" w:sz="4" w:space="0"/>
                    <w:right w:val="single" w:color="000000" w:sz="4" w:space="0"/>
                  </w:tcBorders>
                  <w:vAlign w:val="center"/>
                </w:tcPr>
                <w:p w14:paraId="021071B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资源利用上线</w:t>
                  </w:r>
                </w:p>
              </w:tc>
              <w:tc>
                <w:tcPr>
                  <w:tcW w:w="1908" w:type="pct"/>
                  <w:tcBorders>
                    <w:top w:val="single" w:color="000000" w:sz="4" w:space="0"/>
                    <w:left w:val="single" w:color="000000" w:sz="4" w:space="0"/>
                    <w:bottom w:val="single" w:color="000000" w:sz="4" w:space="0"/>
                    <w:right w:val="single" w:color="000000" w:sz="4" w:space="0"/>
                  </w:tcBorders>
                  <w:vAlign w:val="center"/>
                </w:tcPr>
                <w:p w14:paraId="353ADE0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强化节约集约利用，持续提升资源能源利用效率，水资源、土地资源、能源消耗等达到云南省下达的总量和强度控制目标。</w:t>
                  </w:r>
                </w:p>
              </w:tc>
              <w:tc>
                <w:tcPr>
                  <w:tcW w:w="1956" w:type="pct"/>
                  <w:tcBorders>
                    <w:top w:val="single" w:color="000000" w:sz="4" w:space="0"/>
                    <w:left w:val="single" w:color="000000" w:sz="4" w:space="0"/>
                    <w:bottom w:val="single" w:color="000000" w:sz="4" w:space="0"/>
                    <w:right w:val="single" w:color="000000" w:sz="4" w:space="0"/>
                  </w:tcBorders>
                  <w:vAlign w:val="center"/>
                </w:tcPr>
                <w:p w14:paraId="70EF24F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本项目主要涉及资源为项目建设土地利用资源及电、</w:t>
                  </w:r>
                  <w:r>
                    <w:rPr>
                      <w:rFonts w:hint="eastAsia" w:ascii="Times New Roman" w:hAnsi="Times New Roman" w:eastAsia="宋体"/>
                      <w:color w:val="000000" w:themeColor="text1"/>
                      <w:sz w:val="21"/>
                      <w:szCs w:val="21"/>
                      <w:lang w:val="en-US" w:eastAsia="zh-CN"/>
                      <w14:textFill>
                        <w14:solidFill>
                          <w14:schemeClr w14:val="tx1"/>
                        </w14:solidFill>
                      </w14:textFill>
                    </w:rPr>
                    <w:t>柴油、</w:t>
                  </w:r>
                  <w:r>
                    <w:rPr>
                      <w:rFonts w:ascii="Times New Roman" w:hAnsi="Times New Roman" w:eastAsia="宋体"/>
                      <w:color w:val="000000" w:themeColor="text1"/>
                      <w:sz w:val="21"/>
                      <w:szCs w:val="21"/>
                      <w14:textFill>
                        <w14:solidFill>
                          <w14:schemeClr w14:val="tx1"/>
                        </w14:solidFill>
                      </w14:textFill>
                    </w:rPr>
                    <w:t>水等资源，项目占地面积较小、用电量较小，水资源消耗量较小，符合资源利用上限要求。</w:t>
                  </w:r>
                </w:p>
              </w:tc>
              <w:tc>
                <w:tcPr>
                  <w:tcW w:w="381" w:type="pct"/>
                  <w:tcBorders>
                    <w:top w:val="single" w:color="000000" w:sz="4" w:space="0"/>
                    <w:left w:val="single" w:color="000000" w:sz="4" w:space="0"/>
                    <w:bottom w:val="single" w:color="000000" w:sz="4" w:space="0"/>
                    <w:right w:val="single" w:color="000000" w:sz="4" w:space="0"/>
                  </w:tcBorders>
                  <w:vAlign w:val="center"/>
                </w:tcPr>
                <w:p w14:paraId="7AA9E94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7865B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45" w:type="pct"/>
                  <w:vMerge w:val="restart"/>
                  <w:tcBorders>
                    <w:top w:val="single" w:color="000000" w:sz="4" w:space="0"/>
                    <w:left w:val="single" w:color="000000" w:sz="4" w:space="0"/>
                    <w:right w:val="single" w:color="000000" w:sz="4" w:space="0"/>
                  </w:tcBorders>
                  <w:vAlign w:val="center"/>
                </w:tcPr>
                <w:p w14:paraId="7C31D2C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德宏州重点管控单元生态环境准入清单（芒市）</w:t>
                  </w:r>
                </w:p>
              </w:tc>
              <w:tc>
                <w:tcPr>
                  <w:tcW w:w="407" w:type="pct"/>
                  <w:tcBorders>
                    <w:top w:val="single" w:color="000000" w:sz="4" w:space="0"/>
                    <w:left w:val="single" w:color="000000" w:sz="4" w:space="0"/>
                    <w:bottom w:val="single" w:color="000000" w:sz="4" w:space="0"/>
                    <w:right w:val="single" w:color="000000" w:sz="4" w:space="0"/>
                  </w:tcBorders>
                  <w:vAlign w:val="center"/>
                </w:tcPr>
                <w:p w14:paraId="792B04B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空间布局约束</w:t>
                  </w:r>
                </w:p>
              </w:tc>
              <w:tc>
                <w:tcPr>
                  <w:tcW w:w="1908" w:type="pct"/>
                  <w:tcBorders>
                    <w:top w:val="single" w:color="000000" w:sz="4" w:space="0"/>
                    <w:left w:val="single" w:color="000000" w:sz="4" w:space="0"/>
                    <w:bottom w:val="single" w:color="000000" w:sz="4" w:space="0"/>
                    <w:right w:val="single" w:color="000000" w:sz="4" w:space="0"/>
                  </w:tcBorders>
                  <w:vAlign w:val="center"/>
                </w:tcPr>
                <w:p w14:paraId="4726A3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1.严格按照城镇规划进行人口聚集区建设，控制城镇开发强度。</w:t>
                  </w:r>
                </w:p>
                <w:p w14:paraId="1565E47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2.合理布局生产与生活空间，优化产业空间布局，对不符合准入要求的既有项目，依法依规实施整改、退出等分类治理方案，促进企业向园区集中，产业向园区集聚。</w:t>
                  </w:r>
                </w:p>
                <w:p w14:paraId="758D861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合理规划和布局畜禽养殖业，科学划定禁养区、限养区范围。对芒市大河两侧各100米范围内的大牲畜和畜禽养殖开展摸底调查，对清查出的畜禽养殖进行清理整顿。分期取缔芒市大河木康断面至风平断面之间河道流域内零散的鱼塘（含洗马塘）。</w:t>
                  </w:r>
                </w:p>
                <w:p w14:paraId="46E37BB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4.加强芒市大河源头区域执法力度，严厉打击非法采砂行为；对围垦芒市大河河道管理范围内的土地进行恢复，并进行生态化改造。</w:t>
                  </w:r>
                </w:p>
              </w:tc>
              <w:tc>
                <w:tcPr>
                  <w:tcW w:w="1956" w:type="pct"/>
                  <w:tcBorders>
                    <w:top w:val="single" w:color="000000" w:sz="4" w:space="0"/>
                    <w:left w:val="single" w:color="000000" w:sz="4" w:space="0"/>
                    <w:bottom w:val="single" w:color="000000" w:sz="4" w:space="0"/>
                    <w:right w:val="single" w:color="000000" w:sz="4" w:space="0"/>
                  </w:tcBorders>
                  <w:vAlign w:val="center"/>
                </w:tcPr>
                <w:p w14:paraId="5DD3702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w:t>
                  </w:r>
                  <w:r>
                    <w:rPr>
                      <w:rFonts w:ascii="Times New Roman" w:hAnsi="Times New Roman" w:eastAsia="宋体"/>
                      <w:color w:val="000000" w:themeColor="text1"/>
                      <w:sz w:val="21"/>
                      <w:szCs w:val="21"/>
                      <w14:textFill>
                        <w14:solidFill>
                          <w14:schemeClr w14:val="tx1"/>
                        </w14:solidFill>
                      </w14:textFill>
                    </w:rPr>
                    <w:t>项目</w:t>
                  </w:r>
                  <w:r>
                    <w:rPr>
                      <w:rFonts w:hint="eastAsia" w:ascii="Times New Roman" w:hAnsi="Times New Roman" w:eastAsia="宋体"/>
                      <w:color w:val="000000" w:themeColor="text1"/>
                      <w:sz w:val="21"/>
                      <w:szCs w:val="21"/>
                      <w:lang w:val="en-US" w:eastAsia="zh-CN"/>
                      <w14:textFill>
                        <w14:solidFill>
                          <w14:schemeClr w14:val="tx1"/>
                        </w14:solidFill>
                      </w14:textFill>
                    </w:rPr>
                    <w:t>不属于城镇规划区</w:t>
                  </w:r>
                  <w:r>
                    <w:rPr>
                      <w:rFonts w:ascii="Times New Roman" w:hAnsi="Times New Roman" w:eastAsia="宋体"/>
                      <w:color w:val="000000" w:themeColor="text1"/>
                      <w:sz w:val="21"/>
                      <w:szCs w:val="21"/>
                      <w14:textFill>
                        <w14:solidFill>
                          <w14:schemeClr w14:val="tx1"/>
                        </w14:solidFill>
                      </w14:textFill>
                    </w:rPr>
                    <w:t>。</w:t>
                  </w:r>
                </w:p>
                <w:p w14:paraId="7EAD02A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r>
                    <w:rPr>
                      <w:rFonts w:hint="eastAsia" w:ascii="Times New Roman" w:hAnsi="Times New Roman" w:eastAsia="宋体"/>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项目位于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云南省德宏州芒市帕底工业园区等岗组团</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《云南芒市产业园区总体规划（2021-2035 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0818559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3、本项目不属于</w:t>
                  </w:r>
                  <w:r>
                    <w:rPr>
                      <w:rFonts w:ascii="Times New Roman" w:hAnsi="Times New Roman" w:eastAsia="宋体"/>
                      <w:color w:val="000000" w:themeColor="text1"/>
                      <w:sz w:val="21"/>
                      <w:szCs w:val="21"/>
                      <w14:textFill>
                        <w14:solidFill>
                          <w14:schemeClr w14:val="tx1"/>
                        </w14:solidFill>
                      </w14:textFill>
                    </w:rPr>
                    <w:t>畜禽养殖业</w:t>
                  </w:r>
                  <w:r>
                    <w:rPr>
                      <w:rFonts w:hint="eastAsia" w:ascii="Times New Roman" w:hAnsi="Times New Roman" w:eastAsia="宋体"/>
                      <w:color w:val="000000" w:themeColor="text1"/>
                      <w:sz w:val="21"/>
                      <w:szCs w:val="21"/>
                      <w14:textFill>
                        <w14:solidFill>
                          <w14:schemeClr w14:val="tx1"/>
                        </w14:solidFill>
                      </w14:textFill>
                    </w:rPr>
                    <w:t>；</w:t>
                  </w:r>
                </w:p>
                <w:p w14:paraId="232B802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4、本项目不属于</w:t>
                  </w:r>
                  <w:r>
                    <w:rPr>
                      <w:rFonts w:ascii="Times New Roman" w:hAnsi="Times New Roman" w:eastAsia="宋体"/>
                      <w:color w:val="000000" w:themeColor="text1"/>
                      <w:sz w:val="21"/>
                      <w:szCs w:val="21"/>
                      <w14:textFill>
                        <w14:solidFill>
                          <w14:schemeClr w14:val="tx1"/>
                        </w14:solidFill>
                      </w14:textFill>
                    </w:rPr>
                    <w:t>采砂业</w:t>
                  </w:r>
                  <w:r>
                    <w:rPr>
                      <w:rFonts w:hint="eastAsia" w:ascii="Times New Roman" w:hAnsi="Times New Roman" w:eastAsia="宋体"/>
                      <w:color w:val="000000" w:themeColor="text1"/>
                      <w:sz w:val="21"/>
                      <w:szCs w:val="21"/>
                      <w14:textFill>
                        <w14:solidFill>
                          <w14:schemeClr w14:val="tx1"/>
                        </w14:solidFill>
                      </w14:textFill>
                    </w:rPr>
                    <w:t>，不在芒市大河</w:t>
                  </w:r>
                  <w:r>
                    <w:rPr>
                      <w:rFonts w:hint="eastAsia" w:ascii="Times New Roman" w:hAnsi="Times New Roman" w:eastAsia="宋体"/>
                      <w:color w:val="000000" w:themeColor="text1"/>
                      <w:sz w:val="21"/>
                      <w:szCs w:val="21"/>
                      <w:lang w:val="en-US" w:eastAsia="zh-CN"/>
                      <w14:textFill>
                        <w14:solidFill>
                          <w14:schemeClr w14:val="tx1"/>
                        </w14:solidFill>
                      </w14:textFill>
                    </w:rPr>
                    <w:t>河道</w:t>
                  </w:r>
                  <w:r>
                    <w:rPr>
                      <w:rFonts w:hint="eastAsia" w:ascii="Times New Roman" w:hAnsi="Times New Roman" w:eastAsia="宋体"/>
                      <w:color w:val="000000" w:themeColor="text1"/>
                      <w:sz w:val="21"/>
                      <w:szCs w:val="21"/>
                      <w14:textFill>
                        <w14:solidFill>
                          <w14:schemeClr w14:val="tx1"/>
                        </w14:solidFill>
                      </w14:textFill>
                    </w:rPr>
                    <w:t>管理范围。</w:t>
                  </w:r>
                </w:p>
              </w:tc>
              <w:tc>
                <w:tcPr>
                  <w:tcW w:w="381" w:type="pct"/>
                  <w:tcBorders>
                    <w:top w:val="single" w:color="000000" w:sz="4" w:space="0"/>
                    <w:left w:val="single" w:color="000000" w:sz="4" w:space="0"/>
                    <w:bottom w:val="single" w:color="000000" w:sz="4" w:space="0"/>
                    <w:right w:val="single" w:color="000000" w:sz="4" w:space="0"/>
                  </w:tcBorders>
                  <w:vAlign w:val="center"/>
                </w:tcPr>
                <w:p w14:paraId="4F0CD48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52BEC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45" w:type="pct"/>
                  <w:vMerge w:val="continue"/>
                  <w:tcBorders>
                    <w:left w:val="single" w:color="000000" w:sz="4" w:space="0"/>
                    <w:right w:val="single" w:color="000000" w:sz="4" w:space="0"/>
                  </w:tcBorders>
                  <w:vAlign w:val="center"/>
                </w:tcPr>
                <w:p w14:paraId="02D0279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p>
              </w:tc>
              <w:tc>
                <w:tcPr>
                  <w:tcW w:w="407" w:type="pct"/>
                  <w:tcBorders>
                    <w:top w:val="single" w:color="000000" w:sz="4" w:space="0"/>
                    <w:left w:val="single" w:color="000000" w:sz="4" w:space="0"/>
                    <w:bottom w:val="single" w:color="000000" w:sz="4" w:space="0"/>
                    <w:right w:val="single" w:color="000000" w:sz="4" w:space="0"/>
                  </w:tcBorders>
                  <w:vAlign w:val="center"/>
                </w:tcPr>
                <w:p w14:paraId="22F5B00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污染物排放管控</w:t>
                  </w:r>
                </w:p>
              </w:tc>
              <w:tc>
                <w:tcPr>
                  <w:tcW w:w="1908" w:type="pct"/>
                  <w:tcBorders>
                    <w:top w:val="single" w:color="000000" w:sz="4" w:space="0"/>
                    <w:left w:val="single" w:color="000000" w:sz="4" w:space="0"/>
                    <w:bottom w:val="single" w:color="000000" w:sz="4" w:space="0"/>
                    <w:right w:val="single" w:color="000000" w:sz="4" w:space="0"/>
                  </w:tcBorders>
                  <w:vAlign w:val="center"/>
                </w:tcPr>
                <w:p w14:paraId="438F61D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1.对澡地河、南麻河、南喊河、板过河、南秀河、南木黑河6条主要穿城河流进行生态综合治理。</w:t>
                  </w:r>
                </w:p>
                <w:p w14:paraId="6801E30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2.实施污水处理设施提标改造，按期确保芒市污水处理厂出水达到一级A排放标准，建成区实现污水管网全覆盖、全收集、全处理。</w:t>
                  </w:r>
                </w:p>
                <w:p w14:paraId="799F6B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3.实施入河排污口综合整治，取缔芒市大河及其支流的各类非法入河排污口。</w:t>
                  </w:r>
                </w:p>
                <w:p w14:paraId="71AB4BE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 xml:space="preserve">4.全面推行建筑工地六个百分百，严格渣土运输车辆规范化管理，严格执行餐饮业油烟排放标准，开展重点时段秸秆禁烧专项巡查，建设芒市秸秆禁烧视频监控信息系统。 </w:t>
                  </w:r>
                </w:p>
                <w:p w14:paraId="377EE7B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5.开展PM</w:t>
                  </w:r>
                  <w:r>
                    <w:rPr>
                      <w:rFonts w:ascii="Times New Roman" w:hAnsi="Times New Roman" w:eastAsia="宋体"/>
                      <w:color w:val="000000" w:themeColor="text1"/>
                      <w:sz w:val="21"/>
                      <w:szCs w:val="21"/>
                      <w:vertAlign w:val="subscript"/>
                      <w14:textFill>
                        <w14:solidFill>
                          <w14:schemeClr w14:val="tx1"/>
                        </w14:solidFill>
                      </w14:textFill>
                    </w:rPr>
                    <w:t>2.5</w:t>
                  </w:r>
                  <w:r>
                    <w:rPr>
                      <w:rFonts w:ascii="Times New Roman" w:hAnsi="Times New Roman" w:eastAsia="宋体"/>
                      <w:color w:val="000000" w:themeColor="text1"/>
                      <w:sz w:val="21"/>
                      <w:szCs w:val="21"/>
                      <w14:textFill>
                        <w14:solidFill>
                          <w14:schemeClr w14:val="tx1"/>
                        </w14:solidFill>
                      </w14:textFill>
                    </w:rPr>
                    <w:t>和O</w:t>
                  </w:r>
                  <w:r>
                    <w:rPr>
                      <w:rFonts w:ascii="Times New Roman" w:hAnsi="Times New Roman" w:eastAsia="宋体"/>
                      <w:color w:val="000000" w:themeColor="text1"/>
                      <w:sz w:val="21"/>
                      <w:szCs w:val="21"/>
                      <w:vertAlign w:val="sub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协同控制，开展芒市大气污染成因及来源解析，实施大气污染防治精细化管控和季节性大气环境承载力核算项目。</w:t>
                  </w:r>
                </w:p>
                <w:p w14:paraId="610ACB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6.与东南亚国家开展针对生物质燃烧对环境空气质量影响研究的交流合作。</w:t>
                  </w:r>
                </w:p>
              </w:tc>
              <w:tc>
                <w:tcPr>
                  <w:tcW w:w="1956" w:type="pct"/>
                  <w:tcBorders>
                    <w:top w:val="single" w:color="000000" w:sz="4" w:space="0"/>
                    <w:left w:val="single" w:color="000000" w:sz="4" w:space="0"/>
                    <w:bottom w:val="single" w:color="000000" w:sz="4" w:space="0"/>
                    <w:right w:val="single" w:color="000000" w:sz="4" w:space="0"/>
                  </w:tcBorders>
                  <w:vAlign w:val="center"/>
                </w:tcPr>
                <w:p w14:paraId="139491F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w:t>
                  </w:r>
                  <w:r>
                    <w:rPr>
                      <w:rFonts w:hint="eastAsia" w:ascii="Times New Roman" w:hAnsi="Times New Roman" w:eastAsia="宋体"/>
                      <w:color w:val="000000" w:themeColor="text1"/>
                      <w:sz w:val="21"/>
                      <w:szCs w:val="21"/>
                      <w:lang w:val="en-US" w:eastAsia="zh-CN"/>
                      <w14:textFill>
                        <w14:solidFill>
                          <w14:schemeClr w14:val="tx1"/>
                        </w14:solidFill>
                      </w14:textFill>
                    </w:rPr>
                    <w:t>项目不涉及</w:t>
                  </w:r>
                  <w:r>
                    <w:rPr>
                      <w:rFonts w:ascii="Times New Roman" w:hAnsi="Times New Roman" w:eastAsia="宋体"/>
                      <w:color w:val="000000" w:themeColor="text1"/>
                      <w:sz w:val="21"/>
                      <w:szCs w:val="21"/>
                      <w14:textFill>
                        <w14:solidFill>
                          <w14:schemeClr w14:val="tx1"/>
                        </w14:solidFill>
                      </w14:textFill>
                    </w:rPr>
                    <w:t>6条主要穿城河流</w:t>
                  </w:r>
                  <w:r>
                    <w:rPr>
                      <w:rFonts w:hint="eastAsia" w:ascii="Times New Roman" w:hAnsi="Times New Roman" w:eastAsia="宋体"/>
                      <w:color w:val="000000" w:themeColor="text1"/>
                      <w:sz w:val="21"/>
                      <w:szCs w:val="21"/>
                      <w:lang w:eastAsia="zh-CN"/>
                      <w14:textFill>
                        <w14:solidFill>
                          <w14:schemeClr w14:val="tx1"/>
                        </w14:solidFill>
                      </w14:textFill>
                    </w:rPr>
                    <w:t>。</w:t>
                  </w:r>
                </w:p>
                <w:p w14:paraId="558F795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2、项目废水不排入</w:t>
                  </w:r>
                  <w:r>
                    <w:rPr>
                      <w:rFonts w:ascii="Times New Roman" w:hAnsi="Times New Roman" w:eastAsia="宋体"/>
                      <w:color w:val="000000" w:themeColor="text1"/>
                      <w:sz w:val="21"/>
                      <w:szCs w:val="21"/>
                      <w14:textFill>
                        <w14:solidFill>
                          <w14:schemeClr w14:val="tx1"/>
                        </w14:solidFill>
                      </w14:textFill>
                    </w:rPr>
                    <w:t>芒市污水处理厂</w:t>
                  </w:r>
                  <w:r>
                    <w:rPr>
                      <w:rFonts w:hint="eastAsia" w:ascii="Times New Roman" w:hAnsi="Times New Roman" w:eastAsia="宋体"/>
                      <w:color w:val="000000" w:themeColor="text1"/>
                      <w:sz w:val="21"/>
                      <w:szCs w:val="21"/>
                      <w:lang w:eastAsia="zh-CN"/>
                      <w14:textFill>
                        <w14:solidFill>
                          <w14:schemeClr w14:val="tx1"/>
                        </w14:solidFill>
                      </w14:textFill>
                    </w:rPr>
                    <w:t>。</w:t>
                  </w:r>
                </w:p>
                <w:p w14:paraId="7408F3E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本项目</w:t>
                  </w:r>
                  <w:r>
                    <w:rPr>
                      <w:rFonts w:hint="eastAsia" w:cs="Times New Roman"/>
                      <w:color w:val="auto"/>
                      <w:sz w:val="21"/>
                      <w:szCs w:val="21"/>
                      <w:lang w:val="en-US" w:eastAsia="zh-CN"/>
                    </w:rPr>
                    <w:t>产生的</w:t>
                  </w:r>
                  <w:r>
                    <w:rPr>
                      <w:rFonts w:hint="default" w:ascii="Times New Roman" w:hAnsi="Times New Roman" w:cs="Times New Roman"/>
                      <w:color w:val="auto"/>
                      <w:sz w:val="21"/>
                      <w:szCs w:val="21"/>
                    </w:rPr>
                    <w:t>初期雨水</w:t>
                  </w:r>
                  <w:r>
                    <w:rPr>
                      <w:rFonts w:hint="eastAsia" w:cs="Times New Roman"/>
                      <w:color w:val="auto"/>
                      <w:sz w:val="21"/>
                      <w:szCs w:val="21"/>
                      <w:lang w:eastAsia="zh-CN"/>
                    </w:rPr>
                    <w:t>、</w:t>
                  </w:r>
                  <w:r>
                    <w:rPr>
                      <w:rFonts w:hint="eastAsia" w:cs="Times New Roman"/>
                      <w:color w:val="auto"/>
                      <w:sz w:val="21"/>
                      <w:szCs w:val="21"/>
                      <w:lang w:val="en-US" w:eastAsia="zh-CN"/>
                    </w:rPr>
                    <w:t>车辆及设备冲洗废水、</w:t>
                  </w:r>
                  <w:r>
                    <w:rPr>
                      <w:rFonts w:hint="eastAsia" w:ascii="Times New Roman" w:hAnsi="Times New Roman" w:cs="Times New Roman"/>
                      <w:color w:val="auto"/>
                      <w:sz w:val="21"/>
                      <w:szCs w:val="21"/>
                      <w:lang w:val="en-US" w:eastAsia="zh-CN"/>
                    </w:rPr>
                    <w:t>场地冲洗废水</w:t>
                  </w:r>
                  <w:r>
                    <w:rPr>
                      <w:rFonts w:hint="default" w:ascii="Times New Roman" w:hAnsi="Times New Roman" w:cs="Times New Roman"/>
                      <w:color w:val="auto"/>
                      <w:sz w:val="21"/>
                      <w:szCs w:val="21"/>
                    </w:rPr>
                    <w:t>排入三级隔油沉淀池处理</w:t>
                  </w:r>
                  <w:r>
                    <w:rPr>
                      <w:rFonts w:hint="eastAsia" w:cs="Times New Roman"/>
                      <w:color w:val="auto"/>
                      <w:sz w:val="21"/>
                      <w:szCs w:val="21"/>
                      <w:lang w:val="en-US" w:eastAsia="zh-CN"/>
                    </w:rPr>
                    <w:t>后</w:t>
                  </w:r>
                  <w:r>
                    <w:rPr>
                      <w:rFonts w:hint="eastAsia" w:ascii="Times New Roman" w:hAnsi="Times New Roman" w:eastAsia="宋体" w:cs="Times New Roman"/>
                      <w:smallCaps w:val="0"/>
                      <w:color w:val="auto"/>
                      <w:sz w:val="21"/>
                      <w:szCs w:val="21"/>
                      <w:lang w:val="en-US" w:eastAsia="zh-CN"/>
                    </w:rPr>
                    <w:t>回</w:t>
                  </w:r>
                  <w:r>
                    <w:rPr>
                      <w:rFonts w:hint="default" w:ascii="Times New Roman" w:hAnsi="Times New Roman" w:eastAsia="宋体" w:cs="Times New Roman"/>
                      <w:smallCaps w:val="0"/>
                      <w:color w:val="auto"/>
                      <w:sz w:val="21"/>
                      <w:szCs w:val="21"/>
                      <w:lang w:val="en-US" w:eastAsia="zh-CN"/>
                    </w:rPr>
                    <w:t>用于</w:t>
                  </w:r>
                  <w:r>
                    <w:rPr>
                      <w:rFonts w:hint="eastAsia" w:ascii="Times New Roman" w:hAnsi="Times New Roman" w:eastAsia="宋体" w:cs="Times New Roman"/>
                      <w:smallCaps w:val="0"/>
                      <w:color w:val="auto"/>
                      <w:sz w:val="21"/>
                      <w:szCs w:val="21"/>
                      <w:lang w:val="en-US" w:eastAsia="zh-CN"/>
                    </w:rPr>
                    <w:t>厂区</w:t>
                  </w:r>
                  <w:r>
                    <w:rPr>
                      <w:rFonts w:hint="default" w:ascii="Times New Roman" w:hAnsi="Times New Roman" w:eastAsia="宋体" w:cs="Times New Roman"/>
                      <w:smallCaps w:val="0"/>
                      <w:color w:val="auto"/>
                      <w:sz w:val="21"/>
                      <w:szCs w:val="21"/>
                      <w:lang w:val="en-US" w:eastAsia="zh-CN"/>
                    </w:rPr>
                    <w:t>搅拌工作区地面冲洗</w:t>
                  </w:r>
                  <w:r>
                    <w:rPr>
                      <w:rFonts w:hint="eastAsia" w:ascii="Times New Roman" w:hAnsi="Times New Roman" w:eastAsia="宋体" w:cs="Times New Roman"/>
                      <w:smallCaps w:val="0"/>
                      <w:color w:val="auto"/>
                      <w:sz w:val="21"/>
                      <w:szCs w:val="21"/>
                      <w:lang w:val="en-US" w:eastAsia="zh-CN"/>
                    </w:rPr>
                    <w:t>及洒水降尘</w:t>
                  </w:r>
                  <w:r>
                    <w:rPr>
                      <w:rFonts w:hint="default" w:ascii="Times New Roman" w:hAnsi="Times New Roman" w:cs="Times New Roman"/>
                      <w:color w:val="auto"/>
                      <w:sz w:val="21"/>
                      <w:szCs w:val="21"/>
                    </w:rPr>
                    <w:t>；</w:t>
                  </w:r>
                  <w:r>
                    <w:rPr>
                      <w:rFonts w:hint="eastAsia" w:ascii="Times New Roman" w:hAnsi="Times New Roman" w:eastAsia="宋体" w:cs="Times New Roman"/>
                      <w:color w:val="auto"/>
                      <w:sz w:val="21"/>
                      <w:szCs w:val="21"/>
                      <w:lang w:val="en-US" w:eastAsia="zh-CN"/>
                    </w:rPr>
                    <w:t>生活污水</w:t>
                  </w:r>
                  <w:r>
                    <w:rPr>
                      <w:rFonts w:hint="default"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lang w:val="en-US" w:eastAsia="zh-CN"/>
                    </w:rPr>
                    <w:t>化粪池及</w:t>
                  </w:r>
                  <w:r>
                    <w:rPr>
                      <w:rFonts w:hint="default" w:ascii="Times New Roman" w:hAnsi="Times New Roman" w:eastAsia="宋体" w:cs="Times New Roman"/>
                      <w:color w:val="auto"/>
                      <w:sz w:val="21"/>
                      <w:szCs w:val="21"/>
                      <w:lang w:val="en-US" w:eastAsia="zh-CN"/>
                    </w:rPr>
                    <w:t>污水处理站处理后近期</w:t>
                  </w:r>
                  <w:r>
                    <w:rPr>
                      <w:rFonts w:hint="eastAsia" w:ascii="Times New Roman" w:hAnsi="Times New Roman" w:eastAsia="宋体" w:cs="Times New Roman"/>
                      <w:color w:val="auto"/>
                      <w:sz w:val="21"/>
                      <w:szCs w:val="21"/>
                      <w:lang w:val="en-US" w:eastAsia="zh-CN"/>
                    </w:rPr>
                    <w:t>用于厂区绿化；</w:t>
                  </w:r>
                  <w:r>
                    <w:rPr>
                      <w:rFonts w:hint="default" w:ascii="Times New Roman" w:hAnsi="Times New Roman" w:eastAsia="宋体" w:cs="Times New Roman"/>
                      <w:color w:val="auto"/>
                      <w:sz w:val="21"/>
                      <w:szCs w:val="21"/>
                      <w:lang w:val="en-US" w:eastAsia="zh-CN"/>
                    </w:rPr>
                    <w:t>远期进入帕底工业园区污水处理厂</w:t>
                  </w:r>
                  <w:r>
                    <w:rPr>
                      <w:rFonts w:hint="eastAsia" w:ascii="Times New Roman" w:hAnsi="Times New Roman" w:eastAsia="宋体" w:cs="Times New Roman"/>
                      <w:color w:val="auto"/>
                      <w:sz w:val="21"/>
                      <w:szCs w:val="21"/>
                      <w:lang w:val="en-US" w:eastAsia="zh-CN"/>
                    </w:rPr>
                    <w:t>，因此不设置入河排污口。</w:t>
                  </w:r>
                </w:p>
                <w:p w14:paraId="30D615D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w:t>
                  </w:r>
                  <w:r>
                    <w:rPr>
                      <w:rFonts w:hint="eastAsia" w:ascii="Times New Roman" w:hAnsi="Times New Roman" w:eastAsia="宋体"/>
                      <w:color w:val="000000" w:themeColor="text1"/>
                      <w:sz w:val="21"/>
                      <w:szCs w:val="21"/>
                      <w14:textFill>
                        <w14:solidFill>
                          <w14:schemeClr w14:val="tx1"/>
                        </w14:solidFill>
                      </w14:textFill>
                    </w:rPr>
                    <w:t>、本项目施工期</w:t>
                  </w:r>
                  <w:r>
                    <w:rPr>
                      <w:rFonts w:hint="eastAsia" w:ascii="Times New Roman" w:hAnsi="Times New Roman" w:eastAsia="宋体"/>
                      <w:color w:val="000000" w:themeColor="text1"/>
                      <w:sz w:val="21"/>
                      <w:szCs w:val="21"/>
                      <w:lang w:val="en-US" w:eastAsia="zh-CN"/>
                      <w14:textFill>
                        <w14:solidFill>
                          <w14:schemeClr w14:val="tx1"/>
                        </w14:solidFill>
                      </w14:textFill>
                    </w:rPr>
                    <w:t>已</w:t>
                  </w:r>
                  <w:r>
                    <w:rPr>
                      <w:rFonts w:hint="eastAsia" w:ascii="Times New Roman" w:hAnsi="Times New Roman" w:eastAsia="宋体"/>
                      <w:color w:val="000000" w:themeColor="text1"/>
                      <w:sz w:val="21"/>
                      <w:szCs w:val="21"/>
                      <w14:textFill>
                        <w14:solidFill>
                          <w14:schemeClr w14:val="tx1"/>
                        </w14:solidFill>
                      </w14:textFill>
                    </w:rPr>
                    <w:t>严格按照</w:t>
                  </w:r>
                  <w:r>
                    <w:rPr>
                      <w:rFonts w:ascii="Times New Roman" w:hAnsi="Times New Roman" w:eastAsia="宋体"/>
                      <w:color w:val="000000" w:themeColor="text1"/>
                      <w:sz w:val="21"/>
                      <w:szCs w:val="21"/>
                      <w14:textFill>
                        <w14:solidFill>
                          <w14:schemeClr w14:val="tx1"/>
                        </w14:solidFill>
                      </w14:textFill>
                    </w:rPr>
                    <w:t>六个百分百</w:t>
                  </w:r>
                  <w:r>
                    <w:rPr>
                      <w:rFonts w:hint="eastAsia" w:ascii="Times New Roman" w:hAnsi="Times New Roman" w:eastAsia="宋体"/>
                      <w:color w:val="000000" w:themeColor="text1"/>
                      <w:sz w:val="21"/>
                      <w:szCs w:val="21"/>
                      <w:lang w:val="en-US" w:eastAsia="zh-CN"/>
                      <w14:textFill>
                        <w14:solidFill>
                          <w14:schemeClr w14:val="tx1"/>
                        </w14:solidFill>
                      </w14:textFill>
                    </w:rPr>
                    <w:t>施工并</w:t>
                  </w:r>
                  <w:r>
                    <w:rPr>
                      <w:rFonts w:hint="eastAsia" w:ascii="Times New Roman" w:hAnsi="Times New Roman" w:eastAsia="宋体"/>
                      <w:color w:val="000000" w:themeColor="text1"/>
                      <w:sz w:val="21"/>
                      <w:szCs w:val="21"/>
                      <w14:textFill>
                        <w14:solidFill>
                          <w14:schemeClr w14:val="tx1"/>
                        </w14:solidFill>
                      </w14:textFill>
                    </w:rPr>
                    <w:t>进行管理。</w:t>
                  </w:r>
                </w:p>
                <w:p w14:paraId="33D14B9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5、6：该项目产生的废气可达标排放，对空气环境影响小。</w:t>
                  </w:r>
                </w:p>
              </w:tc>
              <w:tc>
                <w:tcPr>
                  <w:tcW w:w="381" w:type="pct"/>
                  <w:tcBorders>
                    <w:top w:val="single" w:color="000000" w:sz="4" w:space="0"/>
                    <w:left w:val="single" w:color="000000" w:sz="4" w:space="0"/>
                    <w:bottom w:val="single" w:color="000000" w:sz="4" w:space="0"/>
                    <w:right w:val="single" w:color="000000" w:sz="4" w:space="0"/>
                  </w:tcBorders>
                  <w:vAlign w:val="center"/>
                </w:tcPr>
                <w:p w14:paraId="0BD00A6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7DCCB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45" w:type="pct"/>
                  <w:vMerge w:val="continue"/>
                  <w:tcBorders>
                    <w:left w:val="single" w:color="000000" w:sz="4" w:space="0"/>
                    <w:right w:val="single" w:color="000000" w:sz="4" w:space="0"/>
                  </w:tcBorders>
                  <w:vAlign w:val="center"/>
                </w:tcPr>
                <w:p w14:paraId="27F5227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p>
              </w:tc>
              <w:tc>
                <w:tcPr>
                  <w:tcW w:w="407" w:type="pct"/>
                  <w:tcBorders>
                    <w:top w:val="single" w:color="000000" w:sz="4" w:space="0"/>
                    <w:left w:val="single" w:color="000000" w:sz="4" w:space="0"/>
                    <w:bottom w:val="single" w:color="000000" w:sz="4" w:space="0"/>
                    <w:right w:val="single" w:color="000000" w:sz="4" w:space="0"/>
                  </w:tcBorders>
                  <w:vAlign w:val="center"/>
                </w:tcPr>
                <w:p w14:paraId="2157088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环境风险防控</w:t>
                  </w:r>
                </w:p>
              </w:tc>
              <w:tc>
                <w:tcPr>
                  <w:tcW w:w="1908" w:type="pct"/>
                  <w:tcBorders>
                    <w:top w:val="single" w:color="000000" w:sz="4" w:space="0"/>
                    <w:left w:val="single" w:color="000000" w:sz="4" w:space="0"/>
                    <w:bottom w:val="single" w:color="000000" w:sz="4" w:space="0"/>
                    <w:right w:val="single" w:color="000000" w:sz="4" w:space="0"/>
                  </w:tcBorders>
                  <w:vAlign w:val="center"/>
                </w:tcPr>
                <w:p w14:paraId="4E21ABA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1.切实推动勐板河饮用水源地环境隐患问题整改工作，强化集中式水源地规范化建设，完善防护隔离。</w:t>
                  </w:r>
                </w:p>
                <w:p w14:paraId="2A70F48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加强备用水源地环境保护，彻底整改省委省政府生态环境保护督察“回头看”中对芒究水库的反馈问题，在备用水源地完成调换前，实施定期监测、检测和评估饮用水水源、供水厂出水和用户水龙头水质等工作，确保饮用水安全。</w:t>
                  </w:r>
                </w:p>
                <w:p w14:paraId="6D13BD6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3.建立芒市城市环境空气质量预报预警平台，提升预报预警准确率，建立健全污染应急响应机制。</w:t>
                  </w:r>
                </w:p>
                <w:p w14:paraId="1E41142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4.与瑞丽市探索建立大气污染防治联防联控机制，通过“统一研究、统一部署、统一施策、统一标准”和应急同步响应、信息及时互通、工作协同推进等联防联控措施，确保大气环境质量持续优良。</w:t>
                  </w:r>
                </w:p>
                <w:p w14:paraId="56864D4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5.禁止建设排放重金属、“三致物”、剧毒物质污染物的项目，严格控制持久性有机污染物的项目。</w:t>
                  </w:r>
                </w:p>
              </w:tc>
              <w:tc>
                <w:tcPr>
                  <w:tcW w:w="1956" w:type="pct"/>
                  <w:tcBorders>
                    <w:top w:val="single" w:color="000000" w:sz="4" w:space="0"/>
                    <w:left w:val="single" w:color="000000" w:sz="4" w:space="0"/>
                    <w:bottom w:val="single" w:color="000000" w:sz="4" w:space="0"/>
                    <w:right w:val="single" w:color="000000" w:sz="4" w:space="0"/>
                  </w:tcBorders>
                  <w:vAlign w:val="center"/>
                </w:tcPr>
                <w:p w14:paraId="71D3EFC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1、项目不涉及</w:t>
                  </w:r>
                  <w:r>
                    <w:rPr>
                      <w:rFonts w:ascii="Times New Roman" w:hAnsi="Times New Roman" w:eastAsia="宋体"/>
                      <w:color w:val="000000" w:themeColor="text1"/>
                      <w:sz w:val="21"/>
                      <w:szCs w:val="21"/>
                      <w14:textFill>
                        <w14:solidFill>
                          <w14:schemeClr w14:val="tx1"/>
                        </w14:solidFill>
                      </w14:textFill>
                    </w:rPr>
                    <w:t>勐板河</w:t>
                  </w:r>
                  <w:r>
                    <w:rPr>
                      <w:rFonts w:hint="eastAsia" w:ascii="Times New Roman" w:hAnsi="Times New Roman" w:eastAsia="宋体"/>
                      <w:color w:val="000000" w:themeColor="text1"/>
                      <w:sz w:val="21"/>
                      <w:szCs w:val="21"/>
                      <w14:textFill>
                        <w14:solidFill>
                          <w14:schemeClr w14:val="tx1"/>
                        </w14:solidFill>
                      </w14:textFill>
                    </w:rPr>
                    <w:t>管理范围</w:t>
                  </w:r>
                  <w:r>
                    <w:rPr>
                      <w:rFonts w:hint="eastAsia" w:ascii="Times New Roman" w:hAnsi="Times New Roman" w:eastAsia="宋体"/>
                      <w:color w:val="000000" w:themeColor="text1"/>
                      <w:sz w:val="21"/>
                      <w:szCs w:val="21"/>
                      <w:lang w:eastAsia="zh-CN"/>
                      <w14:textFill>
                        <w14:solidFill>
                          <w14:schemeClr w14:val="tx1"/>
                        </w14:solidFill>
                      </w14:textFill>
                    </w:rPr>
                    <w:t>。</w:t>
                  </w:r>
                </w:p>
                <w:p w14:paraId="4CD473B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2、不涉及饮用水源地</w:t>
                  </w:r>
                  <w:r>
                    <w:rPr>
                      <w:rFonts w:hint="eastAsia" w:ascii="Times New Roman" w:hAnsi="Times New Roman" w:eastAsia="宋体"/>
                      <w:color w:val="000000" w:themeColor="text1"/>
                      <w:sz w:val="21"/>
                      <w:szCs w:val="21"/>
                      <w:lang w:eastAsia="zh-CN"/>
                      <w14:textFill>
                        <w14:solidFill>
                          <w14:schemeClr w14:val="tx1"/>
                        </w14:solidFill>
                      </w14:textFill>
                    </w:rPr>
                    <w:t>。</w:t>
                  </w:r>
                </w:p>
                <w:p w14:paraId="6648E73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w:t>
                  </w:r>
                  <w:r>
                    <w:rPr>
                      <w:rFonts w:hint="eastAsia" w:ascii="Times New Roman" w:hAnsi="Times New Roman" w:eastAsia="宋体"/>
                      <w:color w:val="000000" w:themeColor="text1"/>
                      <w:sz w:val="21"/>
                      <w:szCs w:val="21"/>
                      <w:lang w:val="en-US" w:eastAsia="zh-CN"/>
                      <w14:textFill>
                        <w14:solidFill>
                          <w14:schemeClr w14:val="tx1"/>
                        </w14:solidFill>
                      </w14:textFill>
                    </w:rPr>
                    <w:t>4：该项目产生的废气可达标排放，对空气环境影响小。</w:t>
                  </w:r>
                </w:p>
                <w:p w14:paraId="39F7132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5、该项目不涉及排放</w:t>
                  </w:r>
                  <w:r>
                    <w:rPr>
                      <w:rFonts w:ascii="Times New Roman" w:hAnsi="Times New Roman" w:eastAsia="宋体"/>
                      <w:color w:val="000000" w:themeColor="text1"/>
                      <w:sz w:val="21"/>
                      <w:szCs w:val="21"/>
                      <w14:textFill>
                        <w14:solidFill>
                          <w14:schemeClr w14:val="tx1"/>
                        </w14:solidFill>
                      </w14:textFill>
                    </w:rPr>
                    <w:t>重金属、“三致物”、剧毒物质污染物</w:t>
                  </w:r>
                  <w:r>
                    <w:rPr>
                      <w:rFonts w:hint="eastAsia" w:ascii="Times New Roman" w:hAnsi="Times New Roman" w:eastAsia="宋体"/>
                      <w:color w:val="000000" w:themeColor="text1"/>
                      <w:sz w:val="21"/>
                      <w:szCs w:val="21"/>
                      <w:lang w:eastAsia="zh-CN"/>
                      <w14:textFill>
                        <w14:solidFill>
                          <w14:schemeClr w14:val="tx1"/>
                        </w14:solidFill>
                      </w14:textFill>
                    </w:rPr>
                    <w:t>。</w:t>
                  </w:r>
                </w:p>
              </w:tc>
              <w:tc>
                <w:tcPr>
                  <w:tcW w:w="381" w:type="pct"/>
                  <w:tcBorders>
                    <w:top w:val="single" w:color="000000" w:sz="4" w:space="0"/>
                    <w:left w:val="single" w:color="000000" w:sz="4" w:space="0"/>
                    <w:bottom w:val="single" w:color="000000" w:sz="4" w:space="0"/>
                    <w:right w:val="single" w:color="000000" w:sz="4" w:space="0"/>
                  </w:tcBorders>
                  <w:vAlign w:val="center"/>
                </w:tcPr>
                <w:p w14:paraId="4B7A946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6E062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45" w:type="pct"/>
                  <w:vMerge w:val="continue"/>
                  <w:tcBorders>
                    <w:left w:val="single" w:color="000000" w:sz="4" w:space="0"/>
                    <w:right w:val="single" w:color="000000" w:sz="4" w:space="0"/>
                  </w:tcBorders>
                  <w:vAlign w:val="center"/>
                </w:tcPr>
                <w:p w14:paraId="6ED4927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p>
              </w:tc>
              <w:tc>
                <w:tcPr>
                  <w:tcW w:w="407" w:type="pct"/>
                  <w:tcBorders>
                    <w:top w:val="single" w:color="000000" w:sz="4" w:space="0"/>
                    <w:left w:val="single" w:color="000000" w:sz="4" w:space="0"/>
                    <w:bottom w:val="single" w:color="000000" w:sz="4" w:space="0"/>
                    <w:right w:val="single" w:color="000000" w:sz="4" w:space="0"/>
                  </w:tcBorders>
                  <w:vAlign w:val="center"/>
                </w:tcPr>
                <w:p w14:paraId="73BCEA4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资源开发利用</w:t>
                  </w:r>
                </w:p>
              </w:tc>
              <w:tc>
                <w:tcPr>
                  <w:tcW w:w="1908" w:type="pct"/>
                  <w:tcBorders>
                    <w:top w:val="single" w:color="000000" w:sz="4" w:space="0"/>
                    <w:left w:val="single" w:color="000000" w:sz="4" w:space="0"/>
                    <w:bottom w:val="single" w:color="000000" w:sz="4" w:space="0"/>
                    <w:right w:val="single" w:color="000000" w:sz="4" w:space="0"/>
                  </w:tcBorders>
                  <w:vAlign w:val="center"/>
                </w:tcPr>
                <w:p w14:paraId="4C14000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1.鼓励将城市污水处理厂再生水、分散污水处理设施尾水以及经收集和处理后的雨水用于河道生态补水。</w:t>
                  </w:r>
                </w:p>
                <w:p w14:paraId="26EDFF8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禁燃区内全面禁止使用原（散）煤、洗选煤、蜂窝煤、焦炭、木炭、煤矸石、煤泥、煤焦油、重油、渣油等高污染燃料，全面禁止将废弃沥青、油毡、橡胶、塑料、皮革及其他焚烧产生有毒有害烟尘和恶臭的物质作为燃料使用。</w:t>
                  </w:r>
                </w:p>
                <w:p w14:paraId="41A547C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3.推进“煤改气”“煤改电”，加快天然气建设和推广，加大燃气汽车、混合动力汽车和电动汽车等清洁能源汽车的使用力度，进一步提高清洁能源使用率。</w:t>
                  </w:r>
                </w:p>
              </w:tc>
              <w:tc>
                <w:tcPr>
                  <w:tcW w:w="1956" w:type="pct"/>
                  <w:tcBorders>
                    <w:top w:val="single" w:color="000000" w:sz="4" w:space="0"/>
                    <w:left w:val="single" w:color="000000" w:sz="4" w:space="0"/>
                    <w:bottom w:val="single" w:color="000000" w:sz="4" w:space="0"/>
                    <w:right w:val="single" w:color="000000" w:sz="4" w:space="0"/>
                  </w:tcBorders>
                  <w:vAlign w:val="center"/>
                </w:tcPr>
                <w:p w14:paraId="69B120D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Times New Roman" w:eastAsia="宋体" w:cs="Times New Roman"/>
                      <w:smallCaps w:val="0"/>
                      <w:color w:val="auto"/>
                      <w:sz w:val="21"/>
                      <w:szCs w:val="21"/>
                      <w:lang w:val="en-US" w:eastAsia="zh-CN"/>
                    </w:rPr>
                  </w:pPr>
                  <w:r>
                    <w:rPr>
                      <w:rFonts w:hint="eastAsia" w:ascii="Times New Roman" w:hAnsi="Times New Roman" w:eastAsia="宋体"/>
                      <w:color w:val="000000" w:themeColor="text1"/>
                      <w:sz w:val="21"/>
                      <w:szCs w:val="21"/>
                      <w:lang w:val="en-US" w:eastAsia="zh-CN"/>
                      <w14:textFill>
                        <w14:solidFill>
                          <w14:schemeClr w14:val="tx1"/>
                        </w14:solidFill>
                      </w14:textFill>
                    </w:rPr>
                    <w:t>1、</w:t>
                  </w:r>
                  <w:r>
                    <w:rPr>
                      <w:rFonts w:ascii="Times New Roman" w:hAnsi="Times New Roman" w:eastAsia="宋体"/>
                      <w:color w:val="000000" w:themeColor="text1"/>
                      <w:sz w:val="21"/>
                      <w:szCs w:val="21"/>
                      <w14:textFill>
                        <w14:solidFill>
                          <w14:schemeClr w14:val="tx1"/>
                        </w14:solidFill>
                      </w14:textFill>
                    </w:rPr>
                    <w:t>项目</w:t>
                  </w:r>
                  <w:r>
                    <w:rPr>
                      <w:rFonts w:hint="eastAsia" w:ascii="Times New Roman" w:hAnsi="Times New Roman" w:eastAsia="宋体"/>
                      <w:color w:val="000000" w:themeColor="text1"/>
                      <w:sz w:val="21"/>
                      <w:szCs w:val="21"/>
                      <w:lang w:val="en-US" w:eastAsia="zh-CN"/>
                      <w14:textFill>
                        <w14:solidFill>
                          <w14:schemeClr w14:val="tx1"/>
                        </w14:solidFill>
                      </w14:textFill>
                    </w:rPr>
                    <w:t>产生的初期雨水、生产废水用于</w:t>
                  </w:r>
                  <w:r>
                    <w:rPr>
                      <w:rFonts w:hint="default" w:ascii="Times New Roman" w:hAnsi="Times New Roman" w:eastAsia="宋体" w:cs="Times New Roman"/>
                      <w:smallCaps w:val="0"/>
                      <w:color w:val="auto"/>
                      <w:sz w:val="21"/>
                      <w:szCs w:val="21"/>
                      <w:lang w:val="en-US" w:eastAsia="zh-CN"/>
                    </w:rPr>
                    <w:t>地面冲洗</w:t>
                  </w:r>
                  <w:r>
                    <w:rPr>
                      <w:rFonts w:hint="eastAsia" w:ascii="Times New Roman" w:hAnsi="Times New Roman" w:eastAsia="宋体" w:cs="Times New Roman"/>
                      <w:smallCaps w:val="0"/>
                      <w:color w:val="auto"/>
                      <w:sz w:val="21"/>
                      <w:szCs w:val="21"/>
                      <w:lang w:val="en-US" w:eastAsia="zh-CN"/>
                    </w:rPr>
                    <w:t>及洒水降尘，不直接外排。</w:t>
                  </w:r>
                </w:p>
                <w:p w14:paraId="20F03AC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default" w:ascii="Times New Roman" w:hAnsi="Times New Roman" w:eastAsia="宋体" w:cs="Times New Roman"/>
                      <w:smallCaps w:val="0"/>
                      <w:color w:val="auto"/>
                      <w:sz w:val="21"/>
                      <w:szCs w:val="21"/>
                      <w:lang w:val="en-US" w:eastAsia="zh-CN"/>
                    </w:rPr>
                  </w:pPr>
                  <w:r>
                    <w:rPr>
                      <w:rFonts w:hint="eastAsia" w:ascii="Times New Roman" w:hAnsi="Times New Roman" w:eastAsia="宋体" w:cs="Times New Roman"/>
                      <w:smallCaps w:val="0"/>
                      <w:color w:val="auto"/>
                      <w:sz w:val="21"/>
                      <w:szCs w:val="21"/>
                      <w:lang w:val="en-US" w:eastAsia="zh-CN"/>
                    </w:rPr>
                    <w:t>2、3：该项目不属于</w:t>
                  </w:r>
                  <w:r>
                    <w:rPr>
                      <w:rFonts w:ascii="Times New Roman" w:hAnsi="Times New Roman" w:eastAsia="宋体"/>
                      <w:color w:val="000000" w:themeColor="text1"/>
                      <w:sz w:val="21"/>
                      <w:szCs w:val="21"/>
                      <w14:textFill>
                        <w14:solidFill>
                          <w14:schemeClr w14:val="tx1"/>
                        </w14:solidFill>
                      </w14:textFill>
                    </w:rPr>
                    <w:t>禁燃区</w:t>
                  </w:r>
                  <w:r>
                    <w:rPr>
                      <w:rFonts w:hint="eastAsia" w:ascii="Times New Roman" w:hAnsi="Times New Roman" w:eastAsia="宋体"/>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lang w:val="en-US" w:eastAsia="zh-CN"/>
                      <w14:textFill>
                        <w14:solidFill>
                          <w14:schemeClr w14:val="tx1"/>
                        </w14:solidFill>
                      </w14:textFill>
                    </w:rPr>
                    <w:t>使用的能源主要是一般柴油、轻质柴油。</w:t>
                  </w:r>
                </w:p>
              </w:tc>
              <w:tc>
                <w:tcPr>
                  <w:tcW w:w="381" w:type="pct"/>
                  <w:tcBorders>
                    <w:top w:val="single" w:color="000000" w:sz="4" w:space="0"/>
                    <w:left w:val="single" w:color="000000" w:sz="4" w:space="0"/>
                    <w:bottom w:val="single" w:color="000000" w:sz="4" w:space="0"/>
                    <w:right w:val="single" w:color="000000" w:sz="4" w:space="0"/>
                  </w:tcBorders>
                  <w:vAlign w:val="center"/>
                </w:tcPr>
                <w:p w14:paraId="0050D10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符合</w:t>
                  </w:r>
                </w:p>
              </w:tc>
            </w:tr>
            <w:tr w14:paraId="3D6B3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45" w:type="pct"/>
                  <w:vMerge w:val="restart"/>
                  <w:tcBorders>
                    <w:left w:val="single" w:color="000000" w:sz="4" w:space="0"/>
                    <w:right w:val="single" w:color="000000" w:sz="4" w:space="0"/>
                  </w:tcBorders>
                  <w:vAlign w:val="center"/>
                </w:tcPr>
                <w:p w14:paraId="593200C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芒市工业园区重点管控单元</w:t>
                  </w:r>
                </w:p>
              </w:tc>
              <w:tc>
                <w:tcPr>
                  <w:tcW w:w="407" w:type="pct"/>
                  <w:tcBorders>
                    <w:top w:val="single" w:color="000000" w:sz="4" w:space="0"/>
                    <w:left w:val="single" w:color="000000" w:sz="4" w:space="0"/>
                    <w:bottom w:val="single" w:color="000000" w:sz="4" w:space="0"/>
                    <w:right w:val="single" w:color="000000" w:sz="4" w:space="0"/>
                  </w:tcBorders>
                  <w:vAlign w:val="center"/>
                </w:tcPr>
                <w:p w14:paraId="186DE2A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空间布局约束</w:t>
                  </w:r>
                </w:p>
              </w:tc>
              <w:tc>
                <w:tcPr>
                  <w:tcW w:w="1908" w:type="pct"/>
                  <w:tcBorders>
                    <w:top w:val="single" w:color="000000" w:sz="4" w:space="0"/>
                    <w:left w:val="single" w:color="000000" w:sz="4" w:space="0"/>
                    <w:bottom w:val="single" w:color="000000" w:sz="4" w:space="0"/>
                    <w:right w:val="single" w:color="000000" w:sz="4" w:space="0"/>
                  </w:tcBorders>
                  <w:vAlign w:val="center"/>
                </w:tcPr>
                <w:p w14:paraId="1ABED8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1.对入驻芒市食品产业园的企业实行严格的环境保护准入制度，禁止高污染、高消耗、高排放、环境保护不达标的企业进驻。</w:t>
                  </w:r>
                </w:p>
                <w:p w14:paraId="67FA3B1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2.调整芒市食品产业园西南部布局，合理布局与农特产品相关的产业。</w:t>
                  </w:r>
                </w:p>
                <w:p w14:paraId="11D84AF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3.与芒市食品产业园园区规划功能不符的现有企业不得再行扩建或技改，建议园区结合建设情况制定实施方案，实行逐步转型或淘汰。</w:t>
                  </w:r>
                </w:p>
                <w:p w14:paraId="1DE2994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4.根据芒市大河和龙江污染治理进度，合理为进驻企业安排水环境容量，不得引进无法解决水环境容量的企业。</w:t>
                  </w:r>
                </w:p>
                <w:p w14:paraId="12EF98A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5.遮放片区只布局外向型电子产品加工等产业，严禁耗水量大、污染高的企业入驻，优先引进不排水或少排水企业，不得引进无法解决水环境容量的企业。</w:t>
                  </w:r>
                </w:p>
              </w:tc>
              <w:tc>
                <w:tcPr>
                  <w:tcW w:w="1956" w:type="pct"/>
                  <w:tcBorders>
                    <w:top w:val="single" w:color="000000" w:sz="4" w:space="0"/>
                    <w:left w:val="single" w:color="000000" w:sz="4" w:space="0"/>
                    <w:bottom w:val="single" w:color="000000" w:sz="4" w:space="0"/>
                    <w:right w:val="single" w:color="000000" w:sz="4" w:space="0"/>
                  </w:tcBorders>
                  <w:vAlign w:val="center"/>
                </w:tcPr>
                <w:p w14:paraId="4A30CDA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1、2、3：项目不位于</w:t>
                  </w:r>
                  <w:r>
                    <w:rPr>
                      <w:rFonts w:ascii="Times New Roman" w:hAnsi="Times New Roman" w:eastAsia="宋体" w:cs="Times New Roman"/>
                      <w:color w:val="000000" w:themeColor="text1"/>
                      <w:sz w:val="21"/>
                      <w:szCs w:val="21"/>
                      <w14:textFill>
                        <w14:solidFill>
                          <w14:schemeClr w14:val="tx1"/>
                        </w14:solidFill>
                      </w14:textFill>
                    </w:rPr>
                    <w:t>芒市食品产业园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内。</w:t>
                  </w:r>
                </w:p>
                <w:p w14:paraId="5C6B96F8">
                  <w:pPr>
                    <w:keepNext w:val="0"/>
                    <w:keepLines w:val="0"/>
                    <w:pageBreakBefore w:val="0"/>
                    <w:widowControl w:val="0"/>
                    <w:numPr>
                      <w:ilvl w:val="0"/>
                      <w:numId w:val="2"/>
                    </w:numPr>
                    <w:kinsoku/>
                    <w:wordWrap/>
                    <w:overflowPunct/>
                    <w:topLinePunct w:val="0"/>
                    <w:autoSpaceDE/>
                    <w:autoSpaceDN/>
                    <w:bidi w:val="0"/>
                    <w:spacing w:line="240" w:lineRule="auto"/>
                    <w:ind w:left="0" w:leftChars="0" w:right="0" w:rightChars="0" w:firstLine="0" w:firstLineChars="0"/>
                    <w:jc w:val="left"/>
                    <w:textAlignment w:val="auto"/>
                    <w:rPr>
                      <w:rFonts w:hint="eastAsia" w:ascii="Times New Roman" w:hAnsi="Times New Roman" w:eastAsia="宋体" w:cs="Times New Roman"/>
                      <w:color w:val="auto"/>
                      <w:sz w:val="21"/>
                      <w:szCs w:val="21"/>
                      <w:lang w:val="en-US" w:eastAsia="zh-CN"/>
                    </w:rPr>
                  </w:pPr>
                  <w:r>
                    <w:rPr>
                      <w:rFonts w:ascii="Times New Roman" w:hAnsi="Times New Roman" w:eastAsia="宋体"/>
                      <w:color w:val="000000" w:themeColor="text1"/>
                      <w:sz w:val="21"/>
                      <w:szCs w:val="21"/>
                      <w14:textFill>
                        <w14:solidFill>
                          <w14:schemeClr w14:val="tx1"/>
                        </w14:solidFill>
                      </w14:textFill>
                    </w:rPr>
                    <w:t>本项目</w:t>
                  </w:r>
                  <w:r>
                    <w:rPr>
                      <w:rFonts w:hint="eastAsia" w:cs="Times New Roman"/>
                      <w:color w:val="auto"/>
                      <w:sz w:val="21"/>
                      <w:szCs w:val="21"/>
                      <w:lang w:val="en-US" w:eastAsia="zh-CN"/>
                    </w:rPr>
                    <w:t>产生的</w:t>
                  </w:r>
                  <w:r>
                    <w:rPr>
                      <w:rFonts w:hint="default" w:ascii="Times New Roman" w:hAnsi="Times New Roman" w:cs="Times New Roman"/>
                      <w:color w:val="auto"/>
                      <w:sz w:val="21"/>
                      <w:szCs w:val="21"/>
                    </w:rPr>
                    <w:t>初期雨水</w:t>
                  </w:r>
                  <w:r>
                    <w:rPr>
                      <w:rFonts w:hint="eastAsia" w:cs="Times New Roman"/>
                      <w:color w:val="auto"/>
                      <w:sz w:val="21"/>
                      <w:szCs w:val="21"/>
                      <w:lang w:eastAsia="zh-CN"/>
                    </w:rPr>
                    <w:t>、</w:t>
                  </w:r>
                  <w:r>
                    <w:rPr>
                      <w:rFonts w:hint="eastAsia" w:cs="Times New Roman"/>
                      <w:color w:val="auto"/>
                      <w:sz w:val="21"/>
                      <w:szCs w:val="21"/>
                      <w:lang w:val="en-US" w:eastAsia="zh-CN"/>
                    </w:rPr>
                    <w:t>车辆及设备冲洗废水、</w:t>
                  </w:r>
                  <w:r>
                    <w:rPr>
                      <w:rFonts w:hint="eastAsia" w:ascii="Times New Roman" w:hAnsi="Times New Roman" w:cs="Times New Roman"/>
                      <w:color w:val="auto"/>
                      <w:sz w:val="21"/>
                      <w:szCs w:val="21"/>
                      <w:lang w:val="en-US" w:eastAsia="zh-CN"/>
                    </w:rPr>
                    <w:t>场地冲洗废水</w:t>
                  </w:r>
                  <w:r>
                    <w:rPr>
                      <w:rFonts w:hint="default" w:ascii="Times New Roman" w:hAnsi="Times New Roman" w:cs="Times New Roman"/>
                      <w:color w:val="auto"/>
                      <w:sz w:val="21"/>
                      <w:szCs w:val="21"/>
                    </w:rPr>
                    <w:t>排入三级隔油沉淀池处理</w:t>
                  </w:r>
                  <w:r>
                    <w:rPr>
                      <w:rFonts w:hint="eastAsia" w:cs="Times New Roman"/>
                      <w:color w:val="auto"/>
                      <w:sz w:val="21"/>
                      <w:szCs w:val="21"/>
                      <w:lang w:val="en-US" w:eastAsia="zh-CN"/>
                    </w:rPr>
                    <w:t>后</w:t>
                  </w:r>
                  <w:r>
                    <w:rPr>
                      <w:rFonts w:hint="eastAsia" w:ascii="Times New Roman" w:hAnsi="Times New Roman" w:eastAsia="宋体" w:cs="Times New Roman"/>
                      <w:smallCaps w:val="0"/>
                      <w:color w:val="auto"/>
                      <w:sz w:val="21"/>
                      <w:szCs w:val="21"/>
                      <w:lang w:val="en-US" w:eastAsia="zh-CN"/>
                    </w:rPr>
                    <w:t>回</w:t>
                  </w:r>
                  <w:r>
                    <w:rPr>
                      <w:rFonts w:hint="default" w:ascii="Times New Roman" w:hAnsi="Times New Roman" w:eastAsia="宋体" w:cs="Times New Roman"/>
                      <w:smallCaps w:val="0"/>
                      <w:color w:val="auto"/>
                      <w:sz w:val="21"/>
                      <w:szCs w:val="21"/>
                      <w:lang w:val="en-US" w:eastAsia="zh-CN"/>
                    </w:rPr>
                    <w:t>用于</w:t>
                  </w:r>
                  <w:r>
                    <w:rPr>
                      <w:rFonts w:hint="eastAsia" w:ascii="Times New Roman" w:hAnsi="Times New Roman" w:eastAsia="宋体" w:cs="Times New Roman"/>
                      <w:smallCaps w:val="0"/>
                      <w:color w:val="auto"/>
                      <w:sz w:val="21"/>
                      <w:szCs w:val="21"/>
                      <w:lang w:val="en-US" w:eastAsia="zh-CN"/>
                    </w:rPr>
                    <w:t>厂区</w:t>
                  </w:r>
                  <w:r>
                    <w:rPr>
                      <w:rFonts w:hint="default" w:ascii="Times New Roman" w:hAnsi="Times New Roman" w:eastAsia="宋体" w:cs="Times New Roman"/>
                      <w:smallCaps w:val="0"/>
                      <w:color w:val="auto"/>
                      <w:sz w:val="21"/>
                      <w:szCs w:val="21"/>
                      <w:lang w:val="en-US" w:eastAsia="zh-CN"/>
                    </w:rPr>
                    <w:t>搅拌工作区地面冲洗</w:t>
                  </w:r>
                  <w:r>
                    <w:rPr>
                      <w:rFonts w:hint="eastAsia" w:ascii="Times New Roman" w:hAnsi="Times New Roman" w:eastAsia="宋体" w:cs="Times New Roman"/>
                      <w:smallCaps w:val="0"/>
                      <w:color w:val="auto"/>
                      <w:sz w:val="21"/>
                      <w:szCs w:val="21"/>
                      <w:lang w:val="en-US" w:eastAsia="zh-CN"/>
                    </w:rPr>
                    <w:t>及洒水降尘</w:t>
                  </w:r>
                  <w:r>
                    <w:rPr>
                      <w:rFonts w:hint="default" w:ascii="Times New Roman" w:hAnsi="Times New Roman" w:cs="Times New Roman"/>
                      <w:color w:val="auto"/>
                      <w:sz w:val="21"/>
                      <w:szCs w:val="21"/>
                    </w:rPr>
                    <w:t>；</w:t>
                  </w:r>
                  <w:r>
                    <w:rPr>
                      <w:rFonts w:hint="eastAsia" w:ascii="Times New Roman" w:hAnsi="Times New Roman" w:eastAsia="宋体" w:cs="Times New Roman"/>
                      <w:color w:val="auto"/>
                      <w:sz w:val="21"/>
                      <w:szCs w:val="21"/>
                      <w:lang w:val="en-US" w:eastAsia="zh-CN"/>
                    </w:rPr>
                    <w:t>生活污水</w:t>
                  </w:r>
                  <w:r>
                    <w:rPr>
                      <w:rFonts w:hint="default"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lang w:val="en-US" w:eastAsia="zh-CN"/>
                    </w:rPr>
                    <w:t>化粪池及</w:t>
                  </w:r>
                  <w:r>
                    <w:rPr>
                      <w:rFonts w:hint="default" w:ascii="Times New Roman" w:hAnsi="Times New Roman" w:eastAsia="宋体" w:cs="Times New Roman"/>
                      <w:color w:val="auto"/>
                      <w:sz w:val="21"/>
                      <w:szCs w:val="21"/>
                      <w:lang w:val="en-US" w:eastAsia="zh-CN"/>
                    </w:rPr>
                    <w:t>污水处理站处理后近期</w:t>
                  </w:r>
                  <w:r>
                    <w:rPr>
                      <w:rFonts w:hint="eastAsia" w:ascii="Times New Roman" w:hAnsi="Times New Roman" w:eastAsia="宋体" w:cs="Times New Roman"/>
                      <w:color w:val="auto"/>
                      <w:sz w:val="21"/>
                      <w:szCs w:val="21"/>
                      <w:lang w:val="en-US" w:eastAsia="zh-CN"/>
                    </w:rPr>
                    <w:t>用于厂区绿化；</w:t>
                  </w:r>
                  <w:r>
                    <w:rPr>
                      <w:rFonts w:hint="default" w:ascii="Times New Roman" w:hAnsi="Times New Roman" w:eastAsia="宋体" w:cs="Times New Roman"/>
                      <w:color w:val="auto"/>
                      <w:sz w:val="21"/>
                      <w:szCs w:val="21"/>
                      <w:lang w:val="en-US" w:eastAsia="zh-CN"/>
                    </w:rPr>
                    <w:t>远期进入帕底工业园区污水处理厂</w:t>
                  </w:r>
                  <w:r>
                    <w:rPr>
                      <w:rFonts w:hint="eastAsia" w:ascii="Times New Roman" w:hAnsi="Times New Roman" w:eastAsia="宋体" w:cs="Times New Roman"/>
                      <w:color w:val="auto"/>
                      <w:sz w:val="21"/>
                      <w:szCs w:val="21"/>
                      <w:lang w:val="en-US" w:eastAsia="zh-CN"/>
                    </w:rPr>
                    <w:t>。废水不排入芒市大河。</w:t>
                  </w:r>
                </w:p>
                <w:p w14:paraId="26C5CAC8">
                  <w:pPr>
                    <w:keepNext w:val="0"/>
                    <w:keepLines w:val="0"/>
                    <w:pageBreakBefore w:val="0"/>
                    <w:widowControl w:val="0"/>
                    <w:numPr>
                      <w:ilvl w:val="0"/>
                      <w:numId w:val="2"/>
                    </w:numPr>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项目不位于</w:t>
                  </w:r>
                  <w:r>
                    <w:rPr>
                      <w:rFonts w:ascii="Times New Roman" w:hAnsi="Times New Roman" w:eastAsia="宋体" w:cs="Times New Roman"/>
                      <w:color w:val="000000" w:themeColor="text1"/>
                      <w:sz w:val="21"/>
                      <w:szCs w:val="21"/>
                      <w14:textFill>
                        <w14:solidFill>
                          <w14:schemeClr w14:val="tx1"/>
                        </w14:solidFill>
                      </w14:textFill>
                    </w:rPr>
                    <w:t>遮放片区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6756F1E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714C92A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6F7BA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45" w:type="pct"/>
                  <w:vMerge w:val="continue"/>
                  <w:tcBorders>
                    <w:left w:val="single" w:color="000000" w:sz="4" w:space="0"/>
                    <w:right w:val="single" w:color="000000" w:sz="4" w:space="0"/>
                  </w:tcBorders>
                  <w:vAlign w:val="center"/>
                </w:tcPr>
                <w:p w14:paraId="13E4091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407" w:type="pct"/>
                  <w:tcBorders>
                    <w:top w:val="single" w:color="000000" w:sz="4" w:space="0"/>
                    <w:left w:val="single" w:color="000000" w:sz="4" w:space="0"/>
                    <w:bottom w:val="single" w:color="000000" w:sz="4" w:space="0"/>
                    <w:right w:val="single" w:color="000000" w:sz="4" w:space="0"/>
                  </w:tcBorders>
                  <w:vAlign w:val="center"/>
                </w:tcPr>
                <w:p w14:paraId="354D81E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污染物排放管控</w:t>
                  </w:r>
                </w:p>
              </w:tc>
              <w:tc>
                <w:tcPr>
                  <w:tcW w:w="1908" w:type="pct"/>
                  <w:tcBorders>
                    <w:top w:val="single" w:color="000000" w:sz="4" w:space="0"/>
                    <w:left w:val="single" w:color="000000" w:sz="4" w:space="0"/>
                    <w:bottom w:val="single" w:color="000000" w:sz="4" w:space="0"/>
                    <w:right w:val="single" w:color="000000" w:sz="4" w:space="0"/>
                  </w:tcBorders>
                  <w:vAlign w:val="center"/>
                </w:tcPr>
                <w:p w14:paraId="2C2458A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芒市大河水质稳定达标前，芒市食品产业园不能新增排污，园区产生的污废水处理达标后全部回用于园区绿化和企业生产用水，不得外排。芒市大河水质稳定达标后，园区污废水经污水处理厂处理达标后回用于园区绿化和企业生产用水，回用不完的达标排放。</w:t>
                  </w:r>
                </w:p>
                <w:p w14:paraId="04C7E72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2.鼓励芒市食品产业园园区现有燃煤锅炉完成“煤改气”工程，同时要求新入园企业应使用天然气等清洁能源，禁止使用煤、重油等燃料。</w:t>
                  </w:r>
                </w:p>
                <w:p w14:paraId="1302795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3.遮放片区尽快规划建设污水处理设施，确保园区内废水集中处理率达100%，达标排放率达100%。</w:t>
                  </w:r>
                </w:p>
                <w:p w14:paraId="6E15A4F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4.遮放片区严禁产能过剩行业新增产能，对确有必要新建的必须实施等量或减量置换。</w:t>
                  </w:r>
                </w:p>
              </w:tc>
              <w:tc>
                <w:tcPr>
                  <w:tcW w:w="1956" w:type="pct"/>
                  <w:tcBorders>
                    <w:top w:val="single" w:color="000000" w:sz="4" w:space="0"/>
                    <w:left w:val="single" w:color="000000" w:sz="4" w:space="0"/>
                    <w:bottom w:val="single" w:color="000000" w:sz="4" w:space="0"/>
                    <w:right w:val="single" w:color="000000" w:sz="4" w:space="0"/>
                  </w:tcBorders>
                  <w:vAlign w:val="center"/>
                </w:tcPr>
                <w:p w14:paraId="30BD2937">
                  <w:pPr>
                    <w:keepNext w:val="0"/>
                    <w:keepLines w:val="0"/>
                    <w:pageBreakBefore w:val="0"/>
                    <w:widowControl w:val="0"/>
                    <w:numPr>
                      <w:ilvl w:val="0"/>
                      <w:numId w:val="0"/>
                    </w:numPr>
                    <w:kinsoku/>
                    <w:wordWrap/>
                    <w:overflowPunct/>
                    <w:topLinePunct w:val="0"/>
                    <w:autoSpaceDE/>
                    <w:autoSpaceDN/>
                    <w:bidi w:val="0"/>
                    <w:spacing w:line="240" w:lineRule="auto"/>
                    <w:ind w:leftChars="0" w:right="0" w:rightChars="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ascii="Times New Roman" w:hAnsi="Times New Roman" w:eastAsia="宋体"/>
                      <w:color w:val="000000" w:themeColor="text1"/>
                      <w:sz w:val="21"/>
                      <w:szCs w:val="21"/>
                      <w14:textFill>
                        <w14:solidFill>
                          <w14:schemeClr w14:val="tx1"/>
                        </w14:solidFill>
                      </w14:textFill>
                    </w:rPr>
                    <w:t>本项目</w:t>
                  </w:r>
                  <w:r>
                    <w:rPr>
                      <w:rFonts w:hint="eastAsia" w:cs="Times New Roman"/>
                      <w:color w:val="auto"/>
                      <w:sz w:val="21"/>
                      <w:szCs w:val="21"/>
                      <w:lang w:val="en-US" w:eastAsia="zh-CN"/>
                    </w:rPr>
                    <w:t>产生的</w:t>
                  </w:r>
                  <w:r>
                    <w:rPr>
                      <w:rFonts w:hint="default" w:ascii="Times New Roman" w:hAnsi="Times New Roman" w:cs="Times New Roman"/>
                      <w:color w:val="auto"/>
                      <w:sz w:val="21"/>
                      <w:szCs w:val="21"/>
                    </w:rPr>
                    <w:t>初期雨水</w:t>
                  </w:r>
                  <w:r>
                    <w:rPr>
                      <w:rFonts w:hint="eastAsia" w:cs="Times New Roman"/>
                      <w:color w:val="auto"/>
                      <w:sz w:val="21"/>
                      <w:szCs w:val="21"/>
                      <w:lang w:eastAsia="zh-CN"/>
                    </w:rPr>
                    <w:t>、</w:t>
                  </w:r>
                  <w:r>
                    <w:rPr>
                      <w:rFonts w:hint="eastAsia" w:cs="Times New Roman"/>
                      <w:color w:val="auto"/>
                      <w:sz w:val="21"/>
                      <w:szCs w:val="21"/>
                      <w:lang w:val="en-US" w:eastAsia="zh-CN"/>
                    </w:rPr>
                    <w:t>车辆及设备冲洗废水、</w:t>
                  </w:r>
                  <w:r>
                    <w:rPr>
                      <w:rFonts w:hint="eastAsia" w:ascii="Times New Roman" w:hAnsi="Times New Roman" w:cs="Times New Roman"/>
                      <w:color w:val="auto"/>
                      <w:sz w:val="21"/>
                      <w:szCs w:val="21"/>
                      <w:lang w:val="en-US" w:eastAsia="zh-CN"/>
                    </w:rPr>
                    <w:t>场地冲洗废水</w:t>
                  </w:r>
                  <w:r>
                    <w:rPr>
                      <w:rFonts w:hint="default" w:ascii="Times New Roman" w:hAnsi="Times New Roman" w:cs="Times New Roman"/>
                      <w:color w:val="auto"/>
                      <w:sz w:val="21"/>
                      <w:szCs w:val="21"/>
                    </w:rPr>
                    <w:t>排入三级隔油沉淀池处理</w:t>
                  </w:r>
                  <w:r>
                    <w:rPr>
                      <w:rFonts w:hint="eastAsia" w:cs="Times New Roman"/>
                      <w:color w:val="auto"/>
                      <w:sz w:val="21"/>
                      <w:szCs w:val="21"/>
                      <w:lang w:val="en-US" w:eastAsia="zh-CN"/>
                    </w:rPr>
                    <w:t>后</w:t>
                  </w:r>
                  <w:r>
                    <w:rPr>
                      <w:rFonts w:hint="eastAsia" w:ascii="Times New Roman" w:hAnsi="Times New Roman" w:eastAsia="宋体" w:cs="Times New Roman"/>
                      <w:smallCaps w:val="0"/>
                      <w:color w:val="auto"/>
                      <w:sz w:val="21"/>
                      <w:szCs w:val="21"/>
                      <w:lang w:val="en-US" w:eastAsia="zh-CN"/>
                    </w:rPr>
                    <w:t>回</w:t>
                  </w:r>
                  <w:r>
                    <w:rPr>
                      <w:rFonts w:hint="default" w:ascii="Times New Roman" w:hAnsi="Times New Roman" w:eastAsia="宋体" w:cs="Times New Roman"/>
                      <w:smallCaps w:val="0"/>
                      <w:color w:val="auto"/>
                      <w:sz w:val="21"/>
                      <w:szCs w:val="21"/>
                      <w:lang w:val="en-US" w:eastAsia="zh-CN"/>
                    </w:rPr>
                    <w:t>用于</w:t>
                  </w:r>
                  <w:r>
                    <w:rPr>
                      <w:rFonts w:hint="eastAsia" w:ascii="Times New Roman" w:hAnsi="Times New Roman" w:eastAsia="宋体" w:cs="Times New Roman"/>
                      <w:smallCaps w:val="0"/>
                      <w:color w:val="auto"/>
                      <w:sz w:val="21"/>
                      <w:szCs w:val="21"/>
                      <w:lang w:val="en-US" w:eastAsia="zh-CN"/>
                    </w:rPr>
                    <w:t>厂区</w:t>
                  </w:r>
                  <w:r>
                    <w:rPr>
                      <w:rFonts w:hint="default" w:ascii="Times New Roman" w:hAnsi="Times New Roman" w:eastAsia="宋体" w:cs="Times New Roman"/>
                      <w:smallCaps w:val="0"/>
                      <w:color w:val="auto"/>
                      <w:sz w:val="21"/>
                      <w:szCs w:val="21"/>
                      <w:lang w:val="en-US" w:eastAsia="zh-CN"/>
                    </w:rPr>
                    <w:t>搅拌工作区地面冲洗</w:t>
                  </w:r>
                  <w:r>
                    <w:rPr>
                      <w:rFonts w:hint="eastAsia" w:ascii="Times New Roman" w:hAnsi="Times New Roman" w:eastAsia="宋体" w:cs="Times New Roman"/>
                      <w:smallCaps w:val="0"/>
                      <w:color w:val="auto"/>
                      <w:sz w:val="21"/>
                      <w:szCs w:val="21"/>
                      <w:lang w:val="en-US" w:eastAsia="zh-CN"/>
                    </w:rPr>
                    <w:t>及洒水降尘</w:t>
                  </w:r>
                  <w:r>
                    <w:rPr>
                      <w:rFonts w:hint="default" w:ascii="Times New Roman" w:hAnsi="Times New Roman" w:cs="Times New Roman"/>
                      <w:color w:val="auto"/>
                      <w:sz w:val="21"/>
                      <w:szCs w:val="21"/>
                    </w:rPr>
                    <w:t>；</w:t>
                  </w:r>
                  <w:r>
                    <w:rPr>
                      <w:rFonts w:hint="eastAsia" w:ascii="Times New Roman" w:hAnsi="Times New Roman" w:eastAsia="宋体" w:cs="Times New Roman"/>
                      <w:color w:val="auto"/>
                      <w:sz w:val="21"/>
                      <w:szCs w:val="21"/>
                      <w:lang w:val="en-US" w:eastAsia="zh-CN"/>
                    </w:rPr>
                    <w:t>生活污水</w:t>
                  </w:r>
                  <w:r>
                    <w:rPr>
                      <w:rFonts w:hint="default"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lang w:val="en-US" w:eastAsia="zh-CN"/>
                    </w:rPr>
                    <w:t>化粪池及</w:t>
                  </w:r>
                  <w:r>
                    <w:rPr>
                      <w:rFonts w:hint="default" w:ascii="Times New Roman" w:hAnsi="Times New Roman" w:eastAsia="宋体" w:cs="Times New Roman"/>
                      <w:color w:val="auto"/>
                      <w:sz w:val="21"/>
                      <w:szCs w:val="21"/>
                      <w:lang w:val="en-US" w:eastAsia="zh-CN"/>
                    </w:rPr>
                    <w:t>污水处理站处理后近期</w:t>
                  </w:r>
                  <w:r>
                    <w:rPr>
                      <w:rFonts w:hint="eastAsia" w:ascii="Times New Roman" w:hAnsi="Times New Roman" w:eastAsia="宋体" w:cs="Times New Roman"/>
                      <w:color w:val="auto"/>
                      <w:sz w:val="21"/>
                      <w:szCs w:val="21"/>
                      <w:lang w:val="en-US" w:eastAsia="zh-CN"/>
                    </w:rPr>
                    <w:t>用于厂区绿化；</w:t>
                  </w:r>
                  <w:r>
                    <w:rPr>
                      <w:rFonts w:hint="default" w:ascii="Times New Roman" w:hAnsi="Times New Roman" w:eastAsia="宋体" w:cs="Times New Roman"/>
                      <w:color w:val="auto"/>
                      <w:sz w:val="21"/>
                      <w:szCs w:val="21"/>
                      <w:lang w:val="en-US" w:eastAsia="zh-CN"/>
                    </w:rPr>
                    <w:t>远期进入帕底工业园区污水处理厂</w:t>
                  </w:r>
                  <w:r>
                    <w:rPr>
                      <w:rFonts w:hint="eastAsia" w:ascii="Times New Roman" w:hAnsi="Times New Roman" w:eastAsia="宋体" w:cs="Times New Roman"/>
                      <w:color w:val="auto"/>
                      <w:sz w:val="21"/>
                      <w:szCs w:val="21"/>
                      <w:lang w:val="en-US" w:eastAsia="zh-CN"/>
                    </w:rPr>
                    <w:t>。废水不排入芒市大河。</w:t>
                  </w:r>
                </w:p>
                <w:p w14:paraId="73A1F78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2、项目不位于</w:t>
                  </w:r>
                  <w:r>
                    <w:rPr>
                      <w:rFonts w:ascii="Times New Roman" w:hAnsi="Times New Roman" w:eastAsia="宋体" w:cs="Times New Roman"/>
                      <w:color w:val="000000" w:themeColor="text1"/>
                      <w:sz w:val="21"/>
                      <w:szCs w:val="21"/>
                      <w14:textFill>
                        <w14:solidFill>
                          <w14:schemeClr w14:val="tx1"/>
                        </w14:solidFill>
                      </w14:textFill>
                    </w:rPr>
                    <w:t>芒市食品产业园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内。</w:t>
                  </w:r>
                </w:p>
                <w:p w14:paraId="196A9CA4">
                  <w:pPr>
                    <w:keepNext w:val="0"/>
                    <w:keepLines w:val="0"/>
                    <w:pageBreakBefore w:val="0"/>
                    <w:widowControl w:val="0"/>
                    <w:numPr>
                      <w:ilvl w:val="0"/>
                      <w:numId w:val="0"/>
                    </w:numPr>
                    <w:kinsoku/>
                    <w:wordWrap/>
                    <w:overflowPunct/>
                    <w:topLinePunct w:val="0"/>
                    <w:autoSpaceDE/>
                    <w:autoSpaceDN/>
                    <w:bidi w:val="0"/>
                    <w:spacing w:line="240" w:lineRule="auto"/>
                    <w:ind w:leftChars="0" w:right="0" w:right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3、4：项目不位于</w:t>
                  </w:r>
                  <w:r>
                    <w:rPr>
                      <w:rFonts w:ascii="Times New Roman" w:hAnsi="Times New Roman" w:eastAsia="宋体" w:cs="Times New Roman"/>
                      <w:color w:val="000000" w:themeColor="text1"/>
                      <w:sz w:val="21"/>
                      <w:szCs w:val="21"/>
                      <w14:textFill>
                        <w14:solidFill>
                          <w14:schemeClr w14:val="tx1"/>
                        </w14:solidFill>
                      </w14:textFill>
                    </w:rPr>
                    <w:t>遮放片区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12A0747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0DF5B10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53F86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45" w:type="pct"/>
                  <w:vMerge w:val="continue"/>
                  <w:tcBorders>
                    <w:left w:val="single" w:color="000000" w:sz="4" w:space="0"/>
                    <w:right w:val="single" w:color="000000" w:sz="4" w:space="0"/>
                  </w:tcBorders>
                  <w:vAlign w:val="center"/>
                </w:tcPr>
                <w:p w14:paraId="6A24000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407" w:type="pct"/>
                  <w:tcBorders>
                    <w:top w:val="single" w:color="000000" w:sz="4" w:space="0"/>
                    <w:left w:val="single" w:color="000000" w:sz="4" w:space="0"/>
                    <w:bottom w:val="single" w:color="000000" w:sz="4" w:space="0"/>
                    <w:right w:val="single" w:color="000000" w:sz="4" w:space="0"/>
                  </w:tcBorders>
                  <w:vAlign w:val="center"/>
                </w:tcPr>
                <w:p w14:paraId="1AC2786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环境风险防控</w:t>
                  </w:r>
                </w:p>
              </w:tc>
              <w:tc>
                <w:tcPr>
                  <w:tcW w:w="1908" w:type="pct"/>
                  <w:tcBorders>
                    <w:top w:val="single" w:color="000000" w:sz="4" w:space="0"/>
                    <w:left w:val="single" w:color="000000" w:sz="4" w:space="0"/>
                    <w:bottom w:val="single" w:color="000000" w:sz="4" w:space="0"/>
                    <w:right w:val="single" w:color="000000" w:sz="4" w:space="0"/>
                  </w:tcBorders>
                  <w:vAlign w:val="center"/>
                </w:tcPr>
                <w:p w14:paraId="74B2EF5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1.制定园区综合环境应急预案，加强区域应急物资调配管理，组织园区范围内的环境安全隐患排查、应急培训和演练，构建区域环境风险联控机制。</w:t>
                  </w:r>
                </w:p>
                <w:p w14:paraId="39E2D56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2.入园企业在选址布局时要充分考虑卫生防护距离和安全防护距离的要求，同时应进行环境风险评价，提出环境风险防范措施和应急预案。</w:t>
                  </w:r>
                </w:p>
                <w:p w14:paraId="2A19507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3.对入园企业进行严格审查，避免在建设和生产过程中对飞行安全有影响的企业入驻。</w:t>
                  </w:r>
                </w:p>
                <w:p w14:paraId="5B6D57F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4.鼓励硅生产企业发展无木炭工业硅生产新工艺，避免大量使用木炭对区域生态造成破坏。</w:t>
                  </w:r>
                </w:p>
                <w:p w14:paraId="07698F8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5.芒市食品产业园严格禁止排放大量烟雾、粉尘、火焰、废气等影响飞行安全的企业入园。</w:t>
                  </w:r>
                </w:p>
                <w:p w14:paraId="0E909BA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6.生产、存储危险化学品及产生大量废水的各类企业，应配套有效措施，防止因渗漏污染地下水及因事故废水、废液直排污染地表水体。</w:t>
                  </w:r>
                </w:p>
                <w:p w14:paraId="355FE06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7.产生、利用或处置固体废物（含危险废物）的各类企业，规范设置危废储存间，在贮存、转移、利用、处置固体废物（含危险废物）过程中，严格落实防扬散、防流失、防渗漏及其他防止污染环境的措施。</w:t>
                  </w:r>
                </w:p>
              </w:tc>
              <w:tc>
                <w:tcPr>
                  <w:tcW w:w="1956" w:type="pct"/>
                  <w:tcBorders>
                    <w:top w:val="single" w:color="000000" w:sz="4" w:space="0"/>
                    <w:left w:val="single" w:color="000000" w:sz="4" w:space="0"/>
                    <w:bottom w:val="single" w:color="000000" w:sz="4" w:space="0"/>
                    <w:right w:val="single" w:color="000000" w:sz="4" w:space="0"/>
                  </w:tcBorders>
                  <w:vAlign w:val="center"/>
                </w:tcPr>
                <w:p w14:paraId="2CF082D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该项目编制环境风险应急预案后将和</w:t>
                  </w:r>
                  <w:r>
                    <w:rPr>
                      <w:rFonts w:ascii="Times New Roman" w:hAnsi="Times New Roman" w:eastAsia="宋体" w:cs="Times New Roman"/>
                      <w:color w:val="000000" w:themeColor="text1"/>
                      <w:sz w:val="21"/>
                      <w:szCs w:val="21"/>
                      <w14:textFill>
                        <w14:solidFill>
                          <w14:schemeClr w14:val="tx1"/>
                        </w14:solidFill>
                      </w14:textFill>
                    </w:rPr>
                    <w:t>园区综合环境应急预案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衔接</w:t>
                  </w:r>
                  <w:r>
                    <w:rPr>
                      <w:rFonts w:ascii="Times New Roman" w:hAnsi="Times New Roman" w:eastAsia="宋体" w:cs="Times New Roman"/>
                      <w:color w:val="000000" w:themeColor="text1"/>
                      <w:sz w:val="21"/>
                      <w:szCs w:val="21"/>
                      <w14:textFill>
                        <w14:solidFill>
                          <w14:schemeClr w14:val="tx1"/>
                        </w14:solidFill>
                      </w14:textFill>
                    </w:rPr>
                    <w:t>。</w:t>
                  </w:r>
                </w:p>
                <w:p w14:paraId="00E6754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该企业选址满足</w:t>
                  </w:r>
                  <w:r>
                    <w:rPr>
                      <w:rFonts w:ascii="Times New Roman" w:hAnsi="Times New Roman" w:eastAsia="宋体" w:cs="Times New Roman"/>
                      <w:color w:val="000000" w:themeColor="text1"/>
                      <w:sz w:val="21"/>
                      <w:szCs w:val="21"/>
                      <w14:textFill>
                        <w14:solidFill>
                          <w14:schemeClr w14:val="tx1"/>
                        </w14:solidFill>
                      </w14:textFill>
                    </w:rPr>
                    <w:t>卫生防护距离和安全防护距离的要求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同时进行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了</w:t>
                  </w:r>
                  <w:r>
                    <w:rPr>
                      <w:rFonts w:ascii="Times New Roman" w:hAnsi="Times New Roman" w:eastAsia="宋体" w:cs="Times New Roman"/>
                      <w:color w:val="000000" w:themeColor="text1"/>
                      <w:sz w:val="21"/>
                      <w:szCs w:val="21"/>
                      <w14:textFill>
                        <w14:solidFill>
                          <w14:schemeClr w14:val="tx1"/>
                        </w14:solidFill>
                      </w14:textFill>
                    </w:rPr>
                    <w:t>环境风险评价，提出环境风险防范措施和应急预案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要求</w:t>
                  </w:r>
                  <w:r>
                    <w:rPr>
                      <w:rFonts w:ascii="Times New Roman" w:hAnsi="Times New Roman" w:eastAsia="宋体" w:cs="Times New Roman"/>
                      <w:color w:val="000000" w:themeColor="text1"/>
                      <w:sz w:val="21"/>
                      <w:szCs w:val="21"/>
                      <w14:textFill>
                        <w14:solidFill>
                          <w14:schemeClr w14:val="tx1"/>
                        </w14:solidFill>
                      </w14:textFill>
                    </w:rPr>
                    <w:t>。</w:t>
                  </w:r>
                </w:p>
                <w:p w14:paraId="36BF8ED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3、该企业项目对飞行安全无影响。</w:t>
                  </w:r>
                </w:p>
                <w:p w14:paraId="109768B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4、该企业不属于</w:t>
                  </w:r>
                  <w:r>
                    <w:rPr>
                      <w:rFonts w:ascii="Times New Roman" w:hAnsi="Times New Roman" w:eastAsia="宋体" w:cs="Times New Roman"/>
                      <w:color w:val="000000" w:themeColor="text1"/>
                      <w:sz w:val="21"/>
                      <w:szCs w:val="21"/>
                      <w14:textFill>
                        <w14:solidFill>
                          <w14:schemeClr w14:val="tx1"/>
                        </w14:solidFill>
                      </w14:textFill>
                    </w:rPr>
                    <w:t>硅生产企业</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36E3ADB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5、项目不位于</w:t>
                  </w:r>
                  <w:r>
                    <w:rPr>
                      <w:rFonts w:ascii="Times New Roman" w:hAnsi="Times New Roman" w:eastAsia="宋体" w:cs="Times New Roman"/>
                      <w:color w:val="000000" w:themeColor="text1"/>
                      <w:sz w:val="21"/>
                      <w:szCs w:val="21"/>
                      <w14:textFill>
                        <w14:solidFill>
                          <w14:schemeClr w14:val="tx1"/>
                        </w14:solidFill>
                      </w14:textFill>
                    </w:rPr>
                    <w:t>芒市食品产业园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内。</w:t>
                  </w:r>
                </w:p>
                <w:p w14:paraId="49FEB5F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r>
                    <w:rPr>
                      <w:rFonts w:hint="eastAsia"/>
                      <w:bCs/>
                      <w:color w:val="auto"/>
                      <w:sz w:val="21"/>
                      <w:szCs w:val="21"/>
                    </w:rPr>
                    <w:t>厂区</w:t>
                  </w:r>
                  <w:r>
                    <w:rPr>
                      <w:bCs/>
                      <w:color w:val="auto"/>
                      <w:sz w:val="21"/>
                      <w:szCs w:val="21"/>
                    </w:rPr>
                    <w:t>采取分区防渗，危废暂存间</w:t>
                  </w:r>
                  <w:r>
                    <w:rPr>
                      <w:rFonts w:hint="eastAsia"/>
                      <w:bCs/>
                      <w:color w:val="auto"/>
                      <w:sz w:val="21"/>
                      <w:szCs w:val="21"/>
                    </w:rPr>
                    <w:t>、</w:t>
                  </w:r>
                  <w:r>
                    <w:rPr>
                      <w:bCs/>
                      <w:color w:val="auto"/>
                      <w:sz w:val="21"/>
                      <w:szCs w:val="21"/>
                    </w:rPr>
                    <w:t>沥青储罐和柴油储罐区为重点防渗区</w:t>
                  </w:r>
                  <w:r>
                    <w:rPr>
                      <w:rFonts w:ascii="Times New Roman" w:hAnsi="Times New Roman" w:eastAsia="宋体" w:cs="Times New Roman"/>
                      <w:color w:val="000000" w:themeColor="text1"/>
                      <w:sz w:val="21"/>
                      <w:szCs w:val="21"/>
                      <w14:textFill>
                        <w14:solidFill>
                          <w14:schemeClr w14:val="tx1"/>
                        </w14:solidFill>
                      </w14:textFill>
                    </w:rPr>
                    <w:t>，防止因渗漏污染地下水及因事故废水、废液直排污染地表水体。</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各</w:t>
                  </w:r>
                  <w:r>
                    <w:rPr>
                      <w:rFonts w:hint="default" w:ascii="Times New Roman" w:hAnsi="Times New Roman" w:cs="Times New Roman"/>
                      <w:color w:val="auto"/>
                      <w:sz w:val="21"/>
                      <w:szCs w:val="21"/>
                    </w:rPr>
                    <w:t>储罐周围设置围堰</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顶部设顶棚。</w:t>
                  </w:r>
                  <w:r>
                    <w:rPr>
                      <w:rFonts w:hint="eastAsia" w:ascii="Times New Roman" w:hAnsi="Times New Roman" w:cs="Times New Roman"/>
                      <w:color w:val="auto"/>
                      <w:sz w:val="21"/>
                      <w:szCs w:val="21"/>
                      <w:lang w:val="en-US" w:eastAsia="zh-CN"/>
                    </w:rPr>
                    <w:t>雨污水</w:t>
                  </w:r>
                  <w:r>
                    <w:rPr>
                      <w:rFonts w:hint="default" w:ascii="Times New Roman" w:hAnsi="Times New Roman" w:eastAsia="宋体" w:cs="Times New Roman"/>
                      <w:bCs/>
                      <w:color w:val="auto"/>
                      <w:sz w:val="21"/>
                      <w:szCs w:val="21"/>
                    </w:rPr>
                    <w:t>排水管网</w:t>
                  </w:r>
                  <w:r>
                    <w:rPr>
                      <w:rFonts w:hint="eastAsia" w:ascii="Times New Roman" w:hAnsi="Times New Roman" w:eastAsia="宋体" w:cs="Times New Roman"/>
                      <w:bCs/>
                      <w:color w:val="auto"/>
                      <w:sz w:val="21"/>
                      <w:szCs w:val="21"/>
                      <w:lang w:val="en-US" w:eastAsia="zh-CN"/>
                    </w:rPr>
                    <w:t>末端</w:t>
                  </w:r>
                  <w:r>
                    <w:rPr>
                      <w:rFonts w:hint="default" w:ascii="Times New Roman" w:hAnsi="Times New Roman" w:eastAsia="宋体" w:cs="Times New Roman"/>
                      <w:bCs/>
                      <w:color w:val="auto"/>
                      <w:sz w:val="21"/>
                      <w:szCs w:val="21"/>
                    </w:rPr>
                    <w:t>全部设置切断装置</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并</w:t>
                  </w:r>
                  <w:r>
                    <w:rPr>
                      <w:rFonts w:hint="default" w:ascii="Times New Roman" w:hAnsi="Times New Roman" w:eastAsia="宋体" w:cs="Times New Roman"/>
                      <w:color w:val="auto"/>
                      <w:kern w:val="0"/>
                      <w:sz w:val="21"/>
                      <w:szCs w:val="21"/>
                      <w:highlight w:val="none"/>
                      <w:lang w:val="en-US" w:eastAsia="zh-CN" w:bidi="ar"/>
                    </w:rPr>
                    <w:t>设置</w:t>
                  </w: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座容积</w:t>
                  </w:r>
                  <w:r>
                    <w:rPr>
                      <w:rFonts w:hint="eastAsia" w:ascii="Times New Roman" w:hAnsi="Times New Roman" w:eastAsia="宋体" w:cs="Times New Roman"/>
                      <w:color w:val="auto"/>
                      <w:kern w:val="0"/>
                      <w:sz w:val="21"/>
                      <w:szCs w:val="21"/>
                      <w:highlight w:val="none"/>
                      <w:lang w:val="en-US" w:eastAsia="zh-CN" w:bidi="ar"/>
                    </w:rPr>
                    <w:t>为</w:t>
                  </w:r>
                  <w:r>
                    <w:rPr>
                      <w:rFonts w:hint="eastAsia" w:cs="Times New Roman"/>
                      <w:color w:val="auto"/>
                      <w:sz w:val="21"/>
                      <w:szCs w:val="21"/>
                      <w:lang w:val="en-US" w:eastAsia="zh-CN" w:bidi="ar"/>
                    </w:rPr>
                    <w:t>3</w:t>
                  </w:r>
                  <w:r>
                    <w:rPr>
                      <w:rFonts w:hint="eastAsia" w:ascii="Times New Roman" w:hAnsi="Times New Roman" w:cs="Times New Roman"/>
                      <w:color w:val="auto"/>
                      <w:sz w:val="21"/>
                      <w:szCs w:val="21"/>
                      <w:lang w:val="en-US" w:eastAsia="zh-CN" w:bidi="ar"/>
                    </w:rPr>
                    <w:t>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应急</w:t>
                  </w:r>
                  <w:r>
                    <w:rPr>
                      <w:rFonts w:hint="default" w:ascii="Times New Roman" w:hAnsi="Times New Roman" w:eastAsia="宋体" w:cs="Times New Roman"/>
                      <w:color w:val="auto"/>
                      <w:kern w:val="0"/>
                      <w:sz w:val="21"/>
                      <w:szCs w:val="21"/>
                      <w:highlight w:val="none"/>
                      <w:lang w:val="en-US" w:eastAsia="zh-CN" w:bidi="ar"/>
                    </w:rPr>
                    <w:t>事故池，</w:t>
                  </w:r>
                  <w:r>
                    <w:rPr>
                      <w:rFonts w:hint="eastAsia" w:ascii="Times New Roman" w:hAnsi="Times New Roman" w:eastAsia="宋体" w:cs="Times New Roman"/>
                      <w:color w:val="auto"/>
                      <w:kern w:val="0"/>
                      <w:sz w:val="21"/>
                      <w:szCs w:val="21"/>
                      <w:highlight w:val="none"/>
                      <w:lang w:val="en-US" w:eastAsia="zh-CN" w:bidi="ar"/>
                    </w:rPr>
                    <w:t>暂存事故废水。</w:t>
                  </w:r>
                </w:p>
                <w:p w14:paraId="4F78E4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7、项目设置</w:t>
                  </w:r>
                  <w:r>
                    <w:rPr>
                      <w:rFonts w:hint="default" w:ascii="Times New Roman" w:hAnsi="Times New Roman" w:cs="Times New Roman"/>
                      <w:color w:val="auto"/>
                      <w:sz w:val="21"/>
                      <w:szCs w:val="21"/>
                      <w:lang w:bidi="ar"/>
                    </w:rPr>
                    <w:t>1间</w:t>
                  </w:r>
                  <w:r>
                    <w:rPr>
                      <w:rFonts w:hint="eastAsia" w:cs="Times New Roman"/>
                      <w:color w:val="auto"/>
                      <w:sz w:val="21"/>
                      <w:szCs w:val="21"/>
                      <w:lang w:val="en-US" w:eastAsia="zh-CN" w:bidi="ar"/>
                    </w:rPr>
                    <w:t>10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2</w:t>
                  </w:r>
                  <w:r>
                    <w:rPr>
                      <w:rFonts w:hint="default" w:ascii="Times New Roman" w:hAnsi="Times New Roman" w:cs="Times New Roman"/>
                      <w:color w:val="auto"/>
                      <w:sz w:val="21"/>
                      <w:szCs w:val="21"/>
                      <w:lang w:bidi="ar"/>
                    </w:rPr>
                    <w:t>危废暂存间暂存</w:t>
                  </w:r>
                  <w:r>
                    <w:rPr>
                      <w:rFonts w:hint="eastAsia" w:ascii="Times New Roman" w:hAnsi="Times New Roman" w:cs="Times New Roman"/>
                      <w:color w:val="auto"/>
                      <w:sz w:val="21"/>
                      <w:szCs w:val="21"/>
                      <w:lang w:val="en-US" w:eastAsia="zh-CN" w:bidi="ar"/>
                    </w:rPr>
                    <w:t>危险废物</w:t>
                  </w:r>
                  <w:r>
                    <w:rPr>
                      <w:rFonts w:hint="eastAsia" w:cs="Times New Roman"/>
                      <w:color w:val="auto"/>
                      <w:sz w:val="21"/>
                      <w:szCs w:val="21"/>
                      <w:lang w:val="en-US" w:eastAsia="zh-CN" w:bidi="ar"/>
                    </w:rPr>
                    <w:t>。</w:t>
                  </w:r>
                  <w:r>
                    <w:rPr>
                      <w:rFonts w:hint="eastAsia" w:ascii="Times New Roman" w:hAnsi="Times New Roman" w:cs="Times New Roman"/>
                      <w:color w:val="auto"/>
                      <w:sz w:val="21"/>
                      <w:szCs w:val="21"/>
                      <w:lang w:val="en-US" w:eastAsia="zh-CN" w:bidi="ar"/>
                    </w:rPr>
                    <w:t>危废暂存间按照《危险废物贮存污染控制标准》（GB18597-2023）要求建设，采取必要的防风、防晒、防雨、防漏、防渗、防腐措施，</w:t>
                  </w:r>
                  <w:r>
                    <w:rPr>
                      <w:rFonts w:hint="eastAsia" w:cs="Times New Roman"/>
                      <w:color w:val="auto"/>
                      <w:sz w:val="21"/>
                      <w:szCs w:val="21"/>
                      <w:lang w:val="en-US" w:eastAsia="zh-CN"/>
                    </w:rPr>
                    <w:t>做好重点防渗措施</w:t>
                  </w:r>
                  <w:r>
                    <w:rPr>
                      <w:rFonts w:hint="eastAsia" w:ascii="Times New Roman" w:hAnsi="Times New Roman" w:cs="Times New Roman"/>
                      <w:color w:val="auto"/>
                      <w:sz w:val="21"/>
                      <w:szCs w:val="21"/>
                      <w:lang w:val="en-US" w:eastAsia="zh-CN" w:bidi="ar"/>
                    </w:rPr>
                    <w:t>，</w:t>
                  </w:r>
                  <w:r>
                    <w:rPr>
                      <w:rFonts w:hint="eastAsia" w:cs="Times New Roman"/>
                      <w:color w:val="auto"/>
                      <w:sz w:val="21"/>
                      <w:szCs w:val="21"/>
                      <w:lang w:val="en-US" w:eastAsia="zh-CN" w:bidi="ar"/>
                    </w:rPr>
                    <w:t>各危险废物分区贮存，</w:t>
                  </w:r>
                  <w:r>
                    <w:rPr>
                      <w:rFonts w:hint="eastAsia" w:cs="Times New Roman"/>
                      <w:color w:val="auto"/>
                      <w:sz w:val="21"/>
                      <w:szCs w:val="21"/>
                      <w:lang w:val="en-US" w:eastAsia="zh-CN"/>
                    </w:rPr>
                    <w:t>设置台账记录、做好危险标识，和有资质单位签订危废处置协议。</w:t>
                  </w:r>
                </w:p>
                <w:p w14:paraId="03EAE89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p>
                <w:p w14:paraId="23FE19C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0501A14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3E070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345" w:type="pct"/>
                  <w:vMerge w:val="continue"/>
                  <w:tcBorders>
                    <w:left w:val="single" w:color="000000" w:sz="4" w:space="0"/>
                    <w:right w:val="single" w:color="000000" w:sz="4" w:space="0"/>
                  </w:tcBorders>
                  <w:vAlign w:val="center"/>
                </w:tcPr>
                <w:p w14:paraId="5752CA7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407" w:type="pct"/>
                  <w:tcBorders>
                    <w:top w:val="single" w:color="000000" w:sz="4" w:space="0"/>
                    <w:left w:val="single" w:color="000000" w:sz="4" w:space="0"/>
                    <w:bottom w:val="single" w:color="000000" w:sz="4" w:space="0"/>
                    <w:right w:val="single" w:color="000000" w:sz="4" w:space="0"/>
                  </w:tcBorders>
                  <w:vAlign w:val="center"/>
                </w:tcPr>
                <w:p w14:paraId="5AE7602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资源开发效率要求</w:t>
                  </w:r>
                </w:p>
              </w:tc>
              <w:tc>
                <w:tcPr>
                  <w:tcW w:w="1908" w:type="pct"/>
                  <w:tcBorders>
                    <w:top w:val="single" w:color="000000" w:sz="4" w:space="0"/>
                    <w:left w:val="single" w:color="000000" w:sz="4" w:space="0"/>
                    <w:bottom w:val="single" w:color="000000" w:sz="4" w:space="0"/>
                    <w:right w:val="single" w:color="000000" w:sz="4" w:space="0"/>
                  </w:tcBorders>
                  <w:vAlign w:val="center"/>
                </w:tcPr>
                <w:p w14:paraId="2DFCF3B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1.园区推进循环发展，推广国家鼓励的工业节水工艺、技术和装备，提高水资源利用效率、工业用水重复率和中水回用率。</w:t>
                  </w:r>
                </w:p>
                <w:p w14:paraId="61D1E80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2.统筹调配各供水水库等的供水方式，加快园区配套污水处理厂建设，经处理后的污水优先考虑中水再生利用。</w:t>
                  </w:r>
                </w:p>
                <w:p w14:paraId="194FBF1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3.严格限制企业使用地下水，确实需要使用地下水的企业，需要取得相关主管部门的许可证。</w:t>
                  </w:r>
                </w:p>
                <w:p w14:paraId="262A412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4.优化能源结构，加强能源清洁利用。</w:t>
                  </w:r>
                </w:p>
                <w:p w14:paraId="11B5977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5.提高土地利用效率，节约集约利用土地资源。</w:t>
                  </w:r>
                </w:p>
              </w:tc>
              <w:tc>
                <w:tcPr>
                  <w:tcW w:w="1956" w:type="pct"/>
                  <w:tcBorders>
                    <w:top w:val="single" w:color="000000" w:sz="4" w:space="0"/>
                    <w:left w:val="single" w:color="000000" w:sz="4" w:space="0"/>
                    <w:bottom w:val="single" w:color="000000" w:sz="4" w:space="0"/>
                    <w:right w:val="single" w:color="000000" w:sz="4" w:space="0"/>
                  </w:tcBorders>
                  <w:vAlign w:val="center"/>
                </w:tcPr>
                <w:p w14:paraId="6818816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Times New Roman" w:eastAsia="宋体" w:cs="Times New Roman"/>
                      <w:smallCaps w:val="0"/>
                      <w:color w:val="auto"/>
                      <w:sz w:val="21"/>
                      <w:szCs w:val="21"/>
                      <w:lang w:val="en-US" w:eastAsia="zh-CN"/>
                    </w:rPr>
                  </w:pPr>
                  <w:r>
                    <w:rPr>
                      <w:rFonts w:hint="eastAsia" w:ascii="Times New Roman" w:hAnsi="Times New Roman" w:eastAsia="宋体"/>
                      <w:color w:val="000000" w:themeColor="text1"/>
                      <w:sz w:val="21"/>
                      <w:szCs w:val="21"/>
                      <w:lang w:val="en-US" w:eastAsia="zh-CN"/>
                      <w14:textFill>
                        <w14:solidFill>
                          <w14:schemeClr w14:val="tx1"/>
                        </w14:solidFill>
                      </w14:textFill>
                    </w:rPr>
                    <w:t>1、</w:t>
                  </w:r>
                  <w:r>
                    <w:rPr>
                      <w:rFonts w:ascii="Times New Roman" w:hAnsi="Times New Roman" w:eastAsia="宋体"/>
                      <w:color w:val="000000" w:themeColor="text1"/>
                      <w:sz w:val="21"/>
                      <w:szCs w:val="21"/>
                      <w14:textFill>
                        <w14:solidFill>
                          <w14:schemeClr w14:val="tx1"/>
                        </w14:solidFill>
                      </w14:textFill>
                    </w:rPr>
                    <w:t>项目</w:t>
                  </w:r>
                  <w:r>
                    <w:rPr>
                      <w:rFonts w:hint="eastAsia" w:ascii="Times New Roman" w:hAnsi="Times New Roman" w:eastAsia="宋体"/>
                      <w:color w:val="000000" w:themeColor="text1"/>
                      <w:sz w:val="21"/>
                      <w:szCs w:val="21"/>
                      <w:lang w:val="en-US" w:eastAsia="zh-CN"/>
                      <w14:textFill>
                        <w14:solidFill>
                          <w14:schemeClr w14:val="tx1"/>
                        </w14:solidFill>
                      </w14:textFill>
                    </w:rPr>
                    <w:t>产生的初期雨水、生产废水用于</w:t>
                  </w:r>
                  <w:r>
                    <w:rPr>
                      <w:rFonts w:hint="default" w:ascii="Times New Roman" w:hAnsi="Times New Roman" w:eastAsia="宋体" w:cs="Times New Roman"/>
                      <w:smallCaps w:val="0"/>
                      <w:color w:val="auto"/>
                      <w:sz w:val="21"/>
                      <w:szCs w:val="21"/>
                      <w:lang w:val="en-US" w:eastAsia="zh-CN"/>
                    </w:rPr>
                    <w:t>地面冲洗</w:t>
                  </w:r>
                  <w:r>
                    <w:rPr>
                      <w:rFonts w:hint="eastAsia" w:ascii="Times New Roman" w:hAnsi="Times New Roman" w:eastAsia="宋体" w:cs="Times New Roman"/>
                      <w:smallCaps w:val="0"/>
                      <w:color w:val="auto"/>
                      <w:sz w:val="21"/>
                      <w:szCs w:val="21"/>
                      <w:lang w:val="en-US" w:eastAsia="zh-CN"/>
                    </w:rPr>
                    <w:t>及洒水降尘，提高了水的利用效率。</w:t>
                  </w:r>
                </w:p>
                <w:p w14:paraId="7BD1918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mallCaps w:val="0"/>
                      <w:color w:val="auto"/>
                      <w:sz w:val="21"/>
                      <w:szCs w:val="21"/>
                      <w:lang w:val="en-US" w:eastAsia="zh-CN"/>
                    </w:rPr>
                    <w:t>2、</w:t>
                  </w:r>
                  <w:r>
                    <w:rPr>
                      <w:rFonts w:hint="eastAsia" w:ascii="Times New Roman" w:hAnsi="Times New Roman" w:eastAsia="宋体" w:cs="Times New Roman"/>
                      <w:color w:val="auto"/>
                      <w:sz w:val="21"/>
                      <w:szCs w:val="21"/>
                      <w:lang w:val="en-US" w:eastAsia="zh-CN"/>
                    </w:rPr>
                    <w:t>生活污水</w:t>
                  </w:r>
                  <w:r>
                    <w:rPr>
                      <w:rFonts w:hint="default"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lang w:val="en-US" w:eastAsia="zh-CN"/>
                    </w:rPr>
                    <w:t>化粪池及</w:t>
                  </w:r>
                  <w:r>
                    <w:rPr>
                      <w:rFonts w:hint="default" w:ascii="Times New Roman" w:hAnsi="Times New Roman" w:eastAsia="宋体" w:cs="Times New Roman"/>
                      <w:color w:val="auto"/>
                      <w:sz w:val="21"/>
                      <w:szCs w:val="21"/>
                      <w:lang w:val="en-US" w:eastAsia="zh-CN"/>
                    </w:rPr>
                    <w:t>污水处理站处理后近期</w:t>
                  </w:r>
                  <w:r>
                    <w:rPr>
                      <w:rFonts w:hint="eastAsia" w:ascii="Times New Roman" w:hAnsi="Times New Roman" w:eastAsia="宋体" w:cs="Times New Roman"/>
                      <w:color w:val="auto"/>
                      <w:sz w:val="21"/>
                      <w:szCs w:val="21"/>
                      <w:lang w:val="en-US" w:eastAsia="zh-CN"/>
                    </w:rPr>
                    <w:t>用于厂区绿化；</w:t>
                  </w:r>
                  <w:r>
                    <w:rPr>
                      <w:rFonts w:hint="default" w:ascii="Times New Roman" w:hAnsi="Times New Roman" w:eastAsia="宋体" w:cs="Times New Roman"/>
                      <w:color w:val="auto"/>
                      <w:sz w:val="21"/>
                      <w:szCs w:val="21"/>
                      <w:lang w:val="en-US" w:eastAsia="zh-CN"/>
                    </w:rPr>
                    <w:t>远期进入帕底工业园区污水处理厂</w:t>
                  </w:r>
                  <w:r>
                    <w:rPr>
                      <w:rFonts w:hint="eastAsia" w:ascii="Times New Roman" w:hAnsi="Times New Roman" w:eastAsia="宋体" w:cs="Times New Roman"/>
                      <w:color w:val="auto"/>
                      <w:sz w:val="21"/>
                      <w:szCs w:val="21"/>
                      <w:lang w:val="en-US" w:eastAsia="zh-CN"/>
                    </w:rPr>
                    <w:t>。</w:t>
                  </w:r>
                </w:p>
                <w:p w14:paraId="2885AE1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3、该项目生产和生活用水为地下井水，目前正在办理取水许可证。</w:t>
                  </w:r>
                </w:p>
                <w:p w14:paraId="438271B0">
                  <w:pPr>
                    <w:keepNext w:val="0"/>
                    <w:keepLines w:val="0"/>
                    <w:pageBreakBefore w:val="0"/>
                    <w:widowControl w:val="0"/>
                    <w:numPr>
                      <w:ilvl w:val="0"/>
                      <w:numId w:val="0"/>
                    </w:numPr>
                    <w:kinsoku/>
                    <w:wordWrap/>
                    <w:overflowPunct/>
                    <w:topLinePunct w:val="0"/>
                    <w:autoSpaceDE/>
                    <w:autoSpaceDN/>
                    <w:bidi w:val="0"/>
                    <w:spacing w:line="240" w:lineRule="auto"/>
                    <w:ind w:right="0" w:right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4、该项目烘干滚筒和导热油炉使用含硫较低的轻质柴油。</w:t>
                  </w:r>
                </w:p>
                <w:p w14:paraId="2BF5476E">
                  <w:pPr>
                    <w:keepNext w:val="0"/>
                    <w:keepLines w:val="0"/>
                    <w:pageBreakBefore w:val="0"/>
                    <w:widowControl w:val="0"/>
                    <w:numPr>
                      <w:ilvl w:val="0"/>
                      <w:numId w:val="0"/>
                    </w:numPr>
                    <w:kinsoku/>
                    <w:wordWrap/>
                    <w:overflowPunct/>
                    <w:topLinePunct w:val="0"/>
                    <w:autoSpaceDE/>
                    <w:autoSpaceDN/>
                    <w:bidi w:val="0"/>
                    <w:spacing w:line="240" w:lineRule="auto"/>
                    <w:ind w:right="0"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5、该项目使用已规划的园区工业用地。</w:t>
                  </w:r>
                </w:p>
                <w:p w14:paraId="553B53D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p>
              </w:tc>
              <w:tc>
                <w:tcPr>
                  <w:tcW w:w="381" w:type="pct"/>
                  <w:tcBorders>
                    <w:top w:val="single" w:color="000000" w:sz="4" w:space="0"/>
                    <w:left w:val="single" w:color="000000" w:sz="4" w:space="0"/>
                    <w:bottom w:val="single" w:color="000000" w:sz="4" w:space="0"/>
                    <w:right w:val="single" w:color="000000" w:sz="4" w:space="0"/>
                  </w:tcBorders>
                  <w:vAlign w:val="center"/>
                </w:tcPr>
                <w:p w14:paraId="56722E4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bl>
          <w:p w14:paraId="02499E94">
            <w:pPr>
              <w:autoSpaceDE w:val="0"/>
              <w:autoSpaceDN w:val="0"/>
              <w:adjustRightInd w:val="0"/>
              <w:snapToGrid w:val="0"/>
              <w:spacing w:line="360" w:lineRule="auto"/>
              <w:ind w:firstLine="480" w:firstLineChars="200"/>
              <w:rPr>
                <w:rFonts w:hint="eastAsia" w:ascii="宋体" w:hAnsi="宋体" w:eastAsia="宋体" w:cs="宋体"/>
                <w:b w:val="0"/>
                <w:bCs/>
                <w:color w:val="auto"/>
                <w:kern w:val="2"/>
                <w:sz w:val="24"/>
                <w:szCs w:val="24"/>
                <w:lang w:val="en-US" w:eastAsia="zh-CN" w:bidi="ar-SA"/>
              </w:rPr>
            </w:pPr>
            <w:r>
              <w:rPr>
                <w:color w:val="auto"/>
                <w:sz w:val="24"/>
              </w:rPr>
              <w:t>综上，项目总体上符合</w:t>
            </w:r>
            <w:r>
              <w:rPr>
                <w:rFonts w:ascii="Times New Roman" w:hAnsi="Times New Roman" w:eastAsia="宋体"/>
                <w:color w:val="000000" w:themeColor="text1"/>
                <w:sz w:val="24"/>
                <w:szCs w:val="24"/>
                <w14:textFill>
                  <w14:solidFill>
                    <w14:schemeClr w14:val="tx1"/>
                  </w14:solidFill>
                </w14:textFill>
              </w:rPr>
              <w:t>德政发[2021]15号</w:t>
            </w:r>
            <w:r>
              <w:rPr>
                <w:rFonts w:hint="eastAsia" w:cs="Times New Roman"/>
                <w:smallCaps w:val="0"/>
                <w:color w:val="auto"/>
                <w:sz w:val="24"/>
                <w:szCs w:val="24"/>
                <w:lang w:val="en-US" w:eastAsia="zh-CN"/>
              </w:rPr>
              <w:t>德宏州</w:t>
            </w:r>
            <w:r>
              <w:rPr>
                <w:color w:val="auto"/>
                <w:sz w:val="24"/>
              </w:rPr>
              <w:t>“三线一单”的管理要求。</w:t>
            </w:r>
          </w:p>
          <w:p w14:paraId="08AAFE4B">
            <w:pPr>
              <w:ind w:left="0" w:leftChars="0" w:firstLine="482" w:firstLineChars="200"/>
              <w:rPr>
                <w:b/>
                <w:bCs/>
                <w:color w:val="auto"/>
                <w:sz w:val="24"/>
                <w:szCs w:val="24"/>
                <w:highlight w:val="none"/>
              </w:rPr>
            </w:pPr>
            <w:r>
              <w:rPr>
                <w:rFonts w:hint="eastAsia"/>
                <w:b/>
                <w:bCs/>
                <w:color w:val="auto"/>
                <w:sz w:val="24"/>
                <w:szCs w:val="24"/>
                <w:highlight w:val="none"/>
                <w:lang w:val="en-US" w:eastAsia="zh-CN"/>
              </w:rPr>
              <w:t>3、</w:t>
            </w:r>
            <w:r>
              <w:rPr>
                <w:b/>
                <w:bCs/>
                <w:color w:val="auto"/>
                <w:sz w:val="24"/>
                <w:szCs w:val="24"/>
                <w:highlight w:val="none"/>
              </w:rPr>
              <w:t>选址合理性分析</w:t>
            </w:r>
          </w:p>
          <w:p w14:paraId="69893ADC">
            <w:pPr>
              <w:tabs>
                <w:tab w:val="left" w:pos="210"/>
              </w:tabs>
              <w:snapToGrid w:val="0"/>
              <w:spacing w:line="360" w:lineRule="auto"/>
              <w:ind w:firstLine="480" w:firstLineChars="200"/>
              <w:rPr>
                <w:rFonts w:hint="default" w:ascii="Times New Roman" w:hAnsi="Times New Roman" w:cs="Times New Roman"/>
                <w:color w:val="auto"/>
                <w:kern w:val="0"/>
                <w:sz w:val="24"/>
              </w:rPr>
            </w:pPr>
            <w:r>
              <w:rPr>
                <w:rFonts w:hint="eastAsia" w:ascii="Times New Roman" w:hAnsi="Times New Roman" w:eastAsia="宋体" w:cs="Times New Roman"/>
                <w:color w:val="auto"/>
                <w:kern w:val="0"/>
                <w:sz w:val="24"/>
              </w:rPr>
              <w:t>项目</w:t>
            </w:r>
            <w:r>
              <w:rPr>
                <w:rFonts w:hint="eastAsia" w:ascii="Times New Roman" w:hAnsi="Times New Roman" w:eastAsia="宋体" w:cs="Times New Roman"/>
                <w:color w:val="auto"/>
                <w:kern w:val="0"/>
                <w:sz w:val="24"/>
                <w:lang w:val="en-US" w:eastAsia="zh-CN"/>
              </w:rPr>
              <w:t>于</w:t>
            </w:r>
            <w:r>
              <w:rPr>
                <w:rFonts w:hint="default" w:ascii="Times New Roman" w:hAnsi="Times New Roman" w:cs="Times New Roman"/>
                <w:color w:val="auto"/>
                <w:sz w:val="24"/>
                <w:szCs w:val="24"/>
              </w:rPr>
              <w:t>2019年9月取得</w:t>
            </w:r>
            <w:r>
              <w:rPr>
                <w:rFonts w:hint="default" w:ascii="Times New Roman" w:hAnsi="Times New Roman" w:cs="Times New Roman"/>
                <w:color w:val="auto"/>
                <w:sz w:val="24"/>
              </w:rPr>
              <w:t>芒市发展和改革局的投资备案证，项目代码：2019-533103-41-03-0339579</w:t>
            </w:r>
            <w:r>
              <w:rPr>
                <w:rFonts w:hint="default" w:ascii="Times New Roman" w:hAnsi="Times New Roman" w:eastAsia="宋体" w:cs="Times New Roman"/>
                <w:color w:val="auto"/>
                <w:highlight w:val="none"/>
              </w:rPr>
              <w:t>。项目</w:t>
            </w:r>
            <w:r>
              <w:rPr>
                <w:rFonts w:hint="eastAsia" w:cs="Times New Roman"/>
                <w:color w:val="auto"/>
                <w:highlight w:val="none"/>
                <w:lang w:val="en-US" w:eastAsia="zh-CN"/>
              </w:rPr>
              <w:t>位于</w:t>
            </w:r>
            <w:r>
              <w:rPr>
                <w:rFonts w:ascii="Times New Roman" w:hAnsi="Times New Roman" w:eastAsia="宋体"/>
                <w:color w:val="000000" w:themeColor="text1"/>
                <w:sz w:val="24"/>
                <w:szCs w:val="24"/>
                <w14:textFill>
                  <w14:solidFill>
                    <w14:schemeClr w14:val="tx1"/>
                  </w14:solidFill>
                </w14:textFill>
              </w:rPr>
              <w:t>德宏州</w:t>
            </w:r>
            <w:r>
              <w:rPr>
                <w:rFonts w:hint="default" w:ascii="Times New Roman" w:hAnsi="Times New Roman" w:cs="Times New Roman"/>
                <w:color w:val="auto"/>
                <w:sz w:val="24"/>
              </w:rPr>
              <w:t>芒市帕底工业园区等岗组团</w:t>
            </w:r>
            <w:r>
              <w:rPr>
                <w:rFonts w:hint="eastAsia" w:ascii="Times New Roman" w:hAnsi="Times New Roman" w:cs="Times New Roman"/>
                <w:color w:val="auto"/>
                <w:sz w:val="24"/>
                <w:lang w:eastAsia="zh-CN"/>
              </w:rPr>
              <w:t>，</w:t>
            </w:r>
            <w:r>
              <w:rPr>
                <w:rFonts w:hint="eastAsia" w:cs="Times New Roman" w:eastAsiaTheme="minorEastAsia"/>
                <w:color w:val="auto"/>
                <w:highlight w:val="none"/>
                <w:lang w:val="en-US" w:eastAsia="zh-CN"/>
              </w:rPr>
              <w:t>用地性质为工业用地，</w:t>
            </w:r>
            <w:r>
              <w:rPr>
                <w:rFonts w:hint="eastAsia" w:cs="Times New Roman"/>
                <w:color w:val="auto"/>
                <w:sz w:val="24"/>
                <w:szCs w:val="24"/>
                <w:highlight w:val="none"/>
                <w:lang w:val="en-US" w:eastAsia="zh-CN" w:bidi="ar-SA"/>
              </w:rPr>
              <w:t>项目用地性质符合相关要求。</w:t>
            </w:r>
            <w:r>
              <w:rPr>
                <w:rFonts w:hint="default" w:ascii="Times New Roman" w:hAnsi="Times New Roman" w:eastAsia="宋体" w:cs="Times New Roman"/>
                <w:color w:val="auto"/>
                <w:highlight w:val="none"/>
              </w:rPr>
              <w:t>不涉及</w:t>
            </w:r>
            <w:r>
              <w:rPr>
                <w:rFonts w:hint="eastAsia" w:cs="Times New Roman"/>
                <w:color w:val="auto"/>
                <w:highlight w:val="none"/>
                <w:lang w:val="en-US" w:eastAsia="zh-CN"/>
              </w:rPr>
              <w:t>占用</w:t>
            </w:r>
            <w:r>
              <w:rPr>
                <w:rFonts w:hint="default" w:ascii="Times New Roman" w:hAnsi="Times New Roman" w:eastAsia="宋体" w:cs="Times New Roman"/>
                <w:color w:val="auto"/>
                <w:highlight w:val="none"/>
              </w:rPr>
              <w:t>国务院、国家有关部门和省，市、县级人民政府规定的生态保护区、自然保护区、文化遗产保护区、风景名胜区、水源保护区</w:t>
            </w:r>
            <w:r>
              <w:rPr>
                <w:rFonts w:hint="eastAsia" w:cs="Times New Roman"/>
                <w:color w:val="auto"/>
                <w:highlight w:val="none"/>
                <w:lang w:eastAsia="zh-CN"/>
              </w:rPr>
              <w:t>，</w:t>
            </w:r>
            <w:r>
              <w:rPr>
                <w:rFonts w:hint="eastAsia"/>
                <w:color w:val="auto"/>
                <w:sz w:val="24"/>
                <w:szCs w:val="22"/>
                <w:lang w:val="en-US" w:eastAsia="zh-CN"/>
              </w:rPr>
              <w:t>不涉及占用永久基本农田以及生态保护红线，</w:t>
            </w:r>
            <w:r>
              <w:rPr>
                <w:rFonts w:hint="default" w:ascii="Times New Roman" w:hAnsi="Times New Roman" w:cs="Times New Roman"/>
                <w:color w:val="auto"/>
                <w:sz w:val="24"/>
                <w:szCs w:val="24"/>
                <w:lang w:eastAsia="zh-CN"/>
              </w:rPr>
              <w:t>因此，该项目</w:t>
            </w:r>
            <w:r>
              <w:rPr>
                <w:rFonts w:hint="default" w:ascii="Times New Roman" w:hAnsi="Times New Roman" w:cs="Times New Roman"/>
                <w:color w:val="auto"/>
                <w:sz w:val="24"/>
                <w:szCs w:val="24"/>
              </w:rPr>
              <w:t>符合生态保护红线管控要求。</w:t>
            </w:r>
            <w:r>
              <w:rPr>
                <w:rFonts w:hint="default" w:ascii="Times New Roman" w:hAnsi="Times New Roman" w:cs="Times New Roman"/>
                <w:color w:val="auto"/>
                <w:sz w:val="24"/>
              </w:rPr>
              <w:t>项目建设</w:t>
            </w:r>
            <w:r>
              <w:rPr>
                <w:rFonts w:hint="default" w:ascii="Times New Roman" w:hAnsi="Times New Roman" w:cs="Times New Roman"/>
                <w:color w:val="auto"/>
                <w:kern w:val="0"/>
                <w:sz w:val="24"/>
              </w:rPr>
              <w:t>厂址所在区域交通较为便利，具备车辆进出条件，区域地质条件较好，供水、供电设施配套完善，便于项目开展建设。</w:t>
            </w:r>
          </w:p>
          <w:p w14:paraId="1E07EBE9">
            <w:pPr>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该项目距离</w:t>
            </w:r>
            <w:r>
              <w:rPr>
                <w:rFonts w:hint="eastAsia" w:cs="Times New Roman"/>
                <w:color w:val="auto"/>
                <w:kern w:val="0"/>
                <w:sz w:val="24"/>
                <w:lang w:val="en-US" w:eastAsia="zh-CN"/>
              </w:rPr>
              <w:t>芒市大河</w:t>
            </w:r>
            <w:r>
              <w:rPr>
                <w:rFonts w:hint="eastAsia" w:ascii="Times New Roman" w:hAnsi="Times New Roman" w:cs="Times New Roman"/>
                <w:color w:val="auto"/>
                <w:kern w:val="0"/>
                <w:sz w:val="24"/>
                <w:lang w:val="en-US" w:eastAsia="zh-CN"/>
              </w:rPr>
              <w:t>较近，该项目的成品仓和危险废物暂存间海拔高度为</w:t>
            </w:r>
            <w:r>
              <w:rPr>
                <w:rFonts w:hint="eastAsia" w:cs="Times New Roman"/>
                <w:color w:val="auto"/>
                <w:kern w:val="0"/>
                <w:sz w:val="24"/>
                <w:lang w:val="en-US" w:eastAsia="zh-CN"/>
              </w:rPr>
              <w:t>860</w:t>
            </w:r>
            <w:r>
              <w:rPr>
                <w:rFonts w:hint="eastAsia" w:ascii="Times New Roman" w:hAnsi="Times New Roman" w:cs="Times New Roman"/>
                <w:color w:val="auto"/>
                <w:kern w:val="0"/>
                <w:sz w:val="24"/>
                <w:lang w:val="en-US" w:eastAsia="zh-CN"/>
              </w:rPr>
              <w:t>m，高于</w:t>
            </w:r>
            <w:r>
              <w:rPr>
                <w:rFonts w:hint="eastAsia" w:cs="Times New Roman"/>
                <w:color w:val="auto"/>
                <w:kern w:val="0"/>
                <w:sz w:val="24"/>
                <w:lang w:val="en-US" w:eastAsia="zh-CN"/>
              </w:rPr>
              <w:t>芒市大河</w:t>
            </w:r>
            <w:r>
              <w:rPr>
                <w:rFonts w:hint="eastAsia" w:ascii="Times New Roman" w:hAnsi="Times New Roman" w:cs="Times New Roman"/>
                <w:color w:val="auto"/>
                <w:kern w:val="0"/>
                <w:sz w:val="24"/>
                <w:lang w:val="en-US" w:eastAsia="zh-CN"/>
              </w:rPr>
              <w:t>最高水位线（</w:t>
            </w:r>
            <w:r>
              <w:rPr>
                <w:rFonts w:hint="eastAsia" w:cs="Times New Roman"/>
                <w:color w:val="auto"/>
                <w:kern w:val="0"/>
                <w:sz w:val="24"/>
                <w:lang w:val="en-US" w:eastAsia="zh-CN"/>
              </w:rPr>
              <w:t>857</w:t>
            </w:r>
            <w:r>
              <w:rPr>
                <w:rFonts w:hint="eastAsia" w:ascii="Times New Roman" w:hAnsi="Times New Roman" w:cs="Times New Roman"/>
                <w:color w:val="auto"/>
                <w:kern w:val="0"/>
                <w:sz w:val="24"/>
                <w:lang w:val="en-US" w:eastAsia="zh-CN"/>
              </w:rPr>
              <w:t>m）</w:t>
            </w:r>
            <w:r>
              <w:rPr>
                <w:rFonts w:hint="eastAsia" w:cs="Times New Roman"/>
                <w:color w:val="auto"/>
                <w:kern w:val="0"/>
                <w:sz w:val="24"/>
                <w:lang w:val="en-US" w:eastAsia="zh-CN"/>
              </w:rPr>
              <w:t>3</w:t>
            </w:r>
            <w:r>
              <w:rPr>
                <w:rFonts w:hint="eastAsia" w:ascii="Times New Roman" w:hAnsi="Times New Roman" w:cs="Times New Roman"/>
                <w:color w:val="auto"/>
                <w:kern w:val="0"/>
                <w:sz w:val="24"/>
                <w:lang w:val="en-US" w:eastAsia="zh-CN"/>
              </w:rPr>
              <w:t>m，因此项目区设置的成品仓和危险废物暂存间高于</w:t>
            </w:r>
            <w:r>
              <w:rPr>
                <w:rFonts w:hint="eastAsia" w:cs="Times New Roman"/>
                <w:color w:val="auto"/>
                <w:kern w:val="0"/>
                <w:sz w:val="24"/>
                <w:lang w:val="en-US" w:eastAsia="zh-CN"/>
              </w:rPr>
              <w:t>芒市大河</w:t>
            </w:r>
            <w:r>
              <w:rPr>
                <w:rFonts w:hint="eastAsia" w:ascii="Times New Roman" w:hAnsi="Times New Roman" w:cs="Times New Roman"/>
                <w:color w:val="auto"/>
                <w:kern w:val="0"/>
                <w:sz w:val="24"/>
                <w:lang w:val="en-US" w:eastAsia="zh-CN"/>
              </w:rPr>
              <w:t>最高水位线，满足</w:t>
            </w:r>
            <w:r>
              <w:rPr>
                <w:rFonts w:hint="default"/>
                <w:color w:val="auto"/>
                <w:highlight w:val="none"/>
                <w:lang w:val="en-US" w:eastAsia="zh-CN"/>
              </w:rPr>
              <w:t>《一般工业固体废物贮存和填埋污染控制标准》（GB18599-2020）</w:t>
            </w:r>
            <w:r>
              <w:rPr>
                <w:rFonts w:hint="eastAsia"/>
                <w:color w:val="auto"/>
                <w:highlight w:val="none"/>
                <w:lang w:val="en-US" w:eastAsia="zh-CN"/>
              </w:rPr>
              <w:t>对于一般固废贮存间和《危险废物贮存污染控制标准》（GB18597-2023）对于危险废物暂存间的选址要求。</w:t>
            </w:r>
          </w:p>
          <w:p w14:paraId="13493B7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经本环评预测，项目废气污染物经采取措施后能做到达标排放，对环境空气影响较小；</w:t>
            </w:r>
            <w:r>
              <w:rPr>
                <w:rFonts w:hint="eastAsia" w:ascii="Times New Roman" w:hAnsi="Times New Roman" w:eastAsia="宋体" w:cs="Times New Roman"/>
                <w:color w:val="auto"/>
                <w:sz w:val="24"/>
                <w:lang w:val="en-US" w:eastAsia="zh-CN"/>
              </w:rPr>
              <w:t>生活污水</w:t>
            </w:r>
            <w:r>
              <w:rPr>
                <w:rFonts w:hint="default" w:ascii="Times New Roman" w:hAnsi="Times New Roman" w:eastAsia="宋体" w:cs="Times New Roman"/>
                <w:color w:val="auto"/>
                <w:sz w:val="24"/>
                <w:lang w:val="en-US" w:eastAsia="zh-CN"/>
              </w:rPr>
              <w:t>经</w:t>
            </w:r>
            <w:r>
              <w:rPr>
                <w:rFonts w:hint="eastAsia" w:ascii="Times New Roman" w:hAnsi="Times New Roman" w:eastAsia="宋体" w:cs="Times New Roman"/>
                <w:color w:val="auto"/>
                <w:sz w:val="24"/>
                <w:lang w:val="en-US" w:eastAsia="zh-CN"/>
              </w:rPr>
              <w:t>化粪池及</w:t>
            </w:r>
            <w:r>
              <w:rPr>
                <w:rFonts w:hint="default" w:ascii="Times New Roman" w:hAnsi="Times New Roman" w:eastAsia="宋体" w:cs="Times New Roman"/>
                <w:color w:val="auto"/>
                <w:sz w:val="24"/>
                <w:lang w:val="en-US" w:eastAsia="zh-CN"/>
              </w:rPr>
              <w:t>污水处理站处理后近期</w:t>
            </w:r>
            <w:r>
              <w:rPr>
                <w:rFonts w:hint="eastAsia" w:ascii="Times New Roman" w:hAnsi="Times New Roman" w:eastAsia="宋体" w:cs="Times New Roman"/>
                <w:color w:val="auto"/>
                <w:sz w:val="24"/>
                <w:lang w:val="en-US" w:eastAsia="zh-CN"/>
              </w:rPr>
              <w:t>用于厂区绿化，</w:t>
            </w:r>
            <w:r>
              <w:rPr>
                <w:rFonts w:hint="default" w:ascii="Times New Roman" w:hAnsi="Times New Roman" w:eastAsia="宋体" w:cs="Times New Roman"/>
                <w:color w:val="auto"/>
                <w:sz w:val="24"/>
                <w:lang w:val="en-US" w:eastAsia="zh-CN"/>
              </w:rPr>
              <w:t>远期</w:t>
            </w:r>
            <w:r>
              <w:rPr>
                <w:rFonts w:hint="eastAsia" w:ascii="Times New Roman" w:hAnsi="Times New Roman" w:eastAsia="宋体" w:cs="Times New Roman"/>
                <w:color w:val="auto"/>
                <w:sz w:val="24"/>
                <w:lang w:val="en-US" w:eastAsia="zh-CN"/>
              </w:rPr>
              <w:t>排入</w:t>
            </w:r>
            <w:r>
              <w:rPr>
                <w:rFonts w:hint="default" w:ascii="Times New Roman" w:hAnsi="Times New Roman" w:eastAsia="宋体" w:cs="Times New Roman"/>
                <w:color w:val="auto"/>
                <w:sz w:val="24"/>
                <w:lang w:val="en-US" w:eastAsia="zh-CN"/>
              </w:rPr>
              <w:t>帕底工业园区污水处理厂</w:t>
            </w:r>
            <w:r>
              <w:rPr>
                <w:rFonts w:hint="eastAsia" w:ascii="Times New Roman" w:hAnsi="Times New Roman" w:eastAsia="宋体" w:cs="Times New Roman"/>
                <w:color w:val="auto"/>
                <w:sz w:val="24"/>
                <w:lang w:val="en-US" w:eastAsia="zh-CN"/>
              </w:rPr>
              <w:t>；项目产生的</w:t>
            </w:r>
            <w:r>
              <w:rPr>
                <w:rFonts w:hint="default" w:ascii="Times New Roman" w:hAnsi="Times New Roman" w:eastAsia="宋体" w:cs="Times New Roman"/>
                <w:color w:val="auto"/>
                <w:sz w:val="24"/>
                <w:lang w:val="en-US" w:eastAsia="zh-CN"/>
              </w:rPr>
              <w:t>初期雨水</w:t>
            </w:r>
            <w:r>
              <w:rPr>
                <w:rFonts w:hint="eastAsia" w:ascii="Times New Roman" w:hAnsi="Times New Roman" w:eastAsia="宋体" w:cs="Times New Roman"/>
                <w:color w:val="auto"/>
                <w:sz w:val="24"/>
                <w:lang w:val="en-US" w:eastAsia="zh-CN"/>
              </w:rPr>
              <w:t>、车辆及设备冲洗废水、场地冲洗废水</w:t>
            </w:r>
            <w:r>
              <w:rPr>
                <w:rFonts w:hint="default" w:ascii="Times New Roman" w:hAnsi="Times New Roman" w:eastAsia="宋体" w:cs="Times New Roman"/>
                <w:color w:val="auto"/>
                <w:sz w:val="24"/>
                <w:lang w:val="en-US" w:eastAsia="zh-CN"/>
              </w:rPr>
              <w:t>排入三级隔油沉淀池处理</w:t>
            </w:r>
            <w:r>
              <w:rPr>
                <w:rFonts w:hint="eastAsia" w:ascii="Times New Roman" w:hAnsi="Times New Roman" w:eastAsia="宋体" w:cs="Times New Roman"/>
                <w:color w:val="auto"/>
                <w:sz w:val="24"/>
                <w:lang w:val="en-US" w:eastAsia="zh-CN"/>
              </w:rPr>
              <w:t>后回</w:t>
            </w:r>
            <w:r>
              <w:rPr>
                <w:rFonts w:hint="default" w:ascii="Times New Roman" w:hAnsi="Times New Roman" w:eastAsia="宋体" w:cs="Times New Roman"/>
                <w:color w:val="auto"/>
                <w:sz w:val="24"/>
                <w:lang w:val="en-US" w:eastAsia="zh-CN"/>
              </w:rPr>
              <w:t>用于</w:t>
            </w:r>
            <w:r>
              <w:rPr>
                <w:rFonts w:hint="eastAsia" w:ascii="Times New Roman" w:hAnsi="Times New Roman" w:eastAsia="宋体" w:cs="Times New Roman"/>
                <w:color w:val="auto"/>
                <w:sz w:val="24"/>
                <w:lang w:val="en-US" w:eastAsia="zh-CN"/>
              </w:rPr>
              <w:t>厂区</w:t>
            </w:r>
            <w:r>
              <w:rPr>
                <w:rFonts w:hint="default" w:ascii="Times New Roman" w:hAnsi="Times New Roman" w:eastAsia="宋体" w:cs="Times New Roman"/>
                <w:color w:val="auto"/>
                <w:sz w:val="24"/>
                <w:lang w:val="en-US" w:eastAsia="zh-CN"/>
              </w:rPr>
              <w:t>搅拌工作区地面冲洗</w:t>
            </w:r>
            <w:r>
              <w:rPr>
                <w:rFonts w:hint="eastAsia" w:ascii="Times New Roman" w:hAnsi="Times New Roman" w:eastAsia="宋体" w:cs="Times New Roman"/>
                <w:color w:val="auto"/>
                <w:sz w:val="24"/>
                <w:lang w:val="en-US" w:eastAsia="zh-CN"/>
              </w:rPr>
              <w:t>及洒水降尘，</w:t>
            </w:r>
            <w:r>
              <w:rPr>
                <w:rFonts w:hint="default" w:ascii="Times New Roman" w:hAnsi="Times New Roman" w:eastAsia="宋体" w:cs="Times New Roman"/>
                <w:color w:val="auto"/>
                <w:sz w:val="24"/>
                <w:lang w:val="en-US" w:eastAsia="zh-CN"/>
              </w:rPr>
              <w:t>不外排；噪声</w:t>
            </w:r>
            <w:r>
              <w:rPr>
                <w:rFonts w:hint="default" w:ascii="Times New Roman" w:hAnsi="Times New Roman" w:cs="Times New Roman"/>
                <w:color w:val="auto"/>
                <w:sz w:val="24"/>
              </w:rPr>
              <w:t>通过采取合理布置机械设备、减振、厂房隔音等措施后可以达标排放，固体废物处置合理。项目运营期废水、废气及噪声能够得到有效处理，不会对外界环境造成较大的环境影响问题，故项目选址是合理的。</w:t>
            </w:r>
          </w:p>
          <w:p w14:paraId="222AB6D5">
            <w:pPr>
              <w:ind w:left="0" w:leftChars="0" w:firstLine="482" w:firstLineChars="200"/>
              <w:rPr>
                <w:rFonts w:hint="default" w:eastAsia="宋体"/>
                <w:b/>
                <w:bCs/>
                <w:color w:val="auto"/>
                <w:highlight w:val="none"/>
                <w:lang w:val="en-US" w:eastAsia="zh-CN"/>
              </w:rPr>
            </w:pPr>
            <w:r>
              <w:rPr>
                <w:rFonts w:hint="eastAsia"/>
                <w:b/>
                <w:bCs/>
                <w:color w:val="auto"/>
                <w:highlight w:val="none"/>
                <w:lang w:val="en-US" w:eastAsia="zh-CN"/>
              </w:rPr>
              <w:t>4、与《云南省主体功能区规划》相符性分析</w:t>
            </w:r>
          </w:p>
          <w:p w14:paraId="533BBDA7">
            <w:pPr>
              <w:spacing w:line="360" w:lineRule="auto"/>
              <w:ind w:firstLine="482"/>
              <w:rPr>
                <w:rFonts w:ascii="Times New Roman" w:hAnsi="Times New Roman" w:eastAsia="宋体"/>
                <w:bCs/>
                <w:color w:val="000000" w:themeColor="text1"/>
                <w:sz w:val="24"/>
                <w:szCs w:val="24"/>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根据云南省人民政府文件《云南省人民政府关于印发云南省主体功能区划的通知》（云政发[2014]1号），规划将整个云南省划分为重点开发区、限制开发区和禁止开发区三大类区，云南省限制开发区包括农产品主产区及重点生态功能区，其中农产品主产区共有 49个县市，重点生态功能区包括38 个县市、25个乡镇，其中芒市位于国家农产品生产区。</w:t>
            </w:r>
          </w:p>
          <w:p w14:paraId="6E7E3F63">
            <w:pPr>
              <w:spacing w:line="360" w:lineRule="auto"/>
              <w:ind w:firstLine="482"/>
              <w:rPr>
                <w:rFonts w:ascii="Times New Roman" w:hAnsi="Times New Roman" w:eastAsia="宋体"/>
                <w:bCs/>
                <w:color w:val="000000" w:themeColor="text1"/>
                <w:sz w:val="24"/>
                <w:szCs w:val="24"/>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限制开发区中农产品主产区是指具备较好的农业生产条件，以提供农产品为主体功能，以提高生态产品和服务产品以及工业品为其他功能，需在国土空间开发中限制大规模、高强度工业化城镇开发，以保持并提高农产品生产能力的区域。</w:t>
            </w:r>
          </w:p>
          <w:p w14:paraId="5B6F5AFC">
            <w:pPr>
              <w:spacing w:line="360" w:lineRule="auto"/>
              <w:ind w:firstLine="482"/>
              <w:rPr>
                <w:color w:val="auto"/>
                <w:highlight w:val="none"/>
              </w:rPr>
            </w:pPr>
            <w:r>
              <w:rPr>
                <w:rFonts w:ascii="Times New Roman" w:hAnsi="Times New Roman" w:eastAsia="宋体"/>
                <w:bCs/>
                <w:color w:val="000000" w:themeColor="text1"/>
                <w:sz w:val="24"/>
                <w:szCs w:val="24"/>
                <w14:textFill>
                  <w14:solidFill>
                    <w14:schemeClr w14:val="tx1"/>
                  </w14:solidFill>
                </w14:textFill>
              </w:rPr>
              <w:t>本项目</w:t>
            </w:r>
            <w:r>
              <w:rPr>
                <w:rFonts w:hint="eastAsia" w:ascii="Times New Roman" w:hAnsi="Times New Roman" w:eastAsia="宋体"/>
                <w:bCs/>
                <w:color w:val="000000" w:themeColor="text1"/>
                <w:sz w:val="24"/>
                <w:szCs w:val="24"/>
                <w:lang w:val="en-US" w:eastAsia="zh-CN"/>
                <w14:textFill>
                  <w14:solidFill>
                    <w14:schemeClr w14:val="tx1"/>
                  </w14:solidFill>
                </w14:textFill>
              </w:rPr>
              <w:t>沥青拌合站建设</w:t>
            </w:r>
            <w:r>
              <w:rPr>
                <w:rFonts w:ascii="Times New Roman" w:hAnsi="Times New Roman" w:eastAsia="宋体"/>
                <w:bCs/>
                <w:color w:val="000000" w:themeColor="text1"/>
                <w:sz w:val="24"/>
                <w:szCs w:val="24"/>
                <w14:textFill>
                  <w14:solidFill>
                    <w14:schemeClr w14:val="tx1"/>
                  </w14:solidFill>
                </w14:textFill>
              </w:rPr>
              <w:t>项目，</w:t>
            </w:r>
            <w:r>
              <w:rPr>
                <w:rFonts w:hint="eastAsia" w:ascii="Times New Roman" w:hAnsi="Times New Roman" w:eastAsia="宋体"/>
                <w:bCs/>
                <w:color w:val="000000" w:themeColor="text1"/>
                <w:sz w:val="24"/>
                <w:szCs w:val="24"/>
                <w:lang w:val="en-US" w:eastAsia="zh-CN"/>
                <w14:textFill>
                  <w14:solidFill>
                    <w14:schemeClr w14:val="tx1"/>
                  </w14:solidFill>
                </w14:textFill>
              </w:rPr>
              <w:t>为周边的沥青混凝土道路建设提供支撑</w:t>
            </w:r>
            <w:r>
              <w:rPr>
                <w:rFonts w:ascii="Times New Roman" w:hAnsi="Times New Roman" w:eastAsia="宋体"/>
                <w:bCs/>
                <w:color w:val="000000" w:themeColor="text1"/>
                <w:sz w:val="24"/>
                <w:szCs w:val="24"/>
                <w14:textFill>
                  <w14:solidFill>
                    <w14:schemeClr w14:val="tx1"/>
                  </w14:solidFill>
                </w14:textFill>
              </w:rPr>
              <w:t>，为降低当地农产品的装运成本</w:t>
            </w:r>
            <w:r>
              <w:rPr>
                <w:rFonts w:hint="eastAsia"/>
                <w:bCs/>
                <w:color w:val="000000" w:themeColor="text1"/>
                <w:sz w:val="24"/>
                <w:szCs w:val="24"/>
                <w:lang w:val="en-US" w:eastAsia="zh-CN"/>
                <w14:textFill>
                  <w14:solidFill>
                    <w14:schemeClr w14:val="tx1"/>
                  </w14:solidFill>
                </w14:textFill>
              </w:rPr>
              <w:t>作出</w:t>
            </w:r>
            <w:r>
              <w:rPr>
                <w:rFonts w:ascii="Times New Roman" w:hAnsi="Times New Roman" w:eastAsia="宋体"/>
                <w:bCs/>
                <w:color w:val="000000" w:themeColor="text1"/>
                <w:sz w:val="24"/>
                <w:szCs w:val="24"/>
                <w14:textFill>
                  <w14:solidFill>
                    <w14:schemeClr w14:val="tx1"/>
                  </w14:solidFill>
                </w14:textFill>
              </w:rPr>
              <w:t>贡献，可促进当地经济发展，符合该区域的其他功能（以提高生态产品和服务产品以及工艺品为其他功能）。</w:t>
            </w:r>
            <w:r>
              <w:rPr>
                <w:rFonts w:hint="eastAsia" w:ascii="Times New Roman" w:hAnsi="Times New Roman" w:cs="Times New Roman"/>
                <w:b w:val="0"/>
                <w:bCs w:val="0"/>
                <w:caps w:val="0"/>
                <w:color w:val="auto"/>
                <w:sz w:val="24"/>
                <w:szCs w:val="21"/>
                <w:highlight w:val="none"/>
                <w:u w:val="none"/>
                <w:lang w:val="en-US" w:eastAsia="zh-CN"/>
              </w:rPr>
              <w:t>项目在施工和运行过程中严格采取相应的环境保护措施后，</w:t>
            </w:r>
            <w:r>
              <w:rPr>
                <w:rFonts w:hint="eastAsia"/>
                <w:color w:val="auto"/>
                <w:highlight w:val="none"/>
                <w:lang w:val="en-US" w:eastAsia="zh-CN"/>
              </w:rPr>
              <w:t>符合《云南省主体功能区规划》规定</w:t>
            </w:r>
            <w:r>
              <w:rPr>
                <w:rFonts w:hint="eastAsia"/>
                <w:color w:val="auto"/>
                <w:highlight w:val="none"/>
              </w:rPr>
              <w:t>。</w:t>
            </w:r>
          </w:p>
          <w:p w14:paraId="18A46EC7">
            <w:pPr>
              <w:keepNext/>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kern w:val="0"/>
                <w:sz w:val="24"/>
                <w:szCs w:val="24"/>
                <w:lang w:val="en-US" w:eastAsia="zh-CN" w:bidi="ar-SA"/>
              </w:rPr>
            </w:pPr>
            <w:r>
              <w:rPr>
                <w:rFonts w:hint="eastAsia" w:ascii="Times New Roman" w:hAnsi="Times New Roman" w:eastAsia="宋体" w:cs="Times New Roman"/>
                <w:b/>
                <w:bCs/>
                <w:color w:val="auto"/>
                <w:highlight w:val="none"/>
                <w:lang w:val="en-US" w:eastAsia="zh-CN"/>
              </w:rPr>
              <w:t>5、项目与《云南省大</w:t>
            </w:r>
            <w:r>
              <w:rPr>
                <w:rFonts w:hint="eastAsia" w:ascii="宋体" w:hAnsi="宋体" w:eastAsia="宋体" w:cs="宋体"/>
                <w:b/>
                <w:bCs/>
                <w:color w:val="auto"/>
                <w:kern w:val="0"/>
                <w:sz w:val="24"/>
                <w:szCs w:val="24"/>
                <w:lang w:val="en-US" w:eastAsia="zh-CN" w:bidi="ar-SA"/>
              </w:rPr>
              <w:t>气污染防治行动实施方案》的符合性分析</w:t>
            </w:r>
          </w:p>
          <w:p w14:paraId="1C2FB9A0">
            <w:pPr>
              <w:keepNext w:val="0"/>
              <w:keepLines w:val="0"/>
              <w:widowControl/>
              <w:suppressLineNumbers w:val="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2014年3月20日，云南省人民政府关于印发《云南省大气污染防治行动实施方案》的通知（云政发[2014]9号），项目与《云南省大气污染防治行动实施方案》的符合性分析详见下表。</w:t>
            </w:r>
          </w:p>
          <w:p w14:paraId="3DBC73E2">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eastAsia" w:ascii="宋体" w:hAnsi="宋体" w:eastAsia="宋体" w:cs="宋体"/>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表1-</w:t>
            </w:r>
            <w:r>
              <w:rPr>
                <w:rFonts w:hint="eastAsia" w:cs="Times New Roman"/>
                <w:b/>
                <w:bCs/>
                <w:i w:val="0"/>
                <w:color w:val="auto"/>
                <w:kern w:val="0"/>
                <w:sz w:val="21"/>
                <w:szCs w:val="21"/>
                <w:u w:val="none"/>
                <w:lang w:val="en-US" w:eastAsia="zh-CN" w:bidi="ar"/>
              </w:rPr>
              <w:t>3</w:t>
            </w:r>
            <w:r>
              <w:rPr>
                <w:rFonts w:hint="default" w:ascii="Times New Roman" w:hAnsi="Times New Roman" w:eastAsia="宋体" w:cs="Times New Roman"/>
                <w:b/>
                <w:bCs/>
                <w:i w:val="0"/>
                <w:color w:val="auto"/>
                <w:kern w:val="0"/>
                <w:sz w:val="21"/>
                <w:szCs w:val="21"/>
                <w:u w:val="none"/>
                <w:lang w:val="en-US" w:eastAsia="zh-CN" w:bidi="ar"/>
              </w:rPr>
              <w:t xml:space="preserve"> 项目与《云南省大气污染防治行动实施方案》符合性分析一览表</w:t>
            </w:r>
          </w:p>
          <w:tbl>
            <w:tblPr>
              <w:tblStyle w:val="27"/>
              <w:tblW w:w="7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99"/>
              <w:gridCol w:w="2524"/>
              <w:gridCol w:w="690"/>
            </w:tblGrid>
            <w:tr w14:paraId="6882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3825" w:type="dxa"/>
                  <w:noWrap/>
                  <w:tcMar>
                    <w:top w:w="15" w:type="dxa"/>
                    <w:left w:w="15" w:type="dxa"/>
                    <w:right w:w="15" w:type="dxa"/>
                  </w:tcMar>
                  <w:vAlign w:val="center"/>
                </w:tcPr>
                <w:p w14:paraId="61470D6B">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方案主要内容</w:t>
                  </w:r>
                </w:p>
              </w:tc>
              <w:tc>
                <w:tcPr>
                  <w:tcW w:w="2541" w:type="dxa"/>
                  <w:noWrap/>
                  <w:tcMar>
                    <w:top w:w="15" w:type="dxa"/>
                    <w:left w:w="15" w:type="dxa"/>
                    <w:right w:w="15" w:type="dxa"/>
                  </w:tcMar>
                  <w:vAlign w:val="center"/>
                </w:tcPr>
                <w:p w14:paraId="504FB15C">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本项目</w:t>
                  </w:r>
                </w:p>
              </w:tc>
              <w:tc>
                <w:tcPr>
                  <w:tcW w:w="695" w:type="dxa"/>
                  <w:noWrap/>
                  <w:tcMar>
                    <w:top w:w="15" w:type="dxa"/>
                    <w:left w:w="15" w:type="dxa"/>
                    <w:right w:w="15" w:type="dxa"/>
                  </w:tcMar>
                  <w:vAlign w:val="center"/>
                </w:tcPr>
                <w:p w14:paraId="0AEFF084">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符合性</w:t>
                  </w:r>
                </w:p>
              </w:tc>
            </w:tr>
            <w:tr w14:paraId="1564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7" w:hRule="atLeast"/>
                <w:jc w:val="center"/>
              </w:trPr>
              <w:tc>
                <w:tcPr>
                  <w:tcW w:w="3825" w:type="dxa"/>
                  <w:noWrap/>
                  <w:tcMar>
                    <w:top w:w="15" w:type="dxa"/>
                    <w:left w:w="15" w:type="dxa"/>
                    <w:right w:w="15" w:type="dxa"/>
                  </w:tcMar>
                  <w:vAlign w:val="center"/>
                </w:tcPr>
                <w:p w14:paraId="0C72F0C7">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一、优化产业空间布局</w:t>
                  </w:r>
                </w:p>
                <w:p w14:paraId="169DF77C">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结合化解过剩产能和节能减排，有序推进16个州、市人民政府所在地城市建成区及周边严重影响城区环境空气质量的火电、建材、钢铁、化工、有色金属冶炼等重污染企业搬迁改造</w:t>
                  </w:r>
                </w:p>
              </w:tc>
              <w:tc>
                <w:tcPr>
                  <w:tcW w:w="2541" w:type="dxa"/>
                  <w:noWrap/>
                  <w:tcMar>
                    <w:top w:w="15" w:type="dxa"/>
                    <w:left w:w="15" w:type="dxa"/>
                    <w:right w:w="15" w:type="dxa"/>
                  </w:tcMar>
                  <w:vAlign w:val="center"/>
                </w:tcPr>
                <w:p w14:paraId="7CCEE658">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本项目为</w:t>
                  </w:r>
                  <w:r>
                    <w:rPr>
                      <w:rFonts w:hint="eastAsia" w:ascii="Times New Roman" w:hAnsi="Times New Roman" w:eastAsia="宋体" w:cs="Times New Roman"/>
                      <w:b w:val="0"/>
                      <w:bCs w:val="0"/>
                      <w:i w:val="0"/>
                      <w:color w:val="auto"/>
                      <w:kern w:val="0"/>
                      <w:sz w:val="21"/>
                      <w:szCs w:val="21"/>
                      <w:u w:val="none"/>
                      <w:lang w:val="en-US" w:eastAsia="zh-CN" w:bidi="ar"/>
                    </w:rPr>
                    <w:t>沥青拌合站</w:t>
                  </w:r>
                  <w:r>
                    <w:rPr>
                      <w:rFonts w:hint="default" w:ascii="Times New Roman" w:hAnsi="Times New Roman" w:eastAsia="宋体" w:cs="Times New Roman"/>
                      <w:b w:val="0"/>
                      <w:bCs w:val="0"/>
                      <w:i w:val="0"/>
                      <w:color w:val="auto"/>
                      <w:kern w:val="0"/>
                      <w:sz w:val="21"/>
                      <w:szCs w:val="21"/>
                      <w:u w:val="none"/>
                      <w:lang w:val="en-US" w:eastAsia="zh-CN" w:bidi="ar"/>
                    </w:rPr>
                    <w:t>建设项目，</w:t>
                  </w:r>
                  <w:r>
                    <w:rPr>
                      <w:rFonts w:hint="eastAsia" w:ascii="Times New Roman" w:hAnsi="Times New Roman" w:eastAsia="宋体" w:cs="Times New Roman"/>
                      <w:b w:val="0"/>
                      <w:bCs w:val="0"/>
                      <w:i w:val="0"/>
                      <w:color w:val="auto"/>
                      <w:kern w:val="0"/>
                      <w:sz w:val="21"/>
                      <w:szCs w:val="21"/>
                      <w:u w:val="none"/>
                      <w:lang w:val="en-US" w:eastAsia="zh-CN" w:bidi="ar"/>
                    </w:rPr>
                    <w:t>位于</w:t>
                  </w:r>
                  <w:r>
                    <w:rPr>
                      <w:rFonts w:hint="default" w:ascii="Times New Roman" w:hAnsi="Times New Roman" w:eastAsia="宋体" w:cs="Times New Roman"/>
                      <w:b w:val="0"/>
                      <w:bCs w:val="0"/>
                      <w:i w:val="0"/>
                      <w:color w:val="auto"/>
                      <w:kern w:val="0"/>
                      <w:sz w:val="21"/>
                      <w:szCs w:val="21"/>
                      <w:u w:val="none"/>
                      <w:lang w:val="en-US" w:eastAsia="zh-CN" w:bidi="ar"/>
                    </w:rPr>
                    <w:t>德宏州芒市帕底工业园区等岗组团</w:t>
                  </w:r>
                  <w:r>
                    <w:rPr>
                      <w:rFonts w:hint="eastAsia" w:ascii="Times New Roman" w:hAnsi="Times New Roman" w:eastAsia="宋体" w:cs="Times New Roman"/>
                      <w:b w:val="0"/>
                      <w:bCs w:val="0"/>
                      <w:i w:val="0"/>
                      <w:color w:val="auto"/>
                      <w:kern w:val="0"/>
                      <w:sz w:val="21"/>
                      <w:szCs w:val="21"/>
                      <w:u w:val="none"/>
                      <w:lang w:val="en-US" w:eastAsia="zh-CN" w:bidi="ar"/>
                    </w:rPr>
                    <w:t>，不在城市建成区及周边区域。</w:t>
                  </w:r>
                </w:p>
              </w:tc>
              <w:tc>
                <w:tcPr>
                  <w:tcW w:w="695" w:type="dxa"/>
                  <w:noWrap/>
                  <w:tcMar>
                    <w:top w:w="15" w:type="dxa"/>
                    <w:left w:w="15" w:type="dxa"/>
                    <w:right w:w="15" w:type="dxa"/>
                  </w:tcMar>
                  <w:vAlign w:val="center"/>
                </w:tcPr>
                <w:p w14:paraId="5140CE32">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14:paraId="0B0A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3825" w:type="dxa"/>
                  <w:noWrap/>
                  <w:tcMar>
                    <w:top w:w="15" w:type="dxa"/>
                    <w:left w:w="15" w:type="dxa"/>
                    <w:right w:w="15" w:type="dxa"/>
                  </w:tcMar>
                  <w:vAlign w:val="center"/>
                </w:tcPr>
                <w:p w14:paraId="0F13D320">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二、严格节能环保准入</w:t>
                  </w:r>
                </w:p>
                <w:p w14:paraId="0DC40A35">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提高高污染、高耗能行业准入门槛，进一步强化节能、环保指标约束，严控高污染、高耗能行业新增产能</w:t>
                  </w:r>
                </w:p>
              </w:tc>
              <w:tc>
                <w:tcPr>
                  <w:tcW w:w="2541" w:type="dxa"/>
                  <w:noWrap w:val="0"/>
                  <w:tcMar>
                    <w:top w:w="15" w:type="dxa"/>
                    <w:left w:w="15" w:type="dxa"/>
                    <w:right w:w="15" w:type="dxa"/>
                  </w:tcMar>
                  <w:vAlign w:val="center"/>
                </w:tcPr>
                <w:p w14:paraId="452D1134">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本项目为</w:t>
                  </w:r>
                  <w:r>
                    <w:rPr>
                      <w:rFonts w:hint="eastAsia" w:ascii="Times New Roman" w:hAnsi="Times New Roman" w:eastAsia="宋体" w:cs="Times New Roman"/>
                      <w:b w:val="0"/>
                      <w:bCs w:val="0"/>
                      <w:i w:val="0"/>
                      <w:color w:val="auto"/>
                      <w:kern w:val="0"/>
                      <w:sz w:val="21"/>
                      <w:szCs w:val="21"/>
                      <w:u w:val="none"/>
                      <w:lang w:val="en-US" w:eastAsia="zh-CN" w:bidi="ar"/>
                    </w:rPr>
                    <w:t>沥青拌合站</w:t>
                  </w:r>
                  <w:r>
                    <w:rPr>
                      <w:rFonts w:hint="default" w:ascii="Times New Roman" w:hAnsi="Times New Roman" w:eastAsia="宋体" w:cs="Times New Roman"/>
                      <w:b w:val="0"/>
                      <w:bCs w:val="0"/>
                      <w:i w:val="0"/>
                      <w:color w:val="auto"/>
                      <w:kern w:val="0"/>
                      <w:sz w:val="21"/>
                      <w:szCs w:val="21"/>
                      <w:u w:val="none"/>
                      <w:lang w:val="en-US" w:eastAsia="zh-CN" w:bidi="ar"/>
                    </w:rPr>
                    <w:t>建设项目，</w:t>
                  </w:r>
                  <w:r>
                    <w:rPr>
                      <w:rFonts w:hint="eastAsia" w:ascii="Times New Roman" w:hAnsi="Times New Roman" w:eastAsia="宋体" w:cs="Times New Roman"/>
                      <w:b w:val="0"/>
                      <w:bCs w:val="0"/>
                      <w:i w:val="0"/>
                      <w:color w:val="auto"/>
                      <w:kern w:val="0"/>
                      <w:sz w:val="21"/>
                      <w:szCs w:val="21"/>
                      <w:u w:val="none"/>
                      <w:lang w:val="en-US" w:eastAsia="zh-CN" w:bidi="ar"/>
                    </w:rPr>
                    <w:t>项目</w:t>
                  </w:r>
                  <w:r>
                    <w:rPr>
                      <w:rFonts w:hint="default" w:ascii="Times New Roman" w:hAnsi="Times New Roman" w:cs="Times New Roman"/>
                      <w:color w:val="auto"/>
                      <w:sz w:val="21"/>
                      <w:szCs w:val="21"/>
                      <w:lang w:bidi="ar"/>
                    </w:rPr>
                    <w:t>使用</w:t>
                  </w:r>
                  <w:r>
                    <w:rPr>
                      <w:rFonts w:hint="eastAsia" w:cs="Times New Roman"/>
                      <w:color w:val="auto"/>
                      <w:sz w:val="21"/>
                      <w:szCs w:val="21"/>
                      <w:lang w:val="en-US" w:eastAsia="zh-CN" w:bidi="ar"/>
                    </w:rPr>
                    <w:t>轻质柴油</w:t>
                  </w:r>
                  <w:r>
                    <w:rPr>
                      <w:rFonts w:hint="default" w:ascii="Times New Roman" w:hAnsi="Times New Roman" w:cs="Times New Roman"/>
                      <w:color w:val="auto"/>
                      <w:sz w:val="21"/>
                      <w:szCs w:val="21"/>
                    </w:rPr>
                    <w:t>对导热油</w:t>
                  </w:r>
                  <w:r>
                    <w:rPr>
                      <w:rFonts w:hint="eastAsia" w:cs="Times New Roman"/>
                      <w:color w:val="auto"/>
                      <w:sz w:val="21"/>
                      <w:szCs w:val="21"/>
                      <w:lang w:val="en-US" w:eastAsia="zh-CN"/>
                    </w:rPr>
                    <w:t>炉和烘干滚筒</w:t>
                  </w:r>
                  <w:r>
                    <w:rPr>
                      <w:rFonts w:hint="default" w:ascii="Times New Roman" w:hAnsi="Times New Roman" w:cs="Times New Roman"/>
                      <w:color w:val="auto"/>
                      <w:sz w:val="21"/>
                      <w:szCs w:val="21"/>
                      <w:lang w:bidi="ar"/>
                    </w:rPr>
                    <w:t>进行加热</w:t>
                  </w:r>
                  <w:r>
                    <w:rPr>
                      <w:rFonts w:hint="eastAsia" w:ascii="Times New Roman" w:hAnsi="Times New Roman" w:cs="Times New Roman"/>
                      <w:color w:val="auto"/>
                      <w:sz w:val="21"/>
                      <w:szCs w:val="21"/>
                      <w:lang w:eastAsia="zh-CN" w:bidi="ar"/>
                    </w:rPr>
                    <w:t>，</w:t>
                  </w:r>
                  <w:r>
                    <w:rPr>
                      <w:rFonts w:hint="eastAsia" w:ascii="Times New Roman" w:hAnsi="Times New Roman" w:cs="Times New Roman"/>
                      <w:color w:val="auto"/>
                      <w:sz w:val="21"/>
                      <w:szCs w:val="21"/>
                      <w:lang w:val="en-US" w:eastAsia="zh-CN" w:bidi="ar"/>
                    </w:rPr>
                    <w:t>采用生产设备和工艺满足节能和环保要求，并已取得备案证。</w:t>
                  </w:r>
                </w:p>
              </w:tc>
              <w:tc>
                <w:tcPr>
                  <w:tcW w:w="695" w:type="dxa"/>
                  <w:noWrap/>
                  <w:tcMar>
                    <w:top w:w="15" w:type="dxa"/>
                    <w:left w:w="15" w:type="dxa"/>
                    <w:right w:w="15" w:type="dxa"/>
                  </w:tcMar>
                  <w:vAlign w:val="center"/>
                </w:tcPr>
                <w:p w14:paraId="65FF98E7">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14:paraId="496A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5" w:hRule="atLeast"/>
                <w:jc w:val="center"/>
              </w:trPr>
              <w:tc>
                <w:tcPr>
                  <w:tcW w:w="3825" w:type="dxa"/>
                  <w:noWrap/>
                  <w:tcMar>
                    <w:top w:w="15" w:type="dxa"/>
                    <w:left w:w="15" w:type="dxa"/>
                    <w:right w:w="15" w:type="dxa"/>
                  </w:tcMar>
                  <w:vAlign w:val="center"/>
                </w:tcPr>
                <w:p w14:paraId="34E19A85">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三、加快淘汰落后产能</w:t>
                  </w:r>
                </w:p>
                <w:p w14:paraId="018955A4">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按照《部分工业行业淘汰落后生产工艺装备和产品指导目录(2010年本)》、《产业结构调整指导目录(2011年本) (修正)》要求，重点针对钢铁、水泥等产能过剩行业制定“十三五”淘汰计划，确保国家下达的淘汰落后产能目标任务全面完成</w:t>
                  </w:r>
                </w:p>
              </w:tc>
              <w:tc>
                <w:tcPr>
                  <w:tcW w:w="2541" w:type="dxa"/>
                  <w:noWrap w:val="0"/>
                  <w:tcMar>
                    <w:top w:w="15" w:type="dxa"/>
                    <w:left w:w="15" w:type="dxa"/>
                    <w:right w:w="15" w:type="dxa"/>
                  </w:tcMar>
                  <w:vAlign w:val="center"/>
                </w:tcPr>
                <w:p w14:paraId="6C515C24">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对照国务院批准颁发的《产业结构调整指导目录（2019 年本）》，本项目不属于限制类及淘汰类，项目生产设备及生产工艺未使用国家明令禁止淘汰类和限制类，符合国家产业政策。</w:t>
                  </w:r>
                </w:p>
              </w:tc>
              <w:tc>
                <w:tcPr>
                  <w:tcW w:w="695" w:type="dxa"/>
                  <w:noWrap/>
                  <w:tcMar>
                    <w:top w:w="15" w:type="dxa"/>
                    <w:left w:w="15" w:type="dxa"/>
                    <w:right w:w="15" w:type="dxa"/>
                  </w:tcMar>
                  <w:vAlign w:val="center"/>
                </w:tcPr>
                <w:p w14:paraId="44F0136B">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14:paraId="0C62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3825" w:type="dxa"/>
                  <w:noWrap/>
                  <w:tcMar>
                    <w:top w:w="15" w:type="dxa"/>
                    <w:left w:w="15" w:type="dxa"/>
                    <w:right w:w="15" w:type="dxa"/>
                  </w:tcMar>
                  <w:vAlign w:val="center"/>
                </w:tcPr>
                <w:p w14:paraId="666DF352">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四、加快清洁能源替代利用</w:t>
                  </w:r>
                </w:p>
                <w:p w14:paraId="00A44D2F">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优化调整能源结构，加大清洁能源推广使用力度</w:t>
                  </w:r>
                </w:p>
              </w:tc>
              <w:tc>
                <w:tcPr>
                  <w:tcW w:w="2541" w:type="dxa"/>
                  <w:noWrap w:val="0"/>
                  <w:tcMar>
                    <w:top w:w="15" w:type="dxa"/>
                    <w:left w:w="15" w:type="dxa"/>
                    <w:right w:w="15" w:type="dxa"/>
                  </w:tcMar>
                  <w:vAlign w:val="center"/>
                </w:tcPr>
                <w:p w14:paraId="6B0BE39B">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eastAsia"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本项目</w:t>
                  </w:r>
                  <w:r>
                    <w:rPr>
                      <w:rFonts w:hint="default" w:ascii="Times New Roman" w:hAnsi="Times New Roman" w:cs="Times New Roman"/>
                      <w:color w:val="auto"/>
                      <w:sz w:val="21"/>
                      <w:szCs w:val="21"/>
                      <w:lang w:bidi="ar"/>
                    </w:rPr>
                    <w:t>使用</w:t>
                  </w:r>
                  <w:r>
                    <w:rPr>
                      <w:rFonts w:hint="eastAsia" w:cs="Times New Roman"/>
                      <w:color w:val="auto"/>
                      <w:sz w:val="21"/>
                      <w:szCs w:val="21"/>
                      <w:lang w:val="en-US" w:eastAsia="zh-CN" w:bidi="ar"/>
                    </w:rPr>
                    <w:t>轻质柴油</w:t>
                  </w:r>
                  <w:r>
                    <w:rPr>
                      <w:rFonts w:hint="default" w:ascii="Times New Roman" w:hAnsi="Times New Roman" w:cs="Times New Roman"/>
                      <w:color w:val="auto"/>
                      <w:sz w:val="21"/>
                      <w:szCs w:val="21"/>
                    </w:rPr>
                    <w:t>对导热油</w:t>
                  </w:r>
                  <w:r>
                    <w:rPr>
                      <w:rFonts w:hint="eastAsia" w:cs="Times New Roman"/>
                      <w:color w:val="auto"/>
                      <w:sz w:val="21"/>
                      <w:szCs w:val="21"/>
                      <w:lang w:val="en-US" w:eastAsia="zh-CN"/>
                    </w:rPr>
                    <w:t>炉和烘干滚筒</w:t>
                  </w:r>
                  <w:r>
                    <w:rPr>
                      <w:rFonts w:hint="default" w:ascii="Times New Roman" w:hAnsi="Times New Roman" w:cs="Times New Roman"/>
                      <w:color w:val="auto"/>
                      <w:sz w:val="21"/>
                      <w:szCs w:val="21"/>
                      <w:lang w:bidi="ar"/>
                    </w:rPr>
                    <w:t>进行加热</w:t>
                  </w:r>
                  <w:r>
                    <w:rPr>
                      <w:rFonts w:hint="eastAsia" w:ascii="Times New Roman" w:hAnsi="Times New Roman" w:cs="Times New Roman"/>
                      <w:color w:val="auto"/>
                      <w:sz w:val="21"/>
                      <w:szCs w:val="21"/>
                      <w:lang w:eastAsia="zh-CN" w:bidi="ar"/>
                    </w:rPr>
                    <w:t>。</w:t>
                  </w:r>
                </w:p>
              </w:tc>
              <w:tc>
                <w:tcPr>
                  <w:tcW w:w="695" w:type="dxa"/>
                  <w:noWrap/>
                  <w:tcMar>
                    <w:top w:w="15" w:type="dxa"/>
                    <w:left w:w="15" w:type="dxa"/>
                    <w:right w:w="15" w:type="dxa"/>
                  </w:tcMar>
                  <w:vAlign w:val="center"/>
                </w:tcPr>
                <w:p w14:paraId="7EFA9C04">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14:paraId="46E7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3825" w:type="dxa"/>
                  <w:noWrap/>
                  <w:tcMar>
                    <w:top w:w="15" w:type="dxa"/>
                    <w:left w:w="15" w:type="dxa"/>
                    <w:right w:w="15" w:type="dxa"/>
                  </w:tcMar>
                  <w:vAlign w:val="center"/>
                </w:tcPr>
                <w:p w14:paraId="5F7ECC1E">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五、加强工业企业大气污染治理</w:t>
                  </w:r>
                </w:p>
                <w:p w14:paraId="4933B8B3">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加快火电、水泥、钢铁、化工、有色金属冶炼等重点行业脱硫、脱硝及除尘改造工程建设</w:t>
                  </w:r>
                </w:p>
              </w:tc>
              <w:tc>
                <w:tcPr>
                  <w:tcW w:w="2541" w:type="dxa"/>
                  <w:noWrap w:val="0"/>
                  <w:tcMar>
                    <w:top w:w="15" w:type="dxa"/>
                    <w:left w:w="15" w:type="dxa"/>
                    <w:right w:w="15" w:type="dxa"/>
                  </w:tcMar>
                  <w:vAlign w:val="center"/>
                </w:tcPr>
                <w:p w14:paraId="46A5846E">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本项目为</w:t>
                  </w:r>
                  <w:r>
                    <w:rPr>
                      <w:rFonts w:hint="eastAsia" w:ascii="Times New Roman" w:hAnsi="Times New Roman" w:eastAsia="宋体" w:cs="Times New Roman"/>
                      <w:b w:val="0"/>
                      <w:bCs w:val="0"/>
                      <w:i w:val="0"/>
                      <w:color w:val="auto"/>
                      <w:kern w:val="0"/>
                      <w:sz w:val="21"/>
                      <w:szCs w:val="21"/>
                      <w:u w:val="none"/>
                      <w:lang w:val="en-US" w:eastAsia="zh-CN" w:bidi="ar"/>
                    </w:rPr>
                    <w:t>沥青拌合站</w:t>
                  </w:r>
                  <w:r>
                    <w:rPr>
                      <w:rFonts w:hint="default" w:ascii="Times New Roman" w:hAnsi="Times New Roman" w:eastAsia="宋体" w:cs="Times New Roman"/>
                      <w:b w:val="0"/>
                      <w:bCs w:val="0"/>
                      <w:i w:val="0"/>
                      <w:color w:val="auto"/>
                      <w:kern w:val="0"/>
                      <w:sz w:val="21"/>
                      <w:szCs w:val="21"/>
                      <w:u w:val="none"/>
                      <w:lang w:val="en-US" w:eastAsia="zh-CN" w:bidi="ar"/>
                    </w:rPr>
                    <w:t>建设项目，</w:t>
                  </w:r>
                  <w:r>
                    <w:rPr>
                      <w:rFonts w:hint="eastAsia" w:ascii="Times New Roman" w:hAnsi="Times New Roman" w:eastAsia="宋体" w:cs="Times New Roman"/>
                      <w:b w:val="0"/>
                      <w:bCs w:val="0"/>
                      <w:i w:val="0"/>
                      <w:color w:val="auto"/>
                      <w:kern w:val="0"/>
                      <w:sz w:val="21"/>
                      <w:szCs w:val="21"/>
                      <w:u w:val="none"/>
                      <w:lang w:val="en-US" w:eastAsia="zh-CN" w:bidi="ar"/>
                    </w:rPr>
                    <w:t>产生的粉尘废气采用布袋除尘器处理，处理工艺可行。</w:t>
                  </w:r>
                </w:p>
              </w:tc>
              <w:tc>
                <w:tcPr>
                  <w:tcW w:w="695" w:type="dxa"/>
                  <w:noWrap/>
                  <w:tcMar>
                    <w:top w:w="15" w:type="dxa"/>
                    <w:left w:w="15" w:type="dxa"/>
                    <w:right w:w="15" w:type="dxa"/>
                  </w:tcMar>
                  <w:vAlign w:val="center"/>
                </w:tcPr>
                <w:p w14:paraId="58A455FF">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14:paraId="5B45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jc w:val="center"/>
              </w:trPr>
              <w:tc>
                <w:tcPr>
                  <w:tcW w:w="3825" w:type="dxa"/>
                  <w:noWrap/>
                  <w:tcMar>
                    <w:top w:w="15" w:type="dxa"/>
                    <w:left w:w="15" w:type="dxa"/>
                    <w:right w:w="15" w:type="dxa"/>
                  </w:tcMar>
                  <w:vAlign w:val="center"/>
                </w:tcPr>
                <w:p w14:paraId="55C96C96">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六、深化城市扬尘污染治理</w:t>
                  </w:r>
                </w:p>
                <w:p w14:paraId="5FF4948C">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城市建成区及周边地区工程建设施工现场应全封闭设置围挡墙、施工围网、防风抑尘网，严禁敞开式作业，施工现场道路应进行地面硬化。运输过程采取密闭措施，县级以上城市要加大城市建成区内洒水等防风抑尘作业力度</w:t>
                  </w:r>
                </w:p>
              </w:tc>
              <w:tc>
                <w:tcPr>
                  <w:tcW w:w="2541" w:type="dxa"/>
                  <w:noWrap w:val="0"/>
                  <w:tcMar>
                    <w:top w:w="15" w:type="dxa"/>
                    <w:left w:w="15" w:type="dxa"/>
                    <w:right w:w="15" w:type="dxa"/>
                  </w:tcMar>
                  <w:vAlign w:val="center"/>
                </w:tcPr>
                <w:p w14:paraId="3FF29BF4">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项目施工期</w:t>
                  </w:r>
                  <w:r>
                    <w:rPr>
                      <w:rFonts w:hint="eastAsia" w:ascii="Times New Roman" w:hAnsi="Times New Roman" w:eastAsia="宋体" w:cs="Times New Roman"/>
                      <w:b w:val="0"/>
                      <w:bCs w:val="0"/>
                      <w:i w:val="0"/>
                      <w:color w:val="auto"/>
                      <w:kern w:val="0"/>
                      <w:sz w:val="21"/>
                      <w:szCs w:val="21"/>
                      <w:u w:val="none"/>
                      <w:lang w:val="en-US" w:eastAsia="zh-CN" w:bidi="ar"/>
                    </w:rPr>
                    <w:t>已</w:t>
                  </w:r>
                  <w:r>
                    <w:rPr>
                      <w:rFonts w:hint="default" w:ascii="Times New Roman" w:hAnsi="Times New Roman" w:eastAsia="宋体" w:cs="Times New Roman"/>
                      <w:b w:val="0"/>
                      <w:bCs w:val="0"/>
                      <w:i w:val="0"/>
                      <w:color w:val="auto"/>
                      <w:kern w:val="0"/>
                      <w:sz w:val="21"/>
                      <w:szCs w:val="21"/>
                      <w:u w:val="none"/>
                      <w:lang w:val="en-US" w:eastAsia="zh-CN" w:bidi="ar"/>
                    </w:rPr>
                    <w:t>设置围挡，施工期采取洒水降尘，土工布遮挡及密闭运输等方式减缓施工扬尘的影响</w:t>
                  </w:r>
                  <w:r>
                    <w:rPr>
                      <w:rFonts w:hint="eastAsia" w:ascii="Times New Roman" w:hAnsi="Times New Roman" w:eastAsia="宋体" w:cs="Times New Roman"/>
                      <w:b w:val="0"/>
                      <w:bCs w:val="0"/>
                      <w:i w:val="0"/>
                      <w:color w:val="auto"/>
                      <w:kern w:val="0"/>
                      <w:sz w:val="21"/>
                      <w:szCs w:val="21"/>
                      <w:u w:val="none"/>
                      <w:lang w:val="en-US" w:eastAsia="zh-CN" w:bidi="ar"/>
                    </w:rPr>
                    <w:t>。</w:t>
                  </w:r>
                </w:p>
              </w:tc>
              <w:tc>
                <w:tcPr>
                  <w:tcW w:w="695" w:type="dxa"/>
                  <w:noWrap/>
                  <w:tcMar>
                    <w:top w:w="15" w:type="dxa"/>
                    <w:left w:w="15" w:type="dxa"/>
                    <w:right w:w="15" w:type="dxa"/>
                  </w:tcMar>
                  <w:vAlign w:val="center"/>
                </w:tcPr>
                <w:p w14:paraId="63091800">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sz w:val="21"/>
                      <w:szCs w:val="21"/>
                      <w:u w:val="none"/>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14:paraId="1A1B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7061" w:type="dxa"/>
                  <w:gridSpan w:val="3"/>
                  <w:noWrap/>
                  <w:tcMar>
                    <w:top w:w="15" w:type="dxa"/>
                    <w:left w:w="15" w:type="dxa"/>
                    <w:right w:w="15" w:type="dxa"/>
                  </w:tcMar>
                  <w:vAlign w:val="center"/>
                </w:tcPr>
                <w:p w14:paraId="17791A9E">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left"/>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注：其他与本项目无关的未列出。</w:t>
                  </w:r>
                </w:p>
              </w:tc>
            </w:tr>
          </w:tbl>
          <w:p w14:paraId="66576232">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b w:val="0"/>
                <w:bCs/>
                <w:color w:val="auto"/>
                <w:kern w:val="0"/>
                <w:sz w:val="24"/>
                <w:szCs w:val="24"/>
                <w:lang w:val="en-US" w:eastAsia="zh-CN" w:bidi="ar-SA"/>
              </w:rPr>
              <w:t>根据以上分析，本项目建设与《云南省大气污染防治行动实施方案》相符合。</w:t>
            </w:r>
          </w:p>
          <w:p w14:paraId="590BF4A2">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0"/>
                <w:sz w:val="24"/>
                <w:szCs w:val="24"/>
                <w:lang w:val="en-US" w:eastAsia="zh-CN" w:bidi="ar-SA"/>
              </w:rPr>
            </w:pPr>
            <w:r>
              <w:rPr>
                <w:rFonts w:hint="eastAsia" w:cs="Times New Roman"/>
                <w:b/>
                <w:bCs/>
                <w:color w:val="auto"/>
                <w:kern w:val="0"/>
                <w:sz w:val="24"/>
                <w:szCs w:val="24"/>
                <w:lang w:val="en-US" w:eastAsia="zh-CN" w:bidi="ar-SA"/>
              </w:rPr>
              <w:t>6</w:t>
            </w:r>
            <w:r>
              <w:rPr>
                <w:rFonts w:hint="eastAsia" w:ascii="Times New Roman" w:hAnsi="Times New Roman" w:eastAsia="宋体" w:cs="Times New Roman"/>
                <w:b/>
                <w:bCs/>
                <w:color w:val="auto"/>
                <w:kern w:val="0"/>
                <w:sz w:val="24"/>
                <w:szCs w:val="24"/>
                <w:lang w:val="en-US" w:eastAsia="zh-CN" w:bidi="ar-SA"/>
              </w:rPr>
              <w:t>、与《中华人民共和国河道管理条例》符合性判定的相符性分析</w:t>
            </w:r>
          </w:p>
          <w:p w14:paraId="504871F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1988年6月10日，中华人民共和国国务院以令第3号文发布了《中华人民共和国河道管理条例》，2018年3月19日国务院第四次修订</w:t>
            </w:r>
            <w:r>
              <w:rPr>
                <w:rFonts w:hint="eastAsia"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项目建设与其符合性见</w:t>
            </w:r>
            <w:r>
              <w:rPr>
                <w:rFonts w:hint="eastAsia" w:cs="Times New Roman"/>
                <w:color w:val="auto"/>
                <w:kern w:val="0"/>
                <w:sz w:val="24"/>
                <w:szCs w:val="24"/>
                <w:lang w:val="en-US" w:eastAsia="zh-CN" w:bidi="ar-SA"/>
              </w:rPr>
              <w:t>下表所示</w:t>
            </w:r>
            <w:r>
              <w:rPr>
                <w:rFonts w:hint="eastAsia" w:ascii="Times New Roman" w:hAnsi="Times New Roman" w:eastAsia="宋体" w:cs="Times New Roman"/>
                <w:color w:val="auto"/>
                <w:kern w:val="0"/>
                <w:sz w:val="24"/>
                <w:szCs w:val="24"/>
                <w:lang w:val="en-US" w:eastAsia="zh-CN" w:bidi="ar-SA"/>
              </w:rPr>
              <w:t>。</w:t>
            </w:r>
          </w:p>
          <w:p w14:paraId="64C52170">
            <w:pPr>
              <w:keepNext w:val="0"/>
              <w:keepLines w:val="0"/>
              <w:pageBreakBefore w:val="0"/>
              <w:widowControl w:val="0"/>
              <w:kinsoku/>
              <w:wordWrap/>
              <w:overflowPunct/>
              <w:topLinePunct w:val="0"/>
              <w:autoSpaceDE/>
              <w:autoSpaceDN/>
              <w:bidi w:val="0"/>
              <w:adjustRightInd w:val="0"/>
              <w:snapToGrid w:val="0"/>
              <w:spacing w:line="288" w:lineRule="auto"/>
              <w:ind w:firstLine="422" w:firstLineChars="200"/>
              <w:jc w:val="center"/>
              <w:textAlignment w:val="auto"/>
              <w:rPr>
                <w:rFonts w:hint="default" w:ascii="Times New Roman" w:hAnsi="Times New Roman" w:cs="Times New Roman"/>
                <w:b/>
                <w:smallCaps w:val="0"/>
                <w:color w:val="auto"/>
                <w:sz w:val="21"/>
                <w:szCs w:val="21"/>
                <w:highlight w:val="none"/>
                <w:lang w:eastAsia="zh-CN"/>
              </w:rPr>
            </w:pPr>
            <w:r>
              <w:rPr>
                <w:rFonts w:hint="default" w:ascii="Times New Roman" w:hAnsi="Times New Roman" w:cs="Times New Roman"/>
                <w:b/>
                <w:smallCaps w:val="0"/>
                <w:color w:val="auto"/>
                <w:sz w:val="21"/>
                <w:szCs w:val="21"/>
                <w:highlight w:val="none"/>
                <w:lang w:eastAsia="zh-CN"/>
              </w:rPr>
              <w:t>表</w:t>
            </w:r>
            <w:r>
              <w:rPr>
                <w:rFonts w:hint="eastAsia" w:ascii="Times New Roman" w:hAnsi="Times New Roman" w:cs="Times New Roman"/>
                <w:b/>
                <w:smallCaps w:val="0"/>
                <w:color w:val="auto"/>
                <w:sz w:val="21"/>
                <w:szCs w:val="21"/>
                <w:highlight w:val="none"/>
                <w:lang w:val="en-US" w:eastAsia="zh-CN"/>
              </w:rPr>
              <w:t>1-</w:t>
            </w:r>
            <w:r>
              <w:rPr>
                <w:rFonts w:hint="eastAsia" w:cs="Times New Roman"/>
                <w:b/>
                <w:smallCaps w:val="0"/>
                <w:color w:val="auto"/>
                <w:sz w:val="21"/>
                <w:szCs w:val="21"/>
                <w:highlight w:val="none"/>
                <w:lang w:val="en-US" w:eastAsia="zh-CN"/>
              </w:rPr>
              <w:t>4</w:t>
            </w:r>
            <w:r>
              <w:rPr>
                <w:rFonts w:hint="default" w:ascii="Times New Roman" w:hAnsi="Times New Roman" w:cs="Times New Roman"/>
                <w:b/>
                <w:smallCaps w:val="0"/>
                <w:color w:val="auto"/>
                <w:sz w:val="21"/>
                <w:szCs w:val="21"/>
                <w:highlight w:val="none"/>
                <w:lang w:val="en-US" w:eastAsia="zh-CN"/>
              </w:rPr>
              <w:t xml:space="preserve"> </w:t>
            </w:r>
            <w:r>
              <w:rPr>
                <w:rFonts w:hint="eastAsia" w:ascii="Times New Roman" w:hAnsi="Times New Roman" w:cs="Times New Roman"/>
                <w:b/>
                <w:smallCaps w:val="0"/>
                <w:color w:val="auto"/>
                <w:sz w:val="21"/>
                <w:szCs w:val="21"/>
                <w:highlight w:val="none"/>
                <w:lang w:eastAsia="zh-CN"/>
              </w:rPr>
              <w:t>项目</w:t>
            </w:r>
            <w:r>
              <w:rPr>
                <w:rFonts w:hint="default" w:ascii="Times New Roman" w:hAnsi="Times New Roman" w:cs="Times New Roman"/>
                <w:b/>
                <w:smallCaps w:val="0"/>
                <w:color w:val="auto"/>
                <w:sz w:val="21"/>
                <w:szCs w:val="21"/>
                <w:highlight w:val="none"/>
                <w:lang w:eastAsia="zh-CN"/>
              </w:rPr>
              <w:t>与</w:t>
            </w:r>
            <w:r>
              <w:rPr>
                <w:rFonts w:hint="eastAsia" w:ascii="Times New Roman" w:hAnsi="Times New Roman" w:eastAsia="宋体" w:cs="Times New Roman"/>
                <w:b/>
                <w:smallCaps w:val="0"/>
                <w:color w:val="auto"/>
                <w:sz w:val="21"/>
                <w:szCs w:val="21"/>
                <w:highlight w:val="none"/>
                <w:lang w:val="en-US" w:eastAsia="zh-CN"/>
              </w:rPr>
              <w:t>《中华人民共和国河道管理条例》</w:t>
            </w:r>
            <w:r>
              <w:rPr>
                <w:rFonts w:hint="default" w:ascii="Times New Roman" w:hAnsi="Times New Roman" w:eastAsia="宋体" w:cs="Times New Roman"/>
                <w:b/>
                <w:smallCaps w:val="0"/>
                <w:color w:val="auto"/>
                <w:sz w:val="21"/>
                <w:szCs w:val="21"/>
                <w:highlight w:val="none"/>
                <w:lang w:eastAsia="zh-CN"/>
              </w:rPr>
              <w:t>相符性分</w:t>
            </w:r>
            <w:r>
              <w:rPr>
                <w:rFonts w:hint="default" w:ascii="Times New Roman" w:hAnsi="Times New Roman" w:cs="Times New Roman"/>
                <w:b/>
                <w:smallCaps w:val="0"/>
                <w:color w:val="auto"/>
                <w:sz w:val="21"/>
                <w:szCs w:val="21"/>
                <w:highlight w:val="none"/>
                <w:lang w:eastAsia="zh-CN"/>
              </w:rPr>
              <w:t>析表</w:t>
            </w:r>
          </w:p>
          <w:tbl>
            <w:tblPr>
              <w:tblStyle w:val="27"/>
              <w:tblW w:w="69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36"/>
              <w:gridCol w:w="3894"/>
              <w:gridCol w:w="1696"/>
              <w:gridCol w:w="832"/>
            </w:tblGrid>
            <w:tr w14:paraId="6D4B0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536" w:type="dxa"/>
                  <w:noWrap w:val="0"/>
                  <w:vAlign w:val="center"/>
                </w:tcPr>
                <w:p w14:paraId="4376E1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auto"/>
                      <w:sz w:val="21"/>
                      <w:szCs w:val="21"/>
                      <w:highlight w:val="none"/>
                      <w:lang w:eastAsia="zh-CN"/>
                    </w:rPr>
                  </w:pPr>
                  <w:r>
                    <w:rPr>
                      <w:rFonts w:hint="default" w:ascii="Times New Roman" w:hAnsi="Times New Roman" w:cs="Times New Roman"/>
                      <w:b/>
                      <w:bCs/>
                      <w:smallCaps w:val="0"/>
                      <w:color w:val="auto"/>
                      <w:sz w:val="21"/>
                      <w:szCs w:val="21"/>
                      <w:highlight w:val="none"/>
                      <w:lang w:val="en-US" w:eastAsia="zh-CN"/>
                    </w:rPr>
                    <w:t>序号</w:t>
                  </w:r>
                </w:p>
              </w:tc>
              <w:tc>
                <w:tcPr>
                  <w:tcW w:w="3894" w:type="dxa"/>
                  <w:noWrap w:val="0"/>
                  <w:vAlign w:val="center"/>
                </w:tcPr>
                <w:p w14:paraId="29843D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eastAsia" w:ascii="Times New Roman" w:hAnsi="Times New Roman" w:eastAsia="宋体" w:cs="Times New Roman"/>
                      <w:b/>
                      <w:bCs/>
                      <w:smallCaps w:val="0"/>
                      <w:color w:val="auto"/>
                      <w:sz w:val="21"/>
                      <w:szCs w:val="21"/>
                      <w:highlight w:val="none"/>
                      <w:lang w:val="en-US" w:eastAsia="zh-CN"/>
                    </w:rPr>
                    <w:t>中华人民共和国河道管理条例管理</w:t>
                  </w:r>
                  <w:r>
                    <w:rPr>
                      <w:rFonts w:hint="default" w:ascii="Times New Roman" w:hAnsi="Times New Roman" w:eastAsia="宋体" w:cs="Times New Roman"/>
                      <w:b/>
                      <w:bCs/>
                      <w:smallCaps w:val="0"/>
                      <w:color w:val="auto"/>
                      <w:sz w:val="21"/>
                      <w:szCs w:val="21"/>
                      <w:highlight w:val="none"/>
                      <w:lang w:eastAsia="zh-CN"/>
                    </w:rPr>
                    <w:t>要求</w:t>
                  </w:r>
                </w:p>
              </w:tc>
              <w:tc>
                <w:tcPr>
                  <w:tcW w:w="1696" w:type="dxa"/>
                  <w:noWrap w:val="0"/>
                  <w:vAlign w:val="center"/>
                </w:tcPr>
                <w:p w14:paraId="07A6A7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auto"/>
                      <w:kern w:val="2"/>
                      <w:sz w:val="21"/>
                      <w:szCs w:val="21"/>
                      <w:highlight w:val="none"/>
                      <w:lang w:val="en-US" w:eastAsia="zh-CN" w:bidi="ar-SA"/>
                    </w:rPr>
                  </w:pPr>
                  <w:r>
                    <w:rPr>
                      <w:rFonts w:hint="default" w:ascii="Times New Roman" w:hAnsi="Times New Roman" w:eastAsia="宋体" w:cs="Times New Roman"/>
                      <w:b/>
                      <w:bCs/>
                      <w:smallCaps w:val="0"/>
                      <w:color w:val="auto"/>
                      <w:sz w:val="21"/>
                      <w:szCs w:val="21"/>
                      <w:highlight w:val="none"/>
                    </w:rPr>
                    <w:t>本</w:t>
                  </w:r>
                  <w:r>
                    <w:rPr>
                      <w:rFonts w:hint="default" w:ascii="Times New Roman" w:hAnsi="Times New Roman" w:eastAsia="宋体" w:cs="Times New Roman"/>
                      <w:b/>
                      <w:bCs/>
                      <w:smallCaps w:val="0"/>
                      <w:color w:val="auto"/>
                      <w:sz w:val="21"/>
                      <w:szCs w:val="21"/>
                      <w:highlight w:val="none"/>
                      <w:lang w:eastAsia="zh-CN"/>
                    </w:rPr>
                    <w:t>项目</w:t>
                  </w:r>
                  <w:r>
                    <w:rPr>
                      <w:rFonts w:hint="default" w:ascii="Times New Roman" w:hAnsi="Times New Roman" w:eastAsia="宋体" w:cs="Times New Roman"/>
                      <w:b/>
                      <w:bCs/>
                      <w:smallCaps w:val="0"/>
                      <w:color w:val="auto"/>
                      <w:sz w:val="21"/>
                      <w:szCs w:val="21"/>
                      <w:highlight w:val="none"/>
                    </w:rPr>
                    <w:t>情况</w:t>
                  </w:r>
                </w:p>
              </w:tc>
              <w:tc>
                <w:tcPr>
                  <w:tcW w:w="832" w:type="dxa"/>
                  <w:noWrap w:val="0"/>
                  <w:vAlign w:val="center"/>
                </w:tcPr>
                <w:p w14:paraId="71BC78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mallCaps w:val="0"/>
                      <w:color w:val="auto"/>
                      <w:kern w:val="2"/>
                      <w:sz w:val="21"/>
                      <w:szCs w:val="21"/>
                      <w:highlight w:val="none"/>
                      <w:lang w:val="en-US" w:eastAsia="zh-CN" w:bidi="ar-SA"/>
                    </w:rPr>
                  </w:pPr>
                  <w:r>
                    <w:rPr>
                      <w:rFonts w:hint="default" w:ascii="Times New Roman" w:hAnsi="Times New Roman" w:eastAsia="宋体" w:cs="Times New Roman"/>
                      <w:b/>
                      <w:bCs/>
                      <w:smallCaps w:val="0"/>
                      <w:color w:val="auto"/>
                      <w:sz w:val="21"/>
                      <w:szCs w:val="21"/>
                      <w:highlight w:val="none"/>
                    </w:rPr>
                    <w:t>符合性分析</w:t>
                  </w:r>
                </w:p>
              </w:tc>
            </w:tr>
            <w:tr w14:paraId="38E96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68" w:hRule="atLeast"/>
                <w:jc w:val="center"/>
              </w:trPr>
              <w:tc>
                <w:tcPr>
                  <w:tcW w:w="536" w:type="dxa"/>
                  <w:noWrap w:val="0"/>
                  <w:vAlign w:val="center"/>
                </w:tcPr>
                <w:p w14:paraId="636D8D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t>1</w:t>
                  </w:r>
                </w:p>
              </w:tc>
              <w:tc>
                <w:tcPr>
                  <w:tcW w:w="3894" w:type="dxa"/>
                  <w:noWrap w:val="0"/>
                  <w:vAlign w:val="center"/>
                </w:tcPr>
                <w:p w14:paraId="70A5EF0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b/>
                      <w:bCs/>
                      <w:i w:val="0"/>
                      <w:iCs w:val="0"/>
                      <w:caps w:val="0"/>
                      <w:color w:val="auto"/>
                      <w:spacing w:val="0"/>
                      <w:kern w:val="0"/>
                      <w:sz w:val="21"/>
                      <w:szCs w:val="21"/>
                      <w:shd w:val="clear" w:color="auto" w:fill="FFFFFF"/>
                      <w:lang w:val="en-US" w:eastAsia="zh-CN" w:bidi="ar-SA"/>
                    </w:rPr>
                    <w:t>第二十四条</w:t>
                  </w:r>
                  <w:r>
                    <w:rPr>
                      <w:rFonts w:hint="eastAsia" w:ascii="宋体" w:hAnsi="宋体" w:eastAsia="宋体" w:cs="宋体"/>
                      <w:i w:val="0"/>
                      <w:iCs w:val="0"/>
                      <w:caps w:val="0"/>
                      <w:color w:val="auto"/>
                      <w:spacing w:val="0"/>
                      <w:kern w:val="0"/>
                      <w:sz w:val="21"/>
                      <w:szCs w:val="21"/>
                      <w:shd w:val="clear" w:color="auto" w:fill="FFFFFF"/>
                      <w:lang w:val="en-US" w:eastAsia="zh-CN" w:bidi="ar-SA"/>
                    </w:rPr>
                    <w:t>　在河道管理范围内，禁止修建围堤、阻水渠道、阻水道路；种植高秆农作物、芦苇、杞柳、荻柴和树木（堤防防护林除外）；设置拦河渔具；弃置矿渣、石渣、煤灰、泥土、垃圾等。</w:t>
                  </w:r>
                </w:p>
                <w:p w14:paraId="7C0F573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i w:val="0"/>
                      <w:iCs w:val="0"/>
                      <w:caps w:val="0"/>
                      <w:color w:val="auto"/>
                      <w:spacing w:val="0"/>
                      <w:kern w:val="0"/>
                      <w:sz w:val="21"/>
                      <w:szCs w:val="21"/>
                      <w:shd w:val="clear" w:color="auto" w:fill="FFFFFF"/>
                      <w:lang w:val="en-US" w:eastAsia="zh-CN" w:bidi="ar-SA"/>
                    </w:rPr>
                    <w:t>在堤防和护堤地，禁止建房、放牧、开渠、打井、挖窖、葬坟、晒粮、存放物料、开采地下资源、进行考古发掘以及开展集市贸易活动。</w:t>
                  </w:r>
                </w:p>
              </w:tc>
              <w:tc>
                <w:tcPr>
                  <w:tcW w:w="1696" w:type="dxa"/>
                  <w:noWrap w:val="0"/>
                  <w:vAlign w:val="center"/>
                </w:tcPr>
                <w:p w14:paraId="729BE8E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mallCaps w:val="0"/>
                      <w:color w:val="auto"/>
                      <w:sz w:val="21"/>
                      <w:szCs w:val="21"/>
                      <w:highlight w:val="none"/>
                      <w:lang w:val="en-US" w:eastAsia="zh-CN"/>
                    </w:rPr>
                  </w:pPr>
                  <w:r>
                    <w:rPr>
                      <w:rFonts w:hint="default" w:ascii="宋体" w:hAnsi="宋体" w:eastAsia="宋体" w:cs="宋体"/>
                      <w:i w:val="0"/>
                      <w:iCs w:val="0"/>
                      <w:caps w:val="0"/>
                      <w:color w:val="auto"/>
                      <w:spacing w:val="0"/>
                      <w:kern w:val="0"/>
                      <w:sz w:val="21"/>
                      <w:szCs w:val="21"/>
                      <w:shd w:val="clear" w:color="auto" w:fill="FFFFFF"/>
                      <w:lang w:val="en-US" w:eastAsia="zh-CN" w:bidi="ar-SA"/>
                    </w:rPr>
                    <w:t>项目</w:t>
                  </w:r>
                  <w:r>
                    <w:rPr>
                      <w:rFonts w:hint="default" w:ascii="宋体" w:hAnsi="宋体" w:eastAsia="宋体" w:cs="宋体"/>
                      <w:i w:val="0"/>
                      <w:iCs w:val="0"/>
                      <w:caps w:val="0"/>
                      <w:color w:val="auto"/>
                      <w:spacing w:val="0"/>
                      <w:sz w:val="21"/>
                      <w:szCs w:val="21"/>
                      <w:shd w:val="clear" w:color="auto" w:fill="FFFFFF"/>
                      <w:lang w:val="en-US" w:eastAsia="zh-CN"/>
                    </w:rPr>
                    <w:t>为</w:t>
                  </w:r>
                  <w:r>
                    <w:rPr>
                      <w:rFonts w:hint="eastAsia" w:ascii="宋体" w:hAnsi="宋体" w:eastAsia="宋体" w:cs="宋体"/>
                      <w:i w:val="0"/>
                      <w:iCs w:val="0"/>
                      <w:caps w:val="0"/>
                      <w:color w:val="auto"/>
                      <w:spacing w:val="0"/>
                      <w:sz w:val="21"/>
                      <w:szCs w:val="21"/>
                      <w:shd w:val="clear" w:color="auto" w:fill="FFFFFF"/>
                      <w:lang w:val="en-US" w:eastAsia="zh-CN"/>
                    </w:rPr>
                    <w:t>沥青拌合站建设项目</w:t>
                  </w:r>
                  <w:r>
                    <w:rPr>
                      <w:rFonts w:hint="default" w:ascii="宋体" w:hAnsi="宋体" w:eastAsia="宋体" w:cs="宋体"/>
                      <w:i w:val="0"/>
                      <w:iCs w:val="0"/>
                      <w:caps w:val="0"/>
                      <w:color w:val="auto"/>
                      <w:spacing w:val="0"/>
                      <w:sz w:val="21"/>
                      <w:szCs w:val="21"/>
                      <w:shd w:val="clear" w:color="auto" w:fill="FFFFFF"/>
                      <w:lang w:val="en-US" w:eastAsia="zh-CN"/>
                    </w:rPr>
                    <w:t>，</w:t>
                  </w:r>
                  <w:r>
                    <w:rPr>
                      <w:rFonts w:hint="eastAsia" w:ascii="宋体" w:hAnsi="宋体" w:cs="宋体"/>
                      <w:i w:val="0"/>
                      <w:iCs w:val="0"/>
                      <w:caps w:val="0"/>
                      <w:color w:val="auto"/>
                      <w:spacing w:val="0"/>
                      <w:sz w:val="21"/>
                      <w:szCs w:val="21"/>
                      <w:shd w:val="clear" w:color="auto" w:fill="FFFFFF"/>
                      <w:lang w:val="en-US" w:eastAsia="zh-CN"/>
                    </w:rPr>
                    <w:t>不在河道管理范围内，</w:t>
                  </w:r>
                  <w:r>
                    <w:rPr>
                      <w:rFonts w:hint="eastAsia" w:ascii="宋体" w:hAnsi="宋体" w:eastAsia="宋体" w:cs="宋体"/>
                      <w:i w:val="0"/>
                      <w:iCs w:val="0"/>
                      <w:caps w:val="0"/>
                      <w:color w:val="auto"/>
                      <w:spacing w:val="0"/>
                      <w:sz w:val="21"/>
                      <w:szCs w:val="21"/>
                      <w:shd w:val="clear" w:color="auto" w:fill="FFFFFF"/>
                      <w:lang w:val="en-US" w:eastAsia="zh-CN"/>
                    </w:rPr>
                    <w:t>不在河道取水，不涉及禁止类活动。</w:t>
                  </w:r>
                </w:p>
              </w:tc>
              <w:tc>
                <w:tcPr>
                  <w:tcW w:w="832" w:type="dxa"/>
                  <w:noWrap w:val="0"/>
                  <w:vAlign w:val="center"/>
                </w:tcPr>
                <w:p w14:paraId="7482B1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z w:val="21"/>
                      <w:szCs w:val="21"/>
                      <w:highlight w:val="none"/>
                      <w:lang w:eastAsia="zh-CN"/>
                    </w:rPr>
                  </w:pPr>
                  <w:r>
                    <w:rPr>
                      <w:rFonts w:hint="default" w:ascii="Times New Roman" w:hAnsi="Times New Roman" w:eastAsia="宋体" w:cs="Times New Roman"/>
                      <w:smallCaps w:val="0"/>
                      <w:color w:val="auto"/>
                      <w:sz w:val="21"/>
                      <w:szCs w:val="21"/>
                      <w:highlight w:val="none"/>
                      <w:lang w:eastAsia="zh-CN"/>
                    </w:rPr>
                    <w:t>符合</w:t>
                  </w:r>
                </w:p>
              </w:tc>
            </w:tr>
            <w:tr w14:paraId="08225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259" w:hRule="atLeast"/>
                <w:jc w:val="center"/>
              </w:trPr>
              <w:tc>
                <w:tcPr>
                  <w:tcW w:w="536" w:type="dxa"/>
                  <w:noWrap w:val="0"/>
                  <w:vAlign w:val="center"/>
                </w:tcPr>
                <w:p w14:paraId="6A02DF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t>2</w:t>
                  </w:r>
                </w:p>
              </w:tc>
              <w:tc>
                <w:tcPr>
                  <w:tcW w:w="3894" w:type="dxa"/>
                  <w:noWrap w:val="0"/>
                  <w:vAlign w:val="center"/>
                </w:tcPr>
                <w:p w14:paraId="03D8F1B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b/>
                      <w:bCs/>
                      <w:i w:val="0"/>
                      <w:iCs w:val="0"/>
                      <w:caps w:val="0"/>
                      <w:color w:val="auto"/>
                      <w:spacing w:val="0"/>
                      <w:kern w:val="0"/>
                      <w:sz w:val="21"/>
                      <w:szCs w:val="21"/>
                      <w:shd w:val="clear" w:color="auto" w:fill="FFFFFF"/>
                      <w:lang w:val="en-US" w:eastAsia="zh-CN" w:bidi="ar-SA"/>
                    </w:rPr>
                    <w:t>第二十五条</w:t>
                  </w:r>
                  <w:r>
                    <w:rPr>
                      <w:rFonts w:hint="eastAsia" w:ascii="宋体" w:hAnsi="宋体" w:eastAsia="宋体" w:cs="宋体"/>
                      <w:i w:val="0"/>
                      <w:iCs w:val="0"/>
                      <w:caps w:val="0"/>
                      <w:color w:val="auto"/>
                      <w:spacing w:val="0"/>
                      <w:kern w:val="0"/>
                      <w:sz w:val="21"/>
                      <w:szCs w:val="21"/>
                      <w:shd w:val="clear" w:color="auto" w:fill="FFFFFF"/>
                      <w:lang w:val="en-US" w:eastAsia="zh-CN" w:bidi="ar-SA"/>
                    </w:rPr>
                    <w:t>　在河道管理范围内进行下列活动，必须报经河道主管机关批准；涉及其他部门的，由河道主管机关会同有关部门批准：</w:t>
                  </w:r>
                </w:p>
                <w:p w14:paraId="036F64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i w:val="0"/>
                      <w:iCs w:val="0"/>
                      <w:caps w:val="0"/>
                      <w:color w:val="auto"/>
                      <w:spacing w:val="0"/>
                      <w:kern w:val="0"/>
                      <w:sz w:val="21"/>
                      <w:szCs w:val="21"/>
                      <w:shd w:val="clear" w:color="auto" w:fill="FFFFFF"/>
                      <w:lang w:val="en-US" w:eastAsia="zh-CN" w:bidi="ar-SA"/>
                    </w:rPr>
                    <w:t>（一）采砂、取土、淘金、弃置砂石或者淤泥；</w:t>
                  </w:r>
                </w:p>
                <w:p w14:paraId="4118CD1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i w:val="0"/>
                      <w:iCs w:val="0"/>
                      <w:caps w:val="0"/>
                      <w:color w:val="auto"/>
                      <w:spacing w:val="0"/>
                      <w:kern w:val="0"/>
                      <w:sz w:val="21"/>
                      <w:szCs w:val="21"/>
                      <w:shd w:val="clear" w:color="auto" w:fill="FFFFFF"/>
                      <w:lang w:val="en-US" w:eastAsia="zh-CN" w:bidi="ar-SA"/>
                    </w:rPr>
                    <w:t>（二）爆破、钻探、挖筑鱼塘；</w:t>
                  </w:r>
                </w:p>
                <w:p w14:paraId="68C020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i w:val="0"/>
                      <w:iCs w:val="0"/>
                      <w:caps w:val="0"/>
                      <w:color w:val="auto"/>
                      <w:spacing w:val="0"/>
                      <w:kern w:val="0"/>
                      <w:sz w:val="21"/>
                      <w:szCs w:val="21"/>
                      <w:shd w:val="clear" w:color="auto" w:fill="FFFFFF"/>
                      <w:lang w:val="en-US" w:eastAsia="zh-CN" w:bidi="ar-SA"/>
                    </w:rPr>
                    <w:t>（三）在河道滩地存放物料、修建厂房或者其他建筑设施；</w:t>
                  </w:r>
                </w:p>
                <w:p w14:paraId="32EC02E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i w:val="0"/>
                      <w:iCs w:val="0"/>
                      <w:caps w:val="0"/>
                      <w:color w:val="auto"/>
                      <w:spacing w:val="0"/>
                      <w:kern w:val="0"/>
                      <w:sz w:val="21"/>
                      <w:szCs w:val="21"/>
                      <w:shd w:val="clear" w:color="auto" w:fill="FFFFFF"/>
                      <w:lang w:val="en-US" w:eastAsia="zh-CN" w:bidi="ar-SA"/>
                    </w:rPr>
                    <w:t>（四）在河道滩地开采地下资源及进行考古发掘。</w:t>
                  </w:r>
                </w:p>
              </w:tc>
              <w:tc>
                <w:tcPr>
                  <w:tcW w:w="1696" w:type="dxa"/>
                  <w:noWrap w:val="0"/>
                  <w:vAlign w:val="center"/>
                </w:tcPr>
                <w:p w14:paraId="562CA58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mallCaps w:val="0"/>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项目</w:t>
                  </w:r>
                  <w:r>
                    <w:rPr>
                      <w:rFonts w:hint="eastAsia" w:ascii="宋体" w:hAnsi="宋体" w:cs="宋体"/>
                      <w:i w:val="0"/>
                      <w:iCs w:val="0"/>
                      <w:caps w:val="0"/>
                      <w:color w:val="auto"/>
                      <w:spacing w:val="0"/>
                      <w:sz w:val="21"/>
                      <w:szCs w:val="21"/>
                      <w:shd w:val="clear" w:color="auto" w:fill="FFFFFF"/>
                      <w:lang w:val="en-US" w:eastAsia="zh-CN"/>
                    </w:rPr>
                    <w:t>不在河道管理范围内，</w:t>
                  </w:r>
                  <w:r>
                    <w:rPr>
                      <w:rFonts w:hint="eastAsia" w:ascii="Times New Roman" w:hAnsi="Times New Roman" w:eastAsia="宋体" w:cs="Times New Roman"/>
                      <w:color w:val="auto"/>
                      <w:sz w:val="21"/>
                      <w:szCs w:val="21"/>
                      <w:highlight w:val="none"/>
                      <w:lang w:val="en-US" w:eastAsia="zh-CN"/>
                    </w:rPr>
                    <w:t>不涉及条例中</w:t>
                  </w:r>
                  <w:r>
                    <w:rPr>
                      <w:rFonts w:hint="eastAsia" w:ascii="宋体" w:hAnsi="宋体" w:eastAsia="宋体" w:cs="宋体"/>
                      <w:i w:val="0"/>
                      <w:iCs w:val="0"/>
                      <w:caps w:val="0"/>
                      <w:color w:val="auto"/>
                      <w:spacing w:val="0"/>
                      <w:sz w:val="21"/>
                      <w:szCs w:val="21"/>
                      <w:shd w:val="clear" w:color="auto" w:fill="FFFFFF"/>
                      <w:lang w:val="en-US" w:eastAsia="zh-CN"/>
                    </w:rPr>
                    <w:t>所列的活动。</w:t>
                  </w:r>
                </w:p>
              </w:tc>
              <w:tc>
                <w:tcPr>
                  <w:tcW w:w="832" w:type="dxa"/>
                  <w:noWrap w:val="0"/>
                  <w:vAlign w:val="center"/>
                </w:tcPr>
                <w:p w14:paraId="14FBB3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z w:val="21"/>
                      <w:szCs w:val="21"/>
                      <w:highlight w:val="none"/>
                      <w:lang w:val="en-US" w:eastAsia="zh-CN"/>
                    </w:rPr>
                  </w:pPr>
                  <w:r>
                    <w:rPr>
                      <w:rFonts w:hint="eastAsia" w:ascii="Times New Roman" w:hAnsi="Times New Roman" w:eastAsia="宋体" w:cs="Times New Roman"/>
                      <w:smallCaps w:val="0"/>
                      <w:color w:val="auto"/>
                      <w:sz w:val="21"/>
                      <w:szCs w:val="21"/>
                      <w:highlight w:val="none"/>
                      <w:lang w:val="en-US" w:eastAsia="zh-CN"/>
                    </w:rPr>
                    <w:t>符合</w:t>
                  </w:r>
                </w:p>
              </w:tc>
            </w:tr>
            <w:tr w14:paraId="286CC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92" w:hRule="atLeast"/>
                <w:jc w:val="center"/>
              </w:trPr>
              <w:tc>
                <w:tcPr>
                  <w:tcW w:w="536" w:type="dxa"/>
                  <w:noWrap w:val="0"/>
                  <w:vAlign w:val="center"/>
                </w:tcPr>
                <w:p w14:paraId="43970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t>3</w:t>
                  </w:r>
                </w:p>
              </w:tc>
              <w:tc>
                <w:tcPr>
                  <w:tcW w:w="3894" w:type="dxa"/>
                  <w:noWrap w:val="0"/>
                  <w:vAlign w:val="center"/>
                </w:tcPr>
                <w:p w14:paraId="51302C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b/>
                      <w:bCs/>
                      <w:i w:val="0"/>
                      <w:iCs w:val="0"/>
                      <w:caps w:val="0"/>
                      <w:color w:val="auto"/>
                      <w:spacing w:val="0"/>
                      <w:kern w:val="0"/>
                      <w:sz w:val="21"/>
                      <w:szCs w:val="21"/>
                      <w:shd w:val="clear" w:color="auto" w:fill="FFFFFF"/>
                      <w:lang w:val="en-US" w:eastAsia="zh-CN" w:bidi="ar-SA"/>
                    </w:rPr>
                    <w:t>第二十七条</w:t>
                  </w:r>
                  <w:r>
                    <w:rPr>
                      <w:rFonts w:hint="eastAsia" w:ascii="宋体" w:hAnsi="宋体" w:eastAsia="宋体" w:cs="宋体"/>
                      <w:i w:val="0"/>
                      <w:iCs w:val="0"/>
                      <w:caps w:val="0"/>
                      <w:color w:val="auto"/>
                      <w:spacing w:val="0"/>
                      <w:kern w:val="0"/>
                      <w:sz w:val="21"/>
                      <w:szCs w:val="21"/>
                      <w:shd w:val="clear" w:color="auto" w:fill="FFFFFF"/>
                      <w:lang w:val="en-US" w:eastAsia="zh-CN" w:bidi="ar-SA"/>
                    </w:rPr>
                    <w:t>　禁止围湖造田。已经围垦的，应当按照国家规定的防洪标准进行治理，逐步退田还湖。湖泊的开发利用规划必须经河道主管机关审查同意。</w:t>
                  </w:r>
                </w:p>
              </w:tc>
              <w:tc>
                <w:tcPr>
                  <w:tcW w:w="1696" w:type="dxa"/>
                  <w:noWrap w:val="0"/>
                  <w:vAlign w:val="center"/>
                </w:tcPr>
                <w:p w14:paraId="51DF586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mallCaps w:val="0"/>
                      <w:color w:val="auto"/>
                      <w:sz w:val="21"/>
                      <w:szCs w:val="21"/>
                      <w:highlight w:val="none"/>
                      <w:lang w:eastAsia="zh-CN"/>
                    </w:rPr>
                  </w:pPr>
                  <w:r>
                    <w:rPr>
                      <w:rFonts w:hint="default" w:ascii="宋体" w:hAnsi="宋体" w:eastAsia="宋体" w:cs="宋体"/>
                      <w:i w:val="0"/>
                      <w:iCs w:val="0"/>
                      <w:caps w:val="0"/>
                      <w:color w:val="auto"/>
                      <w:spacing w:val="0"/>
                      <w:kern w:val="0"/>
                      <w:sz w:val="21"/>
                      <w:szCs w:val="21"/>
                      <w:shd w:val="clear" w:color="auto" w:fill="FFFFFF"/>
                      <w:lang w:val="en-US" w:eastAsia="zh-CN" w:bidi="ar-SA"/>
                    </w:rPr>
                    <w:t>项目</w:t>
                  </w:r>
                  <w:r>
                    <w:rPr>
                      <w:rFonts w:hint="eastAsia" w:ascii="Times New Roman" w:hAnsi="Times New Roman" w:eastAsia="宋体" w:cs="Times New Roman"/>
                      <w:color w:val="auto"/>
                      <w:sz w:val="21"/>
                      <w:szCs w:val="21"/>
                      <w:highlight w:val="none"/>
                      <w:lang w:val="en-US" w:eastAsia="zh-CN"/>
                    </w:rPr>
                    <w:t>不涉及</w:t>
                  </w:r>
                  <w:r>
                    <w:rPr>
                      <w:rFonts w:hint="eastAsia" w:ascii="宋体" w:hAnsi="宋体" w:eastAsia="宋体" w:cs="宋体"/>
                      <w:i w:val="0"/>
                      <w:iCs w:val="0"/>
                      <w:caps w:val="0"/>
                      <w:color w:val="auto"/>
                      <w:spacing w:val="0"/>
                      <w:sz w:val="21"/>
                      <w:szCs w:val="21"/>
                      <w:shd w:val="clear" w:color="auto" w:fill="FFFFFF"/>
                    </w:rPr>
                    <w:t>围湖造田</w:t>
                  </w:r>
                  <w:r>
                    <w:rPr>
                      <w:rFonts w:hint="eastAsia" w:ascii="宋体" w:hAnsi="宋体" w:eastAsia="宋体" w:cs="宋体"/>
                      <w:i w:val="0"/>
                      <w:iCs w:val="0"/>
                      <w:caps w:val="0"/>
                      <w:color w:val="auto"/>
                      <w:spacing w:val="0"/>
                      <w:sz w:val="21"/>
                      <w:szCs w:val="21"/>
                      <w:shd w:val="clear" w:color="auto" w:fill="FFFFFF"/>
                      <w:lang w:val="en-US" w:eastAsia="zh-CN"/>
                    </w:rPr>
                    <w:t>活动。</w:t>
                  </w:r>
                </w:p>
              </w:tc>
              <w:tc>
                <w:tcPr>
                  <w:tcW w:w="832" w:type="dxa"/>
                  <w:noWrap w:val="0"/>
                  <w:vAlign w:val="center"/>
                </w:tcPr>
                <w:p w14:paraId="6A5545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z w:val="21"/>
                      <w:szCs w:val="21"/>
                      <w:highlight w:val="none"/>
                      <w:lang w:eastAsia="zh-CN"/>
                    </w:rPr>
                  </w:pPr>
                  <w:r>
                    <w:rPr>
                      <w:rFonts w:hint="eastAsia" w:ascii="Times New Roman" w:hAnsi="Times New Roman" w:eastAsia="宋体" w:cs="Times New Roman"/>
                      <w:smallCaps w:val="0"/>
                      <w:color w:val="auto"/>
                      <w:sz w:val="21"/>
                      <w:szCs w:val="21"/>
                      <w:highlight w:val="none"/>
                      <w:lang w:val="en-US" w:eastAsia="zh-CN"/>
                    </w:rPr>
                    <w:t>符合</w:t>
                  </w:r>
                </w:p>
              </w:tc>
            </w:tr>
            <w:tr w14:paraId="4D6548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87" w:hRule="atLeast"/>
                <w:jc w:val="center"/>
              </w:trPr>
              <w:tc>
                <w:tcPr>
                  <w:tcW w:w="536" w:type="dxa"/>
                  <w:noWrap w:val="0"/>
                  <w:vAlign w:val="center"/>
                </w:tcPr>
                <w:p w14:paraId="16AFC0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t>4</w:t>
                  </w:r>
                </w:p>
              </w:tc>
              <w:tc>
                <w:tcPr>
                  <w:tcW w:w="3894" w:type="dxa"/>
                  <w:noWrap w:val="0"/>
                  <w:vAlign w:val="center"/>
                </w:tcPr>
                <w:p w14:paraId="362784D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b/>
                      <w:bCs/>
                      <w:i w:val="0"/>
                      <w:iCs w:val="0"/>
                      <w:caps w:val="0"/>
                      <w:color w:val="auto"/>
                      <w:spacing w:val="0"/>
                      <w:kern w:val="0"/>
                      <w:sz w:val="21"/>
                      <w:szCs w:val="21"/>
                      <w:shd w:val="clear" w:color="auto" w:fill="FFFFFF"/>
                      <w:lang w:val="en-US" w:eastAsia="zh-CN" w:bidi="ar-SA"/>
                    </w:rPr>
                    <w:t>第三十二条</w:t>
                  </w:r>
                  <w:r>
                    <w:rPr>
                      <w:rFonts w:hint="eastAsia" w:ascii="宋体" w:hAnsi="宋体" w:eastAsia="宋体" w:cs="宋体"/>
                      <w:i w:val="0"/>
                      <w:iCs w:val="0"/>
                      <w:caps w:val="0"/>
                      <w:color w:val="auto"/>
                      <w:spacing w:val="0"/>
                      <w:kern w:val="0"/>
                      <w:sz w:val="21"/>
                      <w:szCs w:val="21"/>
                      <w:shd w:val="clear" w:color="auto" w:fill="FFFFFF"/>
                      <w:lang w:val="en-US" w:eastAsia="zh-CN" w:bidi="ar-SA"/>
                    </w:rPr>
                    <w:t>　山区河道有山体滑坡、崩岸、泥石流等自然灾害的河段，河道主管机关应当会同地质、交通等部门加强监测。在上述河段，禁止从事开山采石、采矿、开荒等危及山体稳定的活动。</w:t>
                  </w:r>
                </w:p>
              </w:tc>
              <w:tc>
                <w:tcPr>
                  <w:tcW w:w="1696" w:type="dxa"/>
                  <w:noWrap w:val="0"/>
                  <w:vAlign w:val="center"/>
                </w:tcPr>
                <w:p w14:paraId="454B48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mallCaps w:val="0"/>
                      <w:color w:val="auto"/>
                      <w:sz w:val="21"/>
                      <w:szCs w:val="21"/>
                      <w:highlight w:val="none"/>
                      <w:lang w:eastAsia="zh-CN"/>
                    </w:rPr>
                  </w:pPr>
                  <w:r>
                    <w:rPr>
                      <w:rFonts w:hint="default" w:ascii="宋体" w:hAnsi="宋体" w:eastAsia="宋体" w:cs="宋体"/>
                      <w:i w:val="0"/>
                      <w:iCs w:val="0"/>
                      <w:caps w:val="0"/>
                      <w:color w:val="auto"/>
                      <w:spacing w:val="0"/>
                      <w:kern w:val="0"/>
                      <w:sz w:val="21"/>
                      <w:szCs w:val="21"/>
                      <w:shd w:val="clear" w:color="auto" w:fill="FFFFFF"/>
                      <w:lang w:val="en-US" w:eastAsia="zh-CN" w:bidi="ar-SA"/>
                    </w:rPr>
                    <w:t>项目</w:t>
                  </w:r>
                  <w:r>
                    <w:rPr>
                      <w:rFonts w:hint="eastAsia" w:ascii="Times New Roman" w:hAnsi="Times New Roman" w:eastAsia="宋体" w:cs="Times New Roman"/>
                      <w:color w:val="auto"/>
                      <w:sz w:val="21"/>
                      <w:szCs w:val="21"/>
                      <w:highlight w:val="none"/>
                      <w:lang w:val="en-US" w:eastAsia="zh-CN"/>
                    </w:rPr>
                    <w:t>不涉及</w:t>
                  </w:r>
                  <w:r>
                    <w:rPr>
                      <w:rFonts w:hint="eastAsia" w:ascii="宋体" w:hAnsi="宋体" w:eastAsia="宋体" w:cs="宋体"/>
                      <w:i w:val="0"/>
                      <w:iCs w:val="0"/>
                      <w:caps w:val="0"/>
                      <w:color w:val="auto"/>
                      <w:spacing w:val="0"/>
                      <w:sz w:val="21"/>
                      <w:szCs w:val="21"/>
                      <w:shd w:val="clear" w:color="auto" w:fill="FFFFFF"/>
                    </w:rPr>
                    <w:t>开山采石、采矿、开荒等</w:t>
                  </w:r>
                  <w:r>
                    <w:rPr>
                      <w:rFonts w:hint="eastAsia" w:ascii="宋体" w:hAnsi="宋体" w:eastAsia="宋体" w:cs="宋体"/>
                      <w:i w:val="0"/>
                      <w:iCs w:val="0"/>
                      <w:caps w:val="0"/>
                      <w:color w:val="auto"/>
                      <w:spacing w:val="0"/>
                      <w:sz w:val="21"/>
                      <w:szCs w:val="21"/>
                      <w:shd w:val="clear" w:color="auto" w:fill="FFFFFF"/>
                      <w:lang w:val="en-US" w:eastAsia="zh-CN"/>
                    </w:rPr>
                    <w:t>活动。</w:t>
                  </w:r>
                </w:p>
              </w:tc>
              <w:tc>
                <w:tcPr>
                  <w:tcW w:w="832" w:type="dxa"/>
                  <w:noWrap w:val="0"/>
                  <w:vAlign w:val="center"/>
                </w:tcPr>
                <w:p w14:paraId="1C767E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z w:val="21"/>
                      <w:szCs w:val="21"/>
                      <w:highlight w:val="none"/>
                      <w:lang w:val="en-US" w:eastAsia="zh-CN"/>
                    </w:rPr>
                  </w:pPr>
                  <w:r>
                    <w:rPr>
                      <w:rFonts w:hint="eastAsia" w:ascii="Times New Roman" w:hAnsi="Times New Roman" w:eastAsia="宋体" w:cs="Times New Roman"/>
                      <w:smallCaps w:val="0"/>
                      <w:color w:val="auto"/>
                      <w:sz w:val="21"/>
                      <w:szCs w:val="21"/>
                      <w:highlight w:val="none"/>
                      <w:lang w:val="en-US" w:eastAsia="zh-CN"/>
                    </w:rPr>
                    <w:t>符合</w:t>
                  </w:r>
                </w:p>
              </w:tc>
            </w:tr>
            <w:tr w14:paraId="3CF98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12" w:hRule="atLeast"/>
                <w:jc w:val="center"/>
              </w:trPr>
              <w:tc>
                <w:tcPr>
                  <w:tcW w:w="536" w:type="dxa"/>
                  <w:noWrap w:val="0"/>
                  <w:vAlign w:val="center"/>
                </w:tcPr>
                <w:p w14:paraId="261407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t>5</w:t>
                  </w:r>
                </w:p>
              </w:tc>
              <w:tc>
                <w:tcPr>
                  <w:tcW w:w="3894" w:type="dxa"/>
                  <w:noWrap w:val="0"/>
                  <w:vAlign w:val="center"/>
                </w:tcPr>
                <w:p w14:paraId="10FAB95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b/>
                      <w:bCs/>
                      <w:i w:val="0"/>
                      <w:iCs w:val="0"/>
                      <w:caps w:val="0"/>
                      <w:color w:val="auto"/>
                      <w:spacing w:val="0"/>
                      <w:kern w:val="0"/>
                      <w:sz w:val="21"/>
                      <w:szCs w:val="21"/>
                      <w:shd w:val="clear" w:color="auto" w:fill="FFFFFF"/>
                      <w:lang w:val="en-US" w:eastAsia="zh-CN" w:bidi="ar-SA"/>
                    </w:rPr>
                    <w:t>第三十三条</w:t>
                  </w:r>
                  <w:r>
                    <w:rPr>
                      <w:rFonts w:hint="eastAsia" w:ascii="宋体" w:hAnsi="宋体" w:eastAsia="宋体" w:cs="宋体"/>
                      <w:i w:val="0"/>
                      <w:iCs w:val="0"/>
                      <w:caps w:val="0"/>
                      <w:color w:val="auto"/>
                      <w:spacing w:val="0"/>
                      <w:kern w:val="0"/>
                      <w:sz w:val="21"/>
                      <w:szCs w:val="21"/>
                      <w:shd w:val="clear" w:color="auto" w:fill="FFFFFF"/>
                      <w:lang w:val="en-US" w:eastAsia="zh-CN" w:bidi="ar-SA"/>
                    </w:rPr>
                    <w:t>　在河道中流放竹木，不得影响行洪、航运和水工程安全，并服从当地河道主管机关的安全管理。</w:t>
                  </w:r>
                </w:p>
              </w:tc>
              <w:tc>
                <w:tcPr>
                  <w:tcW w:w="1696" w:type="dxa"/>
                  <w:noWrap w:val="0"/>
                  <w:vAlign w:val="center"/>
                </w:tcPr>
                <w:p w14:paraId="542547C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mallCaps w:val="0"/>
                      <w:color w:val="auto"/>
                      <w:kern w:val="2"/>
                      <w:sz w:val="21"/>
                      <w:szCs w:val="21"/>
                      <w:highlight w:val="none"/>
                      <w:lang w:val="en-US" w:eastAsia="zh-CN" w:bidi="ar-SA"/>
                    </w:rPr>
                  </w:pPr>
                  <w:r>
                    <w:rPr>
                      <w:rFonts w:hint="default" w:ascii="宋体" w:hAnsi="宋体" w:eastAsia="宋体" w:cs="宋体"/>
                      <w:i w:val="0"/>
                      <w:iCs w:val="0"/>
                      <w:caps w:val="0"/>
                      <w:color w:val="auto"/>
                      <w:spacing w:val="0"/>
                      <w:kern w:val="0"/>
                      <w:sz w:val="21"/>
                      <w:szCs w:val="21"/>
                      <w:shd w:val="clear" w:color="auto" w:fill="FFFFFF"/>
                      <w:lang w:val="en-US" w:eastAsia="zh-CN" w:bidi="ar-SA"/>
                    </w:rPr>
                    <w:t>项目</w:t>
                  </w:r>
                  <w:r>
                    <w:rPr>
                      <w:rFonts w:hint="eastAsia" w:ascii="Times New Roman" w:hAnsi="Times New Roman" w:eastAsia="宋体" w:cs="Times New Roman"/>
                      <w:color w:val="auto"/>
                      <w:sz w:val="21"/>
                      <w:szCs w:val="21"/>
                      <w:highlight w:val="none"/>
                      <w:lang w:val="en-US" w:eastAsia="zh-CN"/>
                    </w:rPr>
                    <w:t>不涉及</w:t>
                  </w:r>
                  <w:r>
                    <w:rPr>
                      <w:rFonts w:hint="eastAsia" w:ascii="宋体" w:hAnsi="宋体" w:eastAsia="宋体" w:cs="宋体"/>
                      <w:i w:val="0"/>
                      <w:iCs w:val="0"/>
                      <w:caps w:val="0"/>
                      <w:color w:val="auto"/>
                      <w:spacing w:val="0"/>
                      <w:sz w:val="21"/>
                      <w:szCs w:val="21"/>
                      <w:shd w:val="clear" w:color="auto" w:fill="FFFFFF"/>
                    </w:rPr>
                    <w:t>在河道中流放竹木</w:t>
                  </w:r>
                  <w:r>
                    <w:rPr>
                      <w:rFonts w:hint="eastAsia" w:ascii="宋体" w:hAnsi="宋体" w:eastAsia="宋体" w:cs="宋体"/>
                      <w:i w:val="0"/>
                      <w:iCs w:val="0"/>
                      <w:caps w:val="0"/>
                      <w:color w:val="auto"/>
                      <w:spacing w:val="0"/>
                      <w:sz w:val="21"/>
                      <w:szCs w:val="21"/>
                      <w:shd w:val="clear" w:color="auto" w:fill="FFFFFF"/>
                      <w:lang w:val="en-US" w:eastAsia="zh-CN"/>
                    </w:rPr>
                    <w:t>活动。</w:t>
                  </w:r>
                </w:p>
              </w:tc>
              <w:tc>
                <w:tcPr>
                  <w:tcW w:w="832" w:type="dxa"/>
                  <w:noWrap w:val="0"/>
                  <w:vAlign w:val="center"/>
                </w:tcPr>
                <w:p w14:paraId="07FE95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kern w:val="2"/>
                      <w:sz w:val="21"/>
                      <w:szCs w:val="21"/>
                      <w:highlight w:val="none"/>
                      <w:lang w:val="en-US" w:eastAsia="zh-CN" w:bidi="ar-SA"/>
                    </w:rPr>
                  </w:pPr>
                  <w:r>
                    <w:rPr>
                      <w:rFonts w:hint="eastAsia" w:ascii="Times New Roman" w:hAnsi="Times New Roman" w:eastAsia="宋体" w:cs="Times New Roman"/>
                      <w:smallCaps w:val="0"/>
                      <w:color w:val="auto"/>
                      <w:sz w:val="21"/>
                      <w:szCs w:val="21"/>
                      <w:highlight w:val="none"/>
                      <w:lang w:val="en-US" w:eastAsia="zh-CN"/>
                    </w:rPr>
                    <w:t>符合</w:t>
                  </w:r>
                </w:p>
              </w:tc>
            </w:tr>
            <w:tr w14:paraId="491AF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14" w:hRule="atLeast"/>
                <w:jc w:val="center"/>
              </w:trPr>
              <w:tc>
                <w:tcPr>
                  <w:tcW w:w="536" w:type="dxa"/>
                  <w:noWrap w:val="0"/>
                  <w:vAlign w:val="center"/>
                </w:tcPr>
                <w:p w14:paraId="57A594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t>6</w:t>
                  </w:r>
                </w:p>
              </w:tc>
              <w:tc>
                <w:tcPr>
                  <w:tcW w:w="3894" w:type="dxa"/>
                  <w:noWrap w:val="0"/>
                  <w:vAlign w:val="center"/>
                </w:tcPr>
                <w:p w14:paraId="366DD46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b/>
                      <w:bCs/>
                      <w:i w:val="0"/>
                      <w:iCs w:val="0"/>
                      <w:caps w:val="0"/>
                      <w:color w:val="auto"/>
                      <w:spacing w:val="0"/>
                      <w:kern w:val="0"/>
                      <w:sz w:val="21"/>
                      <w:szCs w:val="21"/>
                      <w:shd w:val="clear" w:color="auto" w:fill="FFFFFF"/>
                      <w:lang w:val="en-US" w:eastAsia="zh-CN" w:bidi="ar-SA"/>
                    </w:rPr>
                    <w:t>第三十四条</w:t>
                  </w:r>
                  <w:r>
                    <w:rPr>
                      <w:rFonts w:hint="eastAsia" w:ascii="宋体" w:hAnsi="宋体" w:eastAsia="宋体" w:cs="宋体"/>
                      <w:i w:val="0"/>
                      <w:iCs w:val="0"/>
                      <w:caps w:val="0"/>
                      <w:color w:val="auto"/>
                      <w:spacing w:val="0"/>
                      <w:kern w:val="0"/>
                      <w:sz w:val="21"/>
                      <w:szCs w:val="21"/>
                      <w:shd w:val="clear" w:color="auto" w:fill="FFFFFF"/>
                      <w:lang w:val="en-US" w:eastAsia="zh-CN" w:bidi="ar-SA"/>
                    </w:rPr>
                    <w:t>　向河道、湖泊排污的排污口的设置和扩大，排污单位在向环境保护部门申报之前，应当征得河道主管机关的同意。</w:t>
                  </w:r>
                </w:p>
              </w:tc>
              <w:tc>
                <w:tcPr>
                  <w:tcW w:w="1696" w:type="dxa"/>
                  <w:noWrap w:val="0"/>
                  <w:vAlign w:val="center"/>
                </w:tcPr>
                <w:p w14:paraId="6A0894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mallCaps w:val="0"/>
                      <w:color w:val="auto"/>
                      <w:kern w:val="2"/>
                      <w:sz w:val="21"/>
                      <w:szCs w:val="21"/>
                      <w:highlight w:val="none"/>
                      <w:lang w:val="en-US" w:eastAsia="zh-CN" w:bidi="ar-SA"/>
                    </w:rPr>
                  </w:pPr>
                  <w:r>
                    <w:rPr>
                      <w:rFonts w:hint="default" w:ascii="宋体" w:hAnsi="宋体" w:eastAsia="宋体" w:cs="宋体"/>
                      <w:i w:val="0"/>
                      <w:iCs w:val="0"/>
                      <w:caps w:val="0"/>
                      <w:color w:val="auto"/>
                      <w:spacing w:val="0"/>
                      <w:kern w:val="0"/>
                      <w:sz w:val="21"/>
                      <w:szCs w:val="21"/>
                      <w:shd w:val="clear" w:color="auto" w:fill="FFFFFF"/>
                      <w:lang w:val="en-US" w:eastAsia="zh-CN" w:bidi="ar-SA"/>
                    </w:rPr>
                    <w:t>项目</w:t>
                  </w:r>
                  <w:r>
                    <w:rPr>
                      <w:rFonts w:hint="eastAsia" w:ascii="Times New Roman" w:hAnsi="Times New Roman" w:eastAsia="宋体" w:cs="Times New Roman"/>
                      <w:color w:val="auto"/>
                      <w:sz w:val="21"/>
                      <w:szCs w:val="21"/>
                      <w:highlight w:val="none"/>
                      <w:lang w:val="en-US" w:eastAsia="zh-CN"/>
                    </w:rPr>
                    <w:t>不涉及入河排污口设置</w:t>
                  </w:r>
                  <w:r>
                    <w:rPr>
                      <w:rFonts w:hint="eastAsia" w:ascii="宋体" w:hAnsi="宋体" w:eastAsia="宋体" w:cs="宋体"/>
                      <w:i w:val="0"/>
                      <w:iCs w:val="0"/>
                      <w:caps w:val="0"/>
                      <w:color w:val="auto"/>
                      <w:spacing w:val="0"/>
                      <w:sz w:val="21"/>
                      <w:szCs w:val="21"/>
                      <w:shd w:val="clear" w:color="auto" w:fill="FFFFFF"/>
                      <w:lang w:val="en-US" w:eastAsia="zh-CN"/>
                    </w:rPr>
                    <w:t>。</w:t>
                  </w:r>
                </w:p>
              </w:tc>
              <w:tc>
                <w:tcPr>
                  <w:tcW w:w="832" w:type="dxa"/>
                  <w:noWrap w:val="0"/>
                  <w:vAlign w:val="center"/>
                </w:tcPr>
                <w:p w14:paraId="08FEE2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kern w:val="2"/>
                      <w:sz w:val="21"/>
                      <w:szCs w:val="21"/>
                      <w:highlight w:val="none"/>
                      <w:lang w:val="en-US" w:eastAsia="zh-CN" w:bidi="ar-SA"/>
                    </w:rPr>
                  </w:pPr>
                  <w:r>
                    <w:rPr>
                      <w:rFonts w:hint="eastAsia" w:ascii="Times New Roman" w:hAnsi="Times New Roman" w:eastAsia="宋体" w:cs="Times New Roman"/>
                      <w:smallCaps w:val="0"/>
                      <w:color w:val="auto"/>
                      <w:sz w:val="21"/>
                      <w:szCs w:val="21"/>
                      <w:highlight w:val="none"/>
                      <w:lang w:val="en-US" w:eastAsia="zh-CN"/>
                    </w:rPr>
                    <w:t>符合</w:t>
                  </w:r>
                </w:p>
              </w:tc>
            </w:tr>
            <w:tr w14:paraId="1174A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51" w:hRule="atLeast"/>
                <w:jc w:val="center"/>
              </w:trPr>
              <w:tc>
                <w:tcPr>
                  <w:tcW w:w="536" w:type="dxa"/>
                  <w:noWrap w:val="0"/>
                  <w:vAlign w:val="center"/>
                </w:tcPr>
                <w:p w14:paraId="7FA2DD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pPr>
                  <w:r>
                    <w:rPr>
                      <w:rFonts w:hint="default" w:ascii="Times New Roman" w:hAnsi="Times New Roman" w:eastAsia="宋体" w:cs="Times New Roman"/>
                      <w:i w:val="0"/>
                      <w:iCs w:val="0"/>
                      <w:caps w:val="0"/>
                      <w:color w:val="auto"/>
                      <w:spacing w:val="0"/>
                      <w:kern w:val="0"/>
                      <w:sz w:val="21"/>
                      <w:szCs w:val="21"/>
                      <w:shd w:val="clear" w:color="auto" w:fill="FFFFFF"/>
                      <w:lang w:val="en-US" w:eastAsia="zh-CN" w:bidi="ar-SA"/>
                    </w:rPr>
                    <w:t>7</w:t>
                  </w:r>
                </w:p>
              </w:tc>
              <w:tc>
                <w:tcPr>
                  <w:tcW w:w="3894" w:type="dxa"/>
                  <w:noWrap w:val="0"/>
                  <w:vAlign w:val="center"/>
                </w:tcPr>
                <w:p w14:paraId="2A3F314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b/>
                      <w:bCs/>
                      <w:i w:val="0"/>
                      <w:iCs w:val="0"/>
                      <w:caps w:val="0"/>
                      <w:color w:val="auto"/>
                      <w:spacing w:val="0"/>
                      <w:kern w:val="0"/>
                      <w:sz w:val="21"/>
                      <w:szCs w:val="21"/>
                      <w:shd w:val="clear" w:color="auto" w:fill="FFFFFF"/>
                      <w:lang w:val="en-US" w:eastAsia="zh-CN" w:bidi="ar-SA"/>
                    </w:rPr>
                    <w:t>第三十五条</w:t>
                  </w:r>
                  <w:r>
                    <w:rPr>
                      <w:rFonts w:hint="eastAsia" w:ascii="宋体" w:hAnsi="宋体" w:eastAsia="宋体" w:cs="宋体"/>
                      <w:i w:val="0"/>
                      <w:iCs w:val="0"/>
                      <w:caps w:val="0"/>
                      <w:color w:val="auto"/>
                      <w:spacing w:val="0"/>
                      <w:kern w:val="0"/>
                      <w:sz w:val="21"/>
                      <w:szCs w:val="21"/>
                      <w:shd w:val="clear" w:color="auto" w:fill="FFFFFF"/>
                      <w:lang w:val="en-US" w:eastAsia="zh-CN" w:bidi="ar-SA"/>
                    </w:rPr>
                    <w:t>　在河道管理范围内，禁止堆放、倾倒、掩埋、排放污染水体的物体。禁止在河道内清洗装贮过油类或者有毒污染物的车辆、容器。</w:t>
                  </w:r>
                </w:p>
                <w:p w14:paraId="3CDED5B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i w:val="0"/>
                      <w:iCs w:val="0"/>
                      <w:caps w:val="0"/>
                      <w:color w:val="auto"/>
                      <w:spacing w:val="0"/>
                      <w:kern w:val="0"/>
                      <w:sz w:val="21"/>
                      <w:szCs w:val="21"/>
                      <w:shd w:val="clear" w:color="auto" w:fill="FFFFFF"/>
                      <w:lang w:val="en-US" w:eastAsia="zh-CN" w:bidi="ar-SA"/>
                    </w:rPr>
                  </w:pPr>
                  <w:r>
                    <w:rPr>
                      <w:rFonts w:hint="eastAsia" w:ascii="宋体" w:hAnsi="宋体" w:eastAsia="宋体" w:cs="宋体"/>
                      <w:i w:val="0"/>
                      <w:iCs w:val="0"/>
                      <w:caps w:val="0"/>
                      <w:color w:val="auto"/>
                      <w:spacing w:val="0"/>
                      <w:kern w:val="0"/>
                      <w:sz w:val="21"/>
                      <w:szCs w:val="21"/>
                      <w:shd w:val="clear" w:color="auto" w:fill="FFFFFF"/>
                      <w:lang w:val="en-US" w:eastAsia="zh-CN" w:bidi="ar-SA"/>
                    </w:rPr>
                    <w:t>河道主管机关应当开展河道水质监测工作，协同环境保护部门对水污染防治实施监督管理。</w:t>
                  </w:r>
                </w:p>
              </w:tc>
              <w:tc>
                <w:tcPr>
                  <w:tcW w:w="1696" w:type="dxa"/>
                  <w:noWrap w:val="0"/>
                  <w:vAlign w:val="center"/>
                </w:tcPr>
                <w:p w14:paraId="735800F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mallCaps w:val="0"/>
                      <w:color w:val="auto"/>
                      <w:sz w:val="21"/>
                      <w:szCs w:val="21"/>
                      <w:highlight w:val="none"/>
                      <w:lang w:val="en-US" w:eastAsia="zh-CN"/>
                    </w:rPr>
                  </w:pPr>
                  <w:r>
                    <w:rPr>
                      <w:rFonts w:hint="default" w:ascii="宋体" w:hAnsi="宋体" w:eastAsia="宋体" w:cs="宋体"/>
                      <w:i w:val="0"/>
                      <w:iCs w:val="0"/>
                      <w:caps w:val="0"/>
                      <w:color w:val="auto"/>
                      <w:spacing w:val="0"/>
                      <w:kern w:val="0"/>
                      <w:sz w:val="21"/>
                      <w:szCs w:val="21"/>
                      <w:shd w:val="clear" w:color="auto" w:fill="FFFFFF"/>
                      <w:lang w:val="en-US" w:eastAsia="zh-CN" w:bidi="ar-SA"/>
                    </w:rPr>
                    <w:t>项目</w:t>
                  </w:r>
                  <w:r>
                    <w:rPr>
                      <w:rFonts w:hint="eastAsia" w:ascii="宋体" w:hAnsi="宋体" w:cs="宋体"/>
                      <w:i w:val="0"/>
                      <w:iCs w:val="0"/>
                      <w:caps w:val="0"/>
                      <w:color w:val="auto"/>
                      <w:spacing w:val="0"/>
                      <w:sz w:val="21"/>
                      <w:szCs w:val="21"/>
                      <w:shd w:val="clear" w:color="auto" w:fill="FFFFFF"/>
                      <w:lang w:val="en-US" w:eastAsia="zh-CN"/>
                    </w:rPr>
                    <w:t>不在河道管理范围内，</w:t>
                  </w:r>
                  <w:r>
                    <w:rPr>
                      <w:rFonts w:hint="eastAsia" w:ascii="宋体" w:hAnsi="宋体" w:eastAsia="宋体" w:cs="宋体"/>
                      <w:i w:val="0"/>
                      <w:iCs w:val="0"/>
                      <w:caps w:val="0"/>
                      <w:color w:val="auto"/>
                      <w:spacing w:val="0"/>
                      <w:kern w:val="0"/>
                      <w:sz w:val="21"/>
                      <w:szCs w:val="21"/>
                      <w:shd w:val="clear" w:color="auto" w:fill="FFFFFF"/>
                      <w:lang w:val="en-US" w:eastAsia="zh-CN" w:bidi="ar-SA"/>
                    </w:rPr>
                    <w:t>施工、运营期生产生活废水、固体废物均妥善处置，不向河道内倾倒污染物。</w:t>
                  </w:r>
                </w:p>
              </w:tc>
              <w:tc>
                <w:tcPr>
                  <w:tcW w:w="832" w:type="dxa"/>
                  <w:noWrap w:val="0"/>
                  <w:vAlign w:val="center"/>
                </w:tcPr>
                <w:p w14:paraId="543004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z w:val="21"/>
                      <w:szCs w:val="21"/>
                      <w:highlight w:val="none"/>
                      <w:lang w:eastAsia="zh-CN"/>
                    </w:rPr>
                  </w:pPr>
                  <w:r>
                    <w:rPr>
                      <w:rFonts w:hint="eastAsia" w:ascii="Times New Roman" w:hAnsi="Times New Roman" w:eastAsia="宋体" w:cs="Times New Roman"/>
                      <w:smallCaps w:val="0"/>
                      <w:color w:val="auto"/>
                      <w:sz w:val="21"/>
                      <w:szCs w:val="21"/>
                      <w:highlight w:val="none"/>
                      <w:lang w:val="en-US" w:eastAsia="zh-CN"/>
                    </w:rPr>
                    <w:t>符合</w:t>
                  </w:r>
                </w:p>
              </w:tc>
            </w:tr>
          </w:tbl>
          <w:p w14:paraId="08F09FB7">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color w:val="auto"/>
                <w:sz w:val="24"/>
              </w:rPr>
              <w:t>综上，项目</w:t>
            </w:r>
            <w:r>
              <w:rPr>
                <w:rFonts w:hint="eastAsia"/>
                <w:color w:val="auto"/>
                <w:sz w:val="24"/>
                <w:lang w:val="en-US" w:eastAsia="zh-CN"/>
              </w:rPr>
              <w:t>在落实环评提出的相关环境保护措施前提下</w:t>
            </w:r>
            <w:r>
              <w:rPr>
                <w:color w:val="auto"/>
                <w:sz w:val="24"/>
              </w:rPr>
              <w:t>总体符合</w:t>
            </w:r>
            <w:r>
              <w:rPr>
                <w:rFonts w:hint="eastAsia" w:ascii="Times New Roman" w:hAnsi="Times New Roman" w:eastAsia="宋体" w:cs="Times New Roman"/>
                <w:color w:val="auto"/>
                <w:kern w:val="0"/>
                <w:sz w:val="24"/>
                <w:szCs w:val="24"/>
                <w:lang w:val="en-US" w:eastAsia="zh-CN" w:bidi="ar-SA"/>
              </w:rPr>
              <w:t>《中华人民共和国河道管理条例》</w:t>
            </w:r>
            <w:r>
              <w:rPr>
                <w:color w:val="auto"/>
                <w:sz w:val="24"/>
              </w:rPr>
              <w:t>的管理要求。</w:t>
            </w:r>
          </w:p>
          <w:p w14:paraId="09A084D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eastAsia="zh-CN"/>
              </w:rPr>
            </w:pPr>
            <w:r>
              <w:rPr>
                <w:rFonts w:hint="eastAsia" w:cs="Times New Roman"/>
                <w:b/>
                <w:bCs/>
                <w:color w:val="auto"/>
                <w:kern w:val="0"/>
                <w:sz w:val="24"/>
                <w:szCs w:val="24"/>
                <w:lang w:val="en-US" w:eastAsia="zh-CN"/>
              </w:rPr>
              <w:t>7</w:t>
            </w:r>
            <w:r>
              <w:rPr>
                <w:rFonts w:hint="default" w:ascii="Times New Roman" w:hAnsi="Times New Roman" w:eastAsia="宋体" w:cs="Times New Roman"/>
                <w:b/>
                <w:bCs/>
                <w:color w:val="auto"/>
                <w:kern w:val="0"/>
                <w:sz w:val="24"/>
                <w:szCs w:val="24"/>
                <w:lang w:eastAsia="zh-CN"/>
              </w:rPr>
              <w:t>、项目与《</w:t>
            </w:r>
            <w:r>
              <w:rPr>
                <w:rFonts w:hint="eastAsia" w:ascii="Times New Roman" w:hAnsi="Times New Roman" w:eastAsia="宋体" w:cs="Times New Roman"/>
                <w:b/>
                <w:bCs/>
                <w:color w:val="auto"/>
                <w:kern w:val="0"/>
                <w:sz w:val="24"/>
                <w:szCs w:val="24"/>
                <w:lang w:eastAsia="zh-CN"/>
              </w:rPr>
              <w:t>水利部关于加强河湖水域岸线空间管控的指导意见</w:t>
            </w:r>
            <w:r>
              <w:rPr>
                <w:rFonts w:hint="default" w:ascii="Times New Roman" w:hAnsi="Times New Roman" w:eastAsia="宋体" w:cs="Times New Roman"/>
                <w:b/>
                <w:bCs/>
                <w:color w:val="auto"/>
                <w:kern w:val="0"/>
                <w:sz w:val="24"/>
                <w:szCs w:val="24"/>
                <w:lang w:eastAsia="zh-CN"/>
              </w:rPr>
              <w:t>》</w:t>
            </w:r>
            <w:r>
              <w:rPr>
                <w:rFonts w:hint="eastAsia" w:ascii="Times New Roman" w:hAnsi="Times New Roman" w:eastAsia="宋体" w:cs="Times New Roman"/>
                <w:b/>
                <w:bCs/>
                <w:color w:val="auto"/>
                <w:kern w:val="0"/>
                <w:sz w:val="24"/>
                <w:szCs w:val="24"/>
                <w:lang w:eastAsia="zh-CN"/>
              </w:rPr>
              <w:t>（</w:t>
            </w:r>
            <w:r>
              <w:rPr>
                <w:rFonts w:hint="default" w:ascii="Times New Roman" w:hAnsi="Times New Roman" w:eastAsia="宋体" w:cs="Times New Roman"/>
                <w:b/>
                <w:bCs/>
                <w:color w:val="auto"/>
                <w:kern w:val="0"/>
                <w:sz w:val="24"/>
                <w:szCs w:val="24"/>
                <w:lang w:eastAsia="zh-CN"/>
              </w:rPr>
              <w:t>水河湖〔2022〕216号</w:t>
            </w:r>
            <w:r>
              <w:rPr>
                <w:rFonts w:hint="eastAsia" w:ascii="Times New Roman" w:hAnsi="Times New Roman" w:eastAsia="宋体" w:cs="Times New Roman"/>
                <w:b/>
                <w:bCs/>
                <w:color w:val="auto"/>
                <w:kern w:val="0"/>
                <w:sz w:val="24"/>
                <w:szCs w:val="24"/>
                <w:lang w:eastAsia="zh-CN"/>
              </w:rPr>
              <w:t>）</w:t>
            </w:r>
            <w:r>
              <w:rPr>
                <w:rFonts w:hint="default" w:ascii="Times New Roman" w:hAnsi="Times New Roman" w:eastAsia="宋体" w:cs="Times New Roman"/>
                <w:b/>
                <w:bCs/>
                <w:color w:val="auto"/>
                <w:kern w:val="0"/>
                <w:sz w:val="24"/>
                <w:szCs w:val="24"/>
                <w:lang w:eastAsia="zh-CN"/>
              </w:rPr>
              <w:t>符合性分析</w:t>
            </w:r>
          </w:p>
          <w:p w14:paraId="02576BE3">
            <w:pPr>
              <w:pStyle w:val="3"/>
              <w:spacing w:line="240" w:lineRule="auto"/>
              <w:jc w:val="center"/>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5</w:t>
            </w:r>
            <w:r>
              <w:rPr>
                <w:rFonts w:hint="default" w:ascii="Times New Roman" w:hAnsi="Times New Roman" w:eastAsia="宋体" w:cs="Times New Roman"/>
                <w:b/>
                <w:bCs/>
                <w:color w:val="auto"/>
                <w:kern w:val="0"/>
                <w:sz w:val="21"/>
                <w:szCs w:val="21"/>
                <w:lang w:val="en-US" w:eastAsia="zh-CN" w:bidi="ar"/>
              </w:rPr>
              <w:t xml:space="preserve"> 项目与《</w:t>
            </w:r>
            <w:r>
              <w:rPr>
                <w:rFonts w:hint="eastAsia" w:ascii="Times New Roman" w:hAnsi="Times New Roman" w:eastAsia="宋体" w:cs="Times New Roman"/>
                <w:b/>
                <w:bCs/>
                <w:color w:val="auto"/>
                <w:kern w:val="0"/>
                <w:sz w:val="21"/>
                <w:szCs w:val="21"/>
                <w:lang w:val="en-US" w:eastAsia="zh-CN" w:bidi="ar"/>
              </w:rPr>
              <w:t>水利部关于加强河湖水域岸线空间管控的指导意见</w:t>
            </w:r>
            <w:r>
              <w:rPr>
                <w:rFonts w:hint="default" w:ascii="Times New Roman" w:hAnsi="Times New Roman" w:eastAsia="宋体" w:cs="Times New Roman"/>
                <w:b/>
                <w:bCs/>
                <w:color w:val="auto"/>
                <w:kern w:val="0"/>
                <w:sz w:val="21"/>
                <w:szCs w:val="21"/>
                <w:lang w:val="en-US" w:eastAsia="zh-CN" w:bidi="ar"/>
              </w:rPr>
              <w:t>》符合性分析一览表</w:t>
            </w:r>
          </w:p>
          <w:tbl>
            <w:tblPr>
              <w:tblStyle w:val="27"/>
              <w:tblW w:w="6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51"/>
              <w:gridCol w:w="1316"/>
              <w:gridCol w:w="671"/>
            </w:tblGrid>
            <w:tr w14:paraId="53BE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4851" w:type="dxa"/>
                  <w:noWrap/>
                  <w:tcMar>
                    <w:top w:w="15" w:type="dxa"/>
                    <w:left w:w="15" w:type="dxa"/>
                    <w:right w:w="15" w:type="dxa"/>
                  </w:tcMar>
                  <w:vAlign w:val="center"/>
                </w:tcPr>
                <w:p w14:paraId="53FF1035">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管理办法主要内容</w:t>
                  </w:r>
                </w:p>
              </w:tc>
              <w:tc>
                <w:tcPr>
                  <w:tcW w:w="1316" w:type="dxa"/>
                  <w:noWrap/>
                  <w:tcMar>
                    <w:top w:w="15" w:type="dxa"/>
                    <w:left w:w="15" w:type="dxa"/>
                    <w:right w:w="15" w:type="dxa"/>
                  </w:tcMar>
                  <w:vAlign w:val="center"/>
                </w:tcPr>
                <w:p w14:paraId="334E1A13">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本项目</w:t>
                  </w:r>
                </w:p>
              </w:tc>
              <w:tc>
                <w:tcPr>
                  <w:tcW w:w="671" w:type="dxa"/>
                  <w:noWrap/>
                  <w:tcMar>
                    <w:top w:w="15" w:type="dxa"/>
                    <w:left w:w="15" w:type="dxa"/>
                    <w:right w:w="15" w:type="dxa"/>
                  </w:tcMar>
                  <w:vAlign w:val="center"/>
                </w:tcPr>
                <w:p w14:paraId="298141B0">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符合性</w:t>
                  </w:r>
                </w:p>
              </w:tc>
            </w:tr>
            <w:tr w14:paraId="5EF5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8" w:hRule="atLeast"/>
                <w:jc w:val="center"/>
              </w:trPr>
              <w:tc>
                <w:tcPr>
                  <w:tcW w:w="4851" w:type="dxa"/>
                  <w:noWrap/>
                  <w:tcMar>
                    <w:top w:w="15" w:type="dxa"/>
                    <w:left w:w="15" w:type="dxa"/>
                    <w:right w:w="15" w:type="dxa"/>
                  </w:tcMar>
                  <w:vAlign w:val="top"/>
                </w:tcPr>
                <w:p w14:paraId="55BEBA3F">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（4）</w:t>
                  </w:r>
                  <w:r>
                    <w:rPr>
                      <w:rFonts w:hint="default" w:ascii="Times New Roman" w:hAnsi="Times New Roman" w:eastAsia="宋体" w:cs="Times New Roman"/>
                      <w:b w:val="0"/>
                      <w:bCs w:val="0"/>
                      <w:i w:val="0"/>
                      <w:color w:val="auto"/>
                      <w:kern w:val="0"/>
                      <w:sz w:val="21"/>
                      <w:szCs w:val="21"/>
                      <w:u w:val="none"/>
                      <w:lang w:val="en-US" w:eastAsia="zh-CN" w:bidi="ar"/>
                    </w:rPr>
                    <w:t>严格依法依规审批涉河建设项目。</w:t>
                  </w:r>
                  <w:r>
                    <w:rPr>
                      <w:rFonts w:hint="eastAsia" w:ascii="Times New Roman" w:hAnsi="Times New Roman" w:eastAsia="宋体" w:cs="Times New Roman"/>
                      <w:b w:val="0"/>
                      <w:bCs w:val="0"/>
                      <w:i w:val="0"/>
                      <w:color w:val="auto"/>
                      <w:kern w:val="0"/>
                      <w:sz w:val="21"/>
                      <w:szCs w:val="21"/>
                      <w:u w:val="none"/>
                      <w:lang w:val="en-US" w:eastAsia="zh-CN" w:bidi="ar"/>
                    </w:rPr>
                    <w:t>严格按照法律法规以及岸线功能分区管控要求等，对跨河、穿河、穿堤、临河的桥梁、码头、道路、渡口、管道、缆线、取水、排水等涉河建设项目，遵循确有必要、无法避让、确保安全的原则，严把受理、审查、许可关，不得超审查权限，不得随意扩大项目类别，严禁未批先建、越权审批、批建不符。</w:t>
                  </w:r>
                </w:p>
              </w:tc>
              <w:tc>
                <w:tcPr>
                  <w:tcW w:w="1316" w:type="dxa"/>
                  <w:noWrap/>
                  <w:tcMar>
                    <w:top w:w="15" w:type="dxa"/>
                    <w:left w:w="15" w:type="dxa"/>
                    <w:right w:w="15" w:type="dxa"/>
                  </w:tcMar>
                  <w:vAlign w:val="top"/>
                </w:tcPr>
                <w:p w14:paraId="3ECE2800">
                  <w:pPr>
                    <w:spacing w:line="240" w:lineRule="auto"/>
                    <w:ind w:left="0" w:leftChars="0" w:firstLine="0" w:firstLineChars="0"/>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项目不在</w:t>
                  </w:r>
                  <w:r>
                    <w:rPr>
                      <w:rFonts w:hint="default" w:ascii="Times New Roman" w:hAnsi="Times New Roman" w:eastAsia="宋体" w:cs="Times New Roman"/>
                      <w:b w:val="0"/>
                      <w:bCs w:val="0"/>
                      <w:i w:val="0"/>
                      <w:color w:val="auto"/>
                      <w:kern w:val="0"/>
                      <w:sz w:val="21"/>
                      <w:szCs w:val="21"/>
                      <w:u w:val="none"/>
                      <w:lang w:val="en-US" w:eastAsia="zh-CN" w:bidi="ar"/>
                    </w:rPr>
                    <w:t>道管理范围</w:t>
                  </w:r>
                  <w:r>
                    <w:rPr>
                      <w:rFonts w:hint="eastAsia" w:ascii="Times New Roman" w:hAnsi="Times New Roman" w:eastAsia="宋体" w:cs="Times New Roman"/>
                      <w:b w:val="0"/>
                      <w:bCs w:val="0"/>
                      <w:i w:val="0"/>
                      <w:color w:val="auto"/>
                      <w:kern w:val="0"/>
                      <w:sz w:val="21"/>
                      <w:szCs w:val="21"/>
                      <w:u w:val="none"/>
                      <w:lang w:val="en-US" w:eastAsia="zh-CN" w:bidi="ar"/>
                    </w:rPr>
                    <w:t>内，</w:t>
                  </w:r>
                  <w:r>
                    <w:rPr>
                      <w:rFonts w:hint="default" w:ascii="Times New Roman" w:hAnsi="Times New Roman" w:eastAsia="宋体" w:cs="Times New Roman"/>
                      <w:b w:val="0"/>
                      <w:bCs w:val="0"/>
                      <w:i w:val="0"/>
                      <w:color w:val="auto"/>
                      <w:kern w:val="0"/>
                      <w:sz w:val="21"/>
                      <w:szCs w:val="21"/>
                      <w:u w:val="none"/>
                      <w:lang w:val="en-US" w:eastAsia="zh-CN" w:bidi="ar"/>
                    </w:rPr>
                    <w:t>也不属于</w:t>
                  </w:r>
                  <w:r>
                    <w:rPr>
                      <w:rFonts w:hint="eastAsia" w:ascii="Times New Roman" w:hAnsi="Times New Roman" w:eastAsia="宋体" w:cs="Times New Roman"/>
                      <w:b w:val="0"/>
                      <w:bCs w:val="0"/>
                      <w:i w:val="0"/>
                      <w:color w:val="auto"/>
                      <w:kern w:val="0"/>
                      <w:sz w:val="21"/>
                      <w:szCs w:val="21"/>
                      <w:u w:val="none"/>
                      <w:lang w:val="en-US" w:eastAsia="zh-CN" w:bidi="ar"/>
                    </w:rPr>
                    <w:t>涉河建设项目。</w:t>
                  </w:r>
                </w:p>
              </w:tc>
              <w:tc>
                <w:tcPr>
                  <w:tcW w:w="671" w:type="dxa"/>
                  <w:noWrap/>
                  <w:tcMar>
                    <w:top w:w="15" w:type="dxa"/>
                    <w:left w:w="15" w:type="dxa"/>
                    <w:right w:w="15" w:type="dxa"/>
                  </w:tcMar>
                  <w:vAlign w:val="center"/>
                </w:tcPr>
                <w:p w14:paraId="6BCB83E1">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14:paraId="3D7D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4" w:hRule="atLeast"/>
                <w:jc w:val="center"/>
              </w:trPr>
              <w:tc>
                <w:tcPr>
                  <w:tcW w:w="4851" w:type="dxa"/>
                  <w:noWrap/>
                  <w:tcMar>
                    <w:top w:w="15" w:type="dxa"/>
                    <w:left w:w="15" w:type="dxa"/>
                    <w:right w:w="15" w:type="dxa"/>
                  </w:tcMar>
                  <w:vAlign w:val="top"/>
                </w:tcPr>
                <w:p w14:paraId="1E52E3B0">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（5）</w:t>
                  </w:r>
                  <w:r>
                    <w:rPr>
                      <w:rFonts w:hint="default" w:ascii="Times New Roman" w:hAnsi="Times New Roman" w:eastAsia="宋体" w:cs="Times New Roman"/>
                      <w:b w:val="0"/>
                      <w:bCs w:val="0"/>
                      <w:i w:val="0"/>
                      <w:color w:val="auto"/>
                      <w:kern w:val="0"/>
                      <w:sz w:val="21"/>
                      <w:szCs w:val="21"/>
                      <w:u w:val="none"/>
                      <w:lang w:val="en-US" w:eastAsia="zh-CN" w:bidi="ar"/>
                    </w:rPr>
                    <w:t>严格管控各类水域岸线利用行为。</w:t>
                  </w:r>
                  <w:r>
                    <w:rPr>
                      <w:rFonts w:hint="eastAsia" w:ascii="Times New Roman" w:hAnsi="Times New Roman" w:eastAsia="宋体" w:cs="Times New Roman"/>
                      <w:b w:val="0"/>
                      <w:bCs w:val="0"/>
                      <w:i w:val="0"/>
                      <w:color w:val="auto"/>
                      <w:kern w:val="0"/>
                      <w:sz w:val="21"/>
                      <w:szCs w:val="21"/>
                      <w:u w:val="none"/>
                      <w:lang w:val="en-US" w:eastAsia="zh-CN" w:bidi="ar"/>
                    </w:rPr>
                    <w:t>河湖管理范围内的岸线整治修复、生态廊道建设、滩地生态治理、公共体育设施、渔业养殖设施、航运设施、航道整治工程、造（修、拆）船项目、文体活动等，依法按照洪水影响评价类审批或河道管理范围内特定活动审批事项办理许可手续。严禁以风雨廊桥等名义在河湖管理范围内开发建设房屋。城市建设和发展不得占用河道滩地。光伏电站、风力发电等项目不得在河道、湖泊、水库内建设。在湖泊周边、水库库汊建设光伏、风电项目的，要科学论证，严格管控，不得布设在具有防洪、供水功能和水生态、水环境保护需求的区域，不得妨碍行洪通畅，不得危害水库大坝和堤防等水利工程设施安全，不得影响河势稳定和航运安全。各省（自治区、直辖市）可结合实际依法依规对各类水域岸线利用行为作出具体规定。</w:t>
                  </w:r>
                </w:p>
              </w:tc>
              <w:tc>
                <w:tcPr>
                  <w:tcW w:w="1316" w:type="dxa"/>
                  <w:noWrap w:val="0"/>
                  <w:tcMar>
                    <w:top w:w="15" w:type="dxa"/>
                    <w:left w:w="15" w:type="dxa"/>
                    <w:right w:w="15" w:type="dxa"/>
                  </w:tcMar>
                  <w:vAlign w:val="top"/>
                </w:tcPr>
                <w:p w14:paraId="0507DA23">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项目不在</w:t>
                  </w:r>
                  <w:r>
                    <w:rPr>
                      <w:rFonts w:hint="default" w:ascii="Times New Roman" w:hAnsi="Times New Roman" w:eastAsia="宋体" w:cs="Times New Roman"/>
                      <w:b w:val="0"/>
                      <w:bCs w:val="0"/>
                      <w:i w:val="0"/>
                      <w:color w:val="auto"/>
                      <w:kern w:val="0"/>
                      <w:sz w:val="21"/>
                      <w:szCs w:val="21"/>
                      <w:u w:val="none"/>
                      <w:lang w:val="en-US" w:eastAsia="zh-CN" w:bidi="ar"/>
                    </w:rPr>
                    <w:t>道管理范围</w:t>
                  </w:r>
                  <w:r>
                    <w:rPr>
                      <w:rFonts w:hint="eastAsia" w:ascii="Times New Roman" w:hAnsi="Times New Roman" w:eastAsia="宋体" w:cs="Times New Roman"/>
                      <w:b w:val="0"/>
                      <w:bCs w:val="0"/>
                      <w:i w:val="0"/>
                      <w:color w:val="auto"/>
                      <w:kern w:val="0"/>
                      <w:sz w:val="21"/>
                      <w:szCs w:val="21"/>
                      <w:u w:val="none"/>
                      <w:lang w:val="en-US" w:eastAsia="zh-CN" w:bidi="ar"/>
                    </w:rPr>
                    <w:t>内</w:t>
                  </w:r>
                  <w:r>
                    <w:rPr>
                      <w:rFonts w:hint="eastAsia" w:cs="Times New Roman"/>
                      <w:b w:val="0"/>
                      <w:bCs w:val="0"/>
                      <w:i w:val="0"/>
                      <w:color w:val="auto"/>
                      <w:kern w:val="0"/>
                      <w:sz w:val="21"/>
                      <w:szCs w:val="21"/>
                      <w:u w:val="none"/>
                      <w:lang w:val="en-US" w:eastAsia="zh-CN" w:bidi="ar"/>
                    </w:rPr>
                    <w:t>，不属于</w:t>
                  </w:r>
                  <w:r>
                    <w:rPr>
                      <w:rFonts w:hint="default" w:ascii="Times New Roman" w:hAnsi="Times New Roman" w:eastAsia="宋体" w:cs="Times New Roman"/>
                      <w:b w:val="0"/>
                      <w:bCs w:val="0"/>
                      <w:i w:val="0"/>
                      <w:color w:val="auto"/>
                      <w:kern w:val="0"/>
                      <w:sz w:val="21"/>
                      <w:szCs w:val="21"/>
                      <w:u w:val="none"/>
                      <w:lang w:val="en-US" w:eastAsia="zh-CN" w:bidi="ar"/>
                    </w:rPr>
                    <w:t>水域岸线利用</w:t>
                  </w:r>
                  <w:r>
                    <w:rPr>
                      <w:rFonts w:hint="eastAsia" w:cs="Times New Roman"/>
                      <w:b w:val="0"/>
                      <w:bCs w:val="0"/>
                      <w:i w:val="0"/>
                      <w:color w:val="auto"/>
                      <w:kern w:val="0"/>
                      <w:sz w:val="21"/>
                      <w:szCs w:val="21"/>
                      <w:u w:val="none"/>
                      <w:lang w:val="en-US" w:eastAsia="zh-CN" w:bidi="ar"/>
                    </w:rPr>
                    <w:t>项目。</w:t>
                  </w:r>
                </w:p>
              </w:tc>
              <w:tc>
                <w:tcPr>
                  <w:tcW w:w="671" w:type="dxa"/>
                  <w:noWrap/>
                  <w:tcMar>
                    <w:top w:w="15" w:type="dxa"/>
                    <w:left w:w="15" w:type="dxa"/>
                    <w:right w:w="15" w:type="dxa"/>
                  </w:tcMar>
                  <w:vAlign w:val="center"/>
                </w:tcPr>
                <w:p w14:paraId="1C3D4942">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14:paraId="3A7BC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7" w:hRule="atLeast"/>
                <w:jc w:val="center"/>
              </w:trPr>
              <w:tc>
                <w:tcPr>
                  <w:tcW w:w="4851" w:type="dxa"/>
                  <w:noWrap/>
                  <w:tcMar>
                    <w:top w:w="15" w:type="dxa"/>
                    <w:left w:w="15" w:type="dxa"/>
                    <w:right w:w="15" w:type="dxa"/>
                  </w:tcMar>
                  <w:vAlign w:val="top"/>
                </w:tcPr>
                <w:p w14:paraId="2721FF0C">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（6）</w:t>
                  </w:r>
                  <w:r>
                    <w:rPr>
                      <w:rFonts w:hint="default" w:ascii="Times New Roman" w:hAnsi="Times New Roman" w:eastAsia="宋体" w:cs="Times New Roman"/>
                      <w:b w:val="0"/>
                      <w:bCs w:val="0"/>
                      <w:i w:val="0"/>
                      <w:color w:val="auto"/>
                      <w:kern w:val="0"/>
                      <w:sz w:val="21"/>
                      <w:szCs w:val="21"/>
                      <w:u w:val="none"/>
                      <w:lang w:val="en-US" w:eastAsia="zh-CN" w:bidi="ar"/>
                    </w:rPr>
                    <w:t>依法规范河湖管理范围内耕地利用。</w:t>
                  </w:r>
                  <w:r>
                    <w:rPr>
                      <w:rFonts w:hint="eastAsia" w:ascii="Times New Roman" w:hAnsi="Times New Roman" w:eastAsia="宋体" w:cs="Times New Roman"/>
                      <w:b w:val="0"/>
                      <w:bCs w:val="0"/>
                      <w:i w:val="0"/>
                      <w:color w:val="auto"/>
                      <w:kern w:val="0"/>
                      <w:sz w:val="21"/>
                      <w:szCs w:val="21"/>
                      <w:u w:val="none"/>
                      <w:lang w:val="en-US" w:eastAsia="zh-CN" w:bidi="ar"/>
                    </w:rPr>
                    <w:t>对河湖管理范围内的耕地，结合“三区三线”划定工作，在不妨碍行洪、蓄洪和输水等功能的前提下，商自然资源部门依法依规分类处理。原则上，对位于主河槽内、洪水上滩频繁（南方地区可按5年一遇洪水位以下，北方地区可按3年一遇洪水位以下）、水库征地线以下、长江平垸行洪“双退”圩垸内的不稳定耕地，应有序退出。对于确有必要保留下来的耕地及园地，不得新建、改建、扩建生产围堤，不得种植妨碍行洪的高秆作物，禁止建设妨碍行洪的建筑物、构筑物。严禁以各种名义围湖造地、非法围垦河道。</w:t>
                  </w:r>
                </w:p>
              </w:tc>
              <w:tc>
                <w:tcPr>
                  <w:tcW w:w="1316" w:type="dxa"/>
                  <w:noWrap w:val="0"/>
                  <w:tcMar>
                    <w:top w:w="15" w:type="dxa"/>
                    <w:left w:w="15" w:type="dxa"/>
                    <w:right w:w="15" w:type="dxa"/>
                  </w:tcMar>
                  <w:vAlign w:val="top"/>
                </w:tcPr>
                <w:p w14:paraId="066995BB">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项目不在</w:t>
                  </w:r>
                  <w:r>
                    <w:rPr>
                      <w:rFonts w:hint="default" w:ascii="Times New Roman" w:hAnsi="Times New Roman" w:eastAsia="宋体" w:cs="Times New Roman"/>
                      <w:b w:val="0"/>
                      <w:bCs w:val="0"/>
                      <w:i w:val="0"/>
                      <w:color w:val="auto"/>
                      <w:kern w:val="0"/>
                      <w:sz w:val="21"/>
                      <w:szCs w:val="21"/>
                      <w:u w:val="none"/>
                      <w:lang w:val="en-US" w:eastAsia="zh-CN" w:bidi="ar"/>
                    </w:rPr>
                    <w:t>道管理范围</w:t>
                  </w:r>
                  <w:r>
                    <w:rPr>
                      <w:rFonts w:hint="eastAsia" w:ascii="Times New Roman" w:hAnsi="Times New Roman" w:eastAsia="宋体" w:cs="Times New Roman"/>
                      <w:b w:val="0"/>
                      <w:bCs w:val="0"/>
                      <w:i w:val="0"/>
                      <w:color w:val="auto"/>
                      <w:kern w:val="0"/>
                      <w:sz w:val="21"/>
                      <w:szCs w:val="21"/>
                      <w:u w:val="none"/>
                      <w:lang w:val="en-US" w:eastAsia="zh-CN" w:bidi="ar"/>
                    </w:rPr>
                    <w:t>内</w:t>
                  </w:r>
                  <w:r>
                    <w:rPr>
                      <w:rFonts w:hint="eastAsia" w:cs="Times New Roman"/>
                      <w:b w:val="0"/>
                      <w:bCs w:val="0"/>
                      <w:i w:val="0"/>
                      <w:color w:val="auto"/>
                      <w:kern w:val="0"/>
                      <w:sz w:val="21"/>
                      <w:szCs w:val="21"/>
                      <w:u w:val="none"/>
                      <w:lang w:val="en-US" w:eastAsia="zh-CN" w:bidi="ar"/>
                    </w:rPr>
                    <w:t>，不涉及河道</w:t>
                  </w:r>
                  <w:r>
                    <w:rPr>
                      <w:rFonts w:hint="default" w:ascii="Times New Roman" w:hAnsi="Times New Roman" w:eastAsia="宋体" w:cs="Times New Roman"/>
                      <w:b w:val="0"/>
                      <w:bCs w:val="0"/>
                      <w:i w:val="0"/>
                      <w:color w:val="auto"/>
                      <w:kern w:val="0"/>
                      <w:sz w:val="21"/>
                      <w:szCs w:val="21"/>
                      <w:u w:val="none"/>
                      <w:lang w:val="en-US" w:eastAsia="zh-CN" w:bidi="ar"/>
                    </w:rPr>
                    <w:t>管理范围内耕地利用</w:t>
                  </w:r>
                  <w:r>
                    <w:rPr>
                      <w:rFonts w:hint="eastAsia" w:cs="Times New Roman"/>
                      <w:b w:val="0"/>
                      <w:bCs w:val="0"/>
                      <w:i w:val="0"/>
                      <w:color w:val="auto"/>
                      <w:kern w:val="0"/>
                      <w:sz w:val="21"/>
                      <w:szCs w:val="21"/>
                      <w:u w:val="none"/>
                      <w:lang w:val="en-US" w:eastAsia="zh-CN" w:bidi="ar"/>
                    </w:rPr>
                    <w:t>。</w:t>
                  </w:r>
                </w:p>
              </w:tc>
              <w:tc>
                <w:tcPr>
                  <w:tcW w:w="671" w:type="dxa"/>
                  <w:noWrap/>
                  <w:tcMar>
                    <w:top w:w="15" w:type="dxa"/>
                    <w:left w:w="15" w:type="dxa"/>
                    <w:right w:w="15" w:type="dxa"/>
                  </w:tcMar>
                  <w:vAlign w:val="center"/>
                </w:tcPr>
                <w:p w14:paraId="01BACAFD">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符合</w:t>
                  </w:r>
                </w:p>
              </w:tc>
            </w:tr>
            <w:tr w14:paraId="182F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1" w:hRule="atLeast"/>
                <w:jc w:val="center"/>
              </w:trPr>
              <w:tc>
                <w:tcPr>
                  <w:tcW w:w="4851" w:type="dxa"/>
                  <w:noWrap/>
                  <w:tcMar>
                    <w:top w:w="15" w:type="dxa"/>
                    <w:left w:w="15" w:type="dxa"/>
                    <w:right w:w="15" w:type="dxa"/>
                  </w:tcMar>
                  <w:vAlign w:val="top"/>
                </w:tcPr>
                <w:p w14:paraId="307FAE5B">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firstLine="0" w:firstLineChars="0"/>
                    <w:jc w:val="both"/>
                    <w:textAlignment w:val="center"/>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11）推进河湖水域岸线整治修复。组织开展岸线利用项目清理整治，对违法违规占用岸线，妨碍行洪、供水、生态安全的项目要依法依规予以退出，对多占少用、占而不用等岸线利用项目进行优化调整。积极推进退圩还湖，逐步恢复湖泊水域面积，提升调蓄能力。按照谁破坏、谁修复的原则，对受损岸线进行复绿和生态修复，可结合河湖治理等工作统筹开展。岸线整治修复应顺应原有地形地貌，不改变河道走向，不大挖大填，不束窄或减少行洪、纳潮断面，不进行大面积硬化，尽量保持岸线自然风貌。</w:t>
                  </w:r>
                </w:p>
              </w:tc>
              <w:tc>
                <w:tcPr>
                  <w:tcW w:w="1316" w:type="dxa"/>
                  <w:noWrap w:val="0"/>
                  <w:tcMar>
                    <w:top w:w="15" w:type="dxa"/>
                    <w:left w:w="15" w:type="dxa"/>
                    <w:right w:w="15" w:type="dxa"/>
                  </w:tcMar>
                  <w:vAlign w:val="top"/>
                </w:tcPr>
                <w:p w14:paraId="303C0F59">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项目不在</w:t>
                  </w:r>
                  <w:r>
                    <w:rPr>
                      <w:rFonts w:hint="default" w:ascii="Times New Roman" w:hAnsi="Times New Roman" w:eastAsia="宋体" w:cs="Times New Roman"/>
                      <w:b w:val="0"/>
                      <w:bCs w:val="0"/>
                      <w:i w:val="0"/>
                      <w:color w:val="auto"/>
                      <w:kern w:val="0"/>
                      <w:sz w:val="21"/>
                      <w:szCs w:val="21"/>
                      <w:u w:val="none"/>
                      <w:lang w:val="en-US" w:eastAsia="zh-CN" w:bidi="ar"/>
                    </w:rPr>
                    <w:t>道管理范围</w:t>
                  </w:r>
                  <w:r>
                    <w:rPr>
                      <w:rFonts w:hint="eastAsia" w:ascii="Times New Roman" w:hAnsi="Times New Roman" w:eastAsia="宋体" w:cs="Times New Roman"/>
                      <w:b w:val="0"/>
                      <w:bCs w:val="0"/>
                      <w:i w:val="0"/>
                      <w:color w:val="auto"/>
                      <w:kern w:val="0"/>
                      <w:sz w:val="21"/>
                      <w:szCs w:val="21"/>
                      <w:u w:val="none"/>
                      <w:lang w:val="en-US" w:eastAsia="zh-CN" w:bidi="ar"/>
                    </w:rPr>
                    <w:t>内。项目不存在违法违规占用岸线行为。</w:t>
                  </w:r>
                </w:p>
              </w:tc>
              <w:tc>
                <w:tcPr>
                  <w:tcW w:w="671" w:type="dxa"/>
                  <w:noWrap/>
                  <w:tcMar>
                    <w:top w:w="15" w:type="dxa"/>
                    <w:left w:w="15" w:type="dxa"/>
                    <w:right w:w="15" w:type="dxa"/>
                  </w:tcMar>
                  <w:vAlign w:val="center"/>
                </w:tcPr>
                <w:p w14:paraId="2BCAFC5B">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val="0"/>
                      <w:bCs w:val="0"/>
                      <w:i w:val="0"/>
                      <w:color w:val="auto"/>
                      <w:kern w:val="0"/>
                      <w:sz w:val="21"/>
                      <w:szCs w:val="21"/>
                      <w:u w:val="none"/>
                      <w:lang w:val="en-US" w:eastAsia="zh-CN" w:bidi="ar"/>
                    </w:rPr>
                  </w:pPr>
                </w:p>
              </w:tc>
            </w:tr>
          </w:tbl>
          <w:p w14:paraId="69330B5D">
            <w:pPr>
              <w:adjustRightInd w:val="0"/>
              <w:snapToGrid w:val="0"/>
              <w:spacing w:line="360" w:lineRule="auto"/>
              <w:ind w:firstLine="480" w:firstLineChars="200"/>
              <w:rPr>
                <w:rFonts w:hint="eastAsia" w:ascii="Times New Roman" w:hAnsi="Times New Roman" w:eastAsia="宋体" w:cs="Times New Roman"/>
                <w:b w:val="0"/>
                <w:bCs/>
                <w:color w:val="auto"/>
                <w:kern w:val="0"/>
                <w:sz w:val="24"/>
                <w:szCs w:val="20"/>
                <w:lang w:val="en-US" w:eastAsia="zh-CN" w:bidi="ar-SA"/>
              </w:rPr>
            </w:pPr>
            <w:r>
              <w:rPr>
                <w:rFonts w:hint="default" w:ascii="Times New Roman" w:hAnsi="Times New Roman" w:eastAsia="宋体" w:cs="Times New Roman"/>
                <w:b w:val="0"/>
                <w:bCs/>
                <w:color w:val="auto"/>
                <w:kern w:val="0"/>
                <w:sz w:val="24"/>
                <w:szCs w:val="20"/>
                <w:lang w:val="en-US" w:eastAsia="zh-CN" w:bidi="ar-SA"/>
              </w:rPr>
              <w:t>根据以上分析，本项目建设与《</w:t>
            </w:r>
            <w:r>
              <w:rPr>
                <w:rFonts w:hint="eastAsia" w:ascii="Times New Roman" w:hAnsi="Times New Roman" w:eastAsia="宋体" w:cs="Times New Roman"/>
                <w:b w:val="0"/>
                <w:bCs/>
                <w:color w:val="auto"/>
                <w:kern w:val="0"/>
                <w:sz w:val="24"/>
                <w:szCs w:val="20"/>
                <w:lang w:val="en-US" w:eastAsia="zh-CN" w:bidi="ar-SA"/>
              </w:rPr>
              <w:t>水利部关于加强河湖水域岸线空间管控的指导意见</w:t>
            </w:r>
            <w:r>
              <w:rPr>
                <w:rFonts w:hint="default" w:ascii="Times New Roman" w:hAnsi="Times New Roman" w:eastAsia="宋体" w:cs="Times New Roman"/>
                <w:b w:val="0"/>
                <w:bCs/>
                <w:color w:val="auto"/>
                <w:kern w:val="0"/>
                <w:sz w:val="24"/>
                <w:szCs w:val="20"/>
                <w:lang w:val="en-US" w:eastAsia="zh-CN" w:bidi="ar-SA"/>
              </w:rPr>
              <w:t>》相符合</w:t>
            </w:r>
            <w:r>
              <w:rPr>
                <w:rFonts w:hint="eastAsia" w:ascii="Times New Roman" w:hAnsi="Times New Roman" w:eastAsia="宋体" w:cs="Times New Roman"/>
                <w:b w:val="0"/>
                <w:bCs/>
                <w:color w:val="auto"/>
                <w:kern w:val="0"/>
                <w:sz w:val="24"/>
                <w:szCs w:val="20"/>
                <w:lang w:val="en-US" w:eastAsia="zh-CN" w:bidi="ar-SA"/>
              </w:rPr>
              <w:t>。</w:t>
            </w:r>
          </w:p>
          <w:p w14:paraId="04275554">
            <w:pPr>
              <w:autoSpaceDE w:val="0"/>
              <w:autoSpaceDN w:val="0"/>
              <w:adjustRightInd w:val="0"/>
              <w:snapToGrid w:val="0"/>
              <w:spacing w:line="360" w:lineRule="auto"/>
              <w:ind w:firstLine="482" w:firstLineChars="200"/>
              <w:rPr>
                <w:rFonts w:ascii="Times New Roman" w:hAnsi="Times New Roman"/>
                <w:b/>
                <w:color w:val="auto"/>
                <w:kern w:val="0"/>
                <w:szCs w:val="21"/>
              </w:rPr>
            </w:pPr>
            <w:r>
              <w:rPr>
                <w:rFonts w:hint="eastAsia"/>
                <w:b/>
                <w:color w:val="auto"/>
                <w:kern w:val="0"/>
                <w:szCs w:val="21"/>
                <w:lang w:val="en-US" w:eastAsia="zh-CN"/>
              </w:rPr>
              <w:t>8</w:t>
            </w:r>
            <w:r>
              <w:rPr>
                <w:rFonts w:ascii="Times New Roman" w:hAnsi="Times New Roman"/>
                <w:b/>
                <w:color w:val="auto"/>
                <w:kern w:val="0"/>
                <w:szCs w:val="21"/>
              </w:rPr>
              <w:t>、与《2020年挥发性有机物治理攻坚方案》符合性分析</w:t>
            </w:r>
          </w:p>
          <w:p w14:paraId="1D480100">
            <w:pPr>
              <w:autoSpaceDE w:val="0"/>
              <w:autoSpaceDN w:val="0"/>
              <w:adjustRightInd w:val="0"/>
              <w:snapToGrid w:val="0"/>
              <w:spacing w:line="360" w:lineRule="auto"/>
              <w:ind w:firstLine="480" w:firstLineChars="200"/>
              <w:rPr>
                <w:rFonts w:ascii="Times New Roman" w:hAnsi="Times New Roman"/>
                <w:color w:val="auto"/>
                <w:kern w:val="0"/>
                <w:szCs w:val="21"/>
              </w:rPr>
            </w:pPr>
            <w:r>
              <w:rPr>
                <w:rFonts w:ascii="Times New Roman" w:hAnsi="Times New Roman"/>
                <w:color w:val="auto"/>
                <w:kern w:val="0"/>
                <w:szCs w:val="21"/>
              </w:rPr>
              <w:t>根据“关于印发《2020年挥发性有机物治理攻坚方案》的通知” 环大气〔2020〕33号文，项目相关符合性分析见表1-</w:t>
            </w:r>
            <w:r>
              <w:rPr>
                <w:rFonts w:hint="eastAsia"/>
                <w:color w:val="auto"/>
                <w:kern w:val="0"/>
                <w:szCs w:val="21"/>
                <w:lang w:val="en-US" w:eastAsia="zh-CN"/>
              </w:rPr>
              <w:t>10</w:t>
            </w:r>
            <w:r>
              <w:rPr>
                <w:rFonts w:ascii="Times New Roman" w:hAnsi="Times New Roman"/>
                <w:color w:val="auto"/>
                <w:kern w:val="0"/>
                <w:szCs w:val="21"/>
              </w:rPr>
              <w:t>。</w:t>
            </w:r>
          </w:p>
          <w:p w14:paraId="38BC73CC">
            <w:pPr>
              <w:autoSpaceDE w:val="0"/>
              <w:autoSpaceDN w:val="0"/>
              <w:adjustRightInd w:val="0"/>
              <w:snapToGrid w:val="0"/>
              <w:ind w:firstLine="422" w:firstLineChars="20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6</w:t>
            </w:r>
            <w:r>
              <w:rPr>
                <w:rFonts w:hint="default" w:ascii="Times New Roman" w:hAnsi="Times New Roman" w:eastAsia="宋体" w:cs="Times New Roman"/>
                <w:b/>
                <w:bCs/>
                <w:color w:val="auto"/>
                <w:kern w:val="0"/>
                <w:sz w:val="21"/>
                <w:szCs w:val="21"/>
                <w:lang w:val="en-US" w:eastAsia="zh-CN" w:bidi="ar"/>
              </w:rPr>
              <w:t xml:space="preserve"> 项目与《2020年挥发性有机物治理攻坚方案》的符合性</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4"/>
              <w:gridCol w:w="1553"/>
              <w:gridCol w:w="692"/>
            </w:tblGrid>
            <w:tr w14:paraId="72A8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6" w:type="pct"/>
                  <w:noWrap w:val="0"/>
                  <w:vAlign w:val="center"/>
                </w:tcPr>
                <w:p w14:paraId="1FB79C29">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方案要求</w:t>
                  </w:r>
                </w:p>
              </w:tc>
              <w:tc>
                <w:tcPr>
                  <w:tcW w:w="1109" w:type="pct"/>
                  <w:noWrap w:val="0"/>
                  <w:vAlign w:val="center"/>
                </w:tcPr>
                <w:p w14:paraId="275D9A1A">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本项目情况</w:t>
                  </w:r>
                </w:p>
              </w:tc>
              <w:tc>
                <w:tcPr>
                  <w:tcW w:w="494" w:type="pct"/>
                  <w:noWrap w:val="0"/>
                  <w:vAlign w:val="center"/>
                </w:tcPr>
                <w:p w14:paraId="67A749C5">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符合性</w:t>
                  </w:r>
                </w:p>
              </w:tc>
            </w:tr>
            <w:tr w14:paraId="18BD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6" w:type="pct"/>
                  <w:noWrap w:val="0"/>
                  <w:vAlign w:val="center"/>
                </w:tcPr>
                <w:p w14:paraId="6FE56F02">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二、全面落实标准要求，强化无组织排放控制</w:t>
                  </w:r>
                </w:p>
                <w:p w14:paraId="509A1107">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处置环节应将盛装过VOCs 物料的包装容器、含VOCs废料（渣、液）、废吸附剂等通过加盖、封装等方式密闭，妥善存放，不得随意丢弃。</w:t>
                  </w:r>
                </w:p>
              </w:tc>
              <w:tc>
                <w:tcPr>
                  <w:tcW w:w="1109" w:type="pct"/>
                  <w:noWrap w:val="0"/>
                  <w:vAlign w:val="center"/>
                </w:tcPr>
                <w:p w14:paraId="77B60B85">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 xml:space="preserve"> 项目储油罐采用高效密封的卧式双层罐。采用密闭管道供油到设备燃烧，减少无组织排放。</w:t>
                  </w:r>
                </w:p>
              </w:tc>
              <w:tc>
                <w:tcPr>
                  <w:tcW w:w="494" w:type="pct"/>
                  <w:noWrap w:val="0"/>
                  <w:vAlign w:val="center"/>
                </w:tcPr>
                <w:p w14:paraId="11073562">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符合</w:t>
                  </w:r>
                </w:p>
              </w:tc>
            </w:tr>
            <w:tr w14:paraId="0AC0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6" w:type="pct"/>
                  <w:noWrap w:val="0"/>
                  <w:vAlign w:val="center"/>
                </w:tcPr>
                <w:p w14:paraId="0A28BCD2">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三、聚焦治污设施“三率”，提升综合治理效率</w:t>
                  </w:r>
                </w:p>
                <w:p w14:paraId="51CFB6E7">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将无组织排放转变为有组织排放进行控制，优先采用密闭设备、在密闭空间中操作或采用全密闭集气罩收集方式；对于采用局部集气罩的，应根据废气排放特点合理选择收集点位，距集气罩开口面最远处的VOCs 无组织排放位置，控制风速不低于0.3 米/秒，达不到要求的通过更换大功率风机、增设烟道风机、增加垂帘等方式及时改造；按照与生产设备“同启同停”的原则提升治理设施运行率。根据处理工艺要求，在处理设施达到正常运行条件后方可启动生产设备，在生产设备停止、残留VOCs 废气收集处理完毕后，方可停运处理设施。</w:t>
                  </w:r>
                </w:p>
              </w:tc>
              <w:tc>
                <w:tcPr>
                  <w:tcW w:w="1109" w:type="pct"/>
                  <w:noWrap w:val="0"/>
                  <w:vAlign w:val="center"/>
                </w:tcPr>
                <w:p w14:paraId="747270E1">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项目储油罐采用高效密封的卧式双层罐。采用密闭管道供油到设备燃烧，减少无组织排放。</w:t>
                  </w:r>
                </w:p>
              </w:tc>
              <w:tc>
                <w:tcPr>
                  <w:tcW w:w="494" w:type="pct"/>
                  <w:noWrap w:val="0"/>
                  <w:vAlign w:val="center"/>
                </w:tcPr>
                <w:p w14:paraId="034CE37B">
                  <w:pPr>
                    <w:keepNext w:val="0"/>
                    <w:keepLines w:val="0"/>
                    <w:pageBreakBefore w:val="0"/>
                    <w:widowControl w:val="0"/>
                    <w:tabs>
                      <w:tab w:val="left" w:pos="611"/>
                    </w:tabs>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符合</w:t>
                  </w:r>
                </w:p>
              </w:tc>
            </w:tr>
          </w:tbl>
          <w:p w14:paraId="5B2852E7">
            <w:pPr>
              <w:autoSpaceDE w:val="0"/>
              <w:autoSpaceDN w:val="0"/>
              <w:adjustRightInd w:val="0"/>
              <w:snapToGrid w:val="0"/>
              <w:spacing w:line="360" w:lineRule="auto"/>
              <w:ind w:firstLine="480" w:firstLineChars="200"/>
              <w:rPr>
                <w:rFonts w:ascii="Times New Roman" w:hAnsi="Times New Roman"/>
                <w:color w:val="auto"/>
                <w:kern w:val="0"/>
                <w:szCs w:val="21"/>
              </w:rPr>
            </w:pPr>
            <w:r>
              <w:rPr>
                <w:rFonts w:ascii="Times New Roman" w:hAnsi="Times New Roman"/>
                <w:color w:val="auto"/>
                <w:kern w:val="0"/>
                <w:szCs w:val="21"/>
              </w:rPr>
              <w:t>因此，项目符合关于印发《2020年挥发性有机物治理攻坚方案》的通知的要求。</w:t>
            </w:r>
          </w:p>
          <w:p w14:paraId="06277FC6">
            <w:pPr>
              <w:adjustRightInd w:val="0"/>
              <w:snapToGrid w:val="0"/>
              <w:spacing w:line="360" w:lineRule="auto"/>
              <w:ind w:firstLine="482" w:firstLineChars="200"/>
              <w:rPr>
                <w:rFonts w:ascii="Times New Roman" w:hAnsi="Times New Roman"/>
                <w:b/>
                <w:color w:val="auto"/>
                <w:kern w:val="0"/>
                <w:szCs w:val="21"/>
              </w:rPr>
            </w:pPr>
            <w:r>
              <w:rPr>
                <w:rFonts w:hint="eastAsia"/>
                <w:b/>
                <w:color w:val="auto"/>
                <w:kern w:val="0"/>
                <w:szCs w:val="21"/>
                <w:lang w:val="en-US" w:eastAsia="zh-CN"/>
              </w:rPr>
              <w:t>9</w:t>
            </w:r>
            <w:r>
              <w:rPr>
                <w:rFonts w:hint="eastAsia" w:ascii="Times New Roman" w:hAnsi="Times New Roman"/>
                <w:b/>
                <w:color w:val="auto"/>
                <w:kern w:val="0"/>
                <w:szCs w:val="21"/>
                <w:lang w:val="en-US" w:eastAsia="zh-CN"/>
              </w:rPr>
              <w:t>、</w:t>
            </w:r>
            <w:r>
              <w:rPr>
                <w:rFonts w:ascii="Times New Roman" w:hAnsi="Times New Roman"/>
                <w:b/>
                <w:color w:val="auto"/>
                <w:kern w:val="0"/>
                <w:szCs w:val="21"/>
              </w:rPr>
              <w:t>项目与《重点行业挥发性有机物综合治理方案》、《云南省重点行业挥发性有机物综合治理实施方案》的符合性分析</w:t>
            </w:r>
          </w:p>
          <w:p w14:paraId="0787D817">
            <w:pPr>
              <w:autoSpaceDE w:val="0"/>
              <w:autoSpaceDN w:val="0"/>
              <w:adjustRightInd w:val="0"/>
              <w:snapToGrid w:val="0"/>
              <w:spacing w:line="360" w:lineRule="auto"/>
              <w:ind w:firstLine="480" w:firstLineChars="200"/>
              <w:rPr>
                <w:rFonts w:ascii="Times New Roman" w:hAnsi="Times New Roman"/>
                <w:color w:val="auto"/>
                <w:kern w:val="0"/>
                <w:szCs w:val="21"/>
              </w:rPr>
            </w:pPr>
            <w:r>
              <w:rPr>
                <w:rFonts w:ascii="Times New Roman" w:hAnsi="Times New Roman"/>
                <w:color w:val="auto"/>
                <w:kern w:val="0"/>
                <w:szCs w:val="21"/>
              </w:rPr>
              <w:t>根据“</w:t>
            </w:r>
            <w:r>
              <w:rPr>
                <w:rFonts w:ascii="Times New Roman" w:hAnsi="Times New Roman"/>
                <w:bCs/>
                <w:color w:val="auto"/>
                <w:kern w:val="0"/>
                <w:szCs w:val="21"/>
              </w:rPr>
              <w:t>关于印发《重点行业挥发性有机物综合治理方案》的通知</w:t>
            </w:r>
            <w:r>
              <w:rPr>
                <w:rFonts w:ascii="Times New Roman" w:hAnsi="Times New Roman"/>
                <w:color w:val="auto"/>
                <w:kern w:val="0"/>
                <w:szCs w:val="21"/>
              </w:rPr>
              <w:t>”</w:t>
            </w:r>
            <w:r>
              <w:rPr>
                <w:rFonts w:ascii="Times New Roman" w:hAnsi="Times New Roman"/>
                <w:bCs/>
                <w:color w:val="auto"/>
                <w:kern w:val="0"/>
                <w:szCs w:val="21"/>
              </w:rPr>
              <w:t>环大气〔2019〕53号，《云南省重点行业挥发性有机物综合治理实施方案》云环通〔2019〕125号，项目相关符合性分析见表1-</w:t>
            </w:r>
            <w:r>
              <w:rPr>
                <w:rFonts w:hint="eastAsia"/>
                <w:bCs/>
                <w:color w:val="auto"/>
                <w:kern w:val="0"/>
                <w:szCs w:val="21"/>
                <w:lang w:val="en-US" w:eastAsia="zh-CN"/>
              </w:rPr>
              <w:t>7</w:t>
            </w:r>
            <w:r>
              <w:rPr>
                <w:rFonts w:ascii="Times New Roman" w:hAnsi="Times New Roman"/>
                <w:bCs/>
                <w:color w:val="auto"/>
                <w:kern w:val="0"/>
                <w:szCs w:val="21"/>
              </w:rPr>
              <w:t>。</w:t>
            </w:r>
          </w:p>
          <w:p w14:paraId="74840BF7">
            <w:pPr>
              <w:autoSpaceDE w:val="0"/>
              <w:autoSpaceDN w:val="0"/>
              <w:adjustRightInd w:val="0"/>
              <w:snapToGrid w:val="0"/>
              <w:ind w:firstLine="422" w:firstLineChars="20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 xml:space="preserve">7 </w:t>
            </w:r>
            <w:r>
              <w:rPr>
                <w:rFonts w:hint="default" w:ascii="Times New Roman" w:hAnsi="Times New Roman" w:eastAsia="宋体" w:cs="Times New Roman"/>
                <w:b/>
                <w:bCs/>
                <w:color w:val="auto"/>
                <w:kern w:val="0"/>
                <w:sz w:val="21"/>
                <w:szCs w:val="21"/>
                <w:lang w:val="en-US" w:eastAsia="zh-CN" w:bidi="ar"/>
              </w:rPr>
              <w:t>与《重点行业挥发性有机物综合治理方案》、《云南省重点行业挥发性有机物综合治理实施方案》符合性</w:t>
            </w:r>
            <w:r>
              <w:rPr>
                <w:rFonts w:hint="eastAsia" w:cs="Times New Roman"/>
                <w:b/>
                <w:bCs/>
                <w:color w:val="auto"/>
                <w:kern w:val="0"/>
                <w:sz w:val="21"/>
                <w:szCs w:val="21"/>
                <w:lang w:val="en-US" w:eastAsia="zh-CN" w:bidi="ar"/>
              </w:rPr>
              <w:t>分析表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0"/>
              <w:gridCol w:w="1815"/>
              <w:gridCol w:w="644"/>
            </w:tblGrid>
            <w:tr w14:paraId="6527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243" w:type="pct"/>
                  <w:noWrap w:val="0"/>
                  <w:vAlign w:val="center"/>
                </w:tcPr>
                <w:p w14:paraId="4CFF0678">
                  <w:pPr>
                    <w:keepNext w:val="0"/>
                    <w:keepLines w:val="0"/>
                    <w:pageBreakBefore w:val="0"/>
                    <w:widowControl w:val="0"/>
                    <w:tabs>
                      <w:tab w:val="left" w:pos="611"/>
                    </w:tabs>
                    <w:kinsoku/>
                    <w:wordWrap/>
                    <w:overflowPunct/>
                    <w:topLinePunct w:val="0"/>
                    <w:bidi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方案要求</w:t>
                  </w:r>
                </w:p>
              </w:tc>
              <w:tc>
                <w:tcPr>
                  <w:tcW w:w="1296" w:type="pct"/>
                  <w:noWrap w:val="0"/>
                  <w:vAlign w:val="center"/>
                </w:tcPr>
                <w:p w14:paraId="66DDEED1">
                  <w:pPr>
                    <w:keepNext w:val="0"/>
                    <w:keepLines w:val="0"/>
                    <w:pageBreakBefore w:val="0"/>
                    <w:widowControl w:val="0"/>
                    <w:tabs>
                      <w:tab w:val="left" w:pos="611"/>
                    </w:tabs>
                    <w:kinsoku/>
                    <w:wordWrap/>
                    <w:overflowPunct/>
                    <w:topLinePunct w:val="0"/>
                    <w:bidi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项目情况</w:t>
                  </w:r>
                </w:p>
              </w:tc>
              <w:tc>
                <w:tcPr>
                  <w:tcW w:w="460" w:type="pct"/>
                  <w:noWrap w:val="0"/>
                  <w:vAlign w:val="center"/>
                </w:tcPr>
                <w:p w14:paraId="39DFA961">
                  <w:pPr>
                    <w:keepNext w:val="0"/>
                    <w:keepLines w:val="0"/>
                    <w:pageBreakBefore w:val="0"/>
                    <w:widowControl w:val="0"/>
                    <w:tabs>
                      <w:tab w:val="left" w:pos="611"/>
                    </w:tabs>
                    <w:kinsoku/>
                    <w:wordWrap/>
                    <w:overflowPunct/>
                    <w:topLinePunct w:val="0"/>
                    <w:bidi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符合性</w:t>
                  </w:r>
                </w:p>
              </w:tc>
            </w:tr>
            <w:tr w14:paraId="1491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3" w:type="pct"/>
                  <w:noWrap w:val="0"/>
                  <w:vAlign w:val="center"/>
                </w:tcPr>
                <w:p w14:paraId="6E54A44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ascii="Times New Roman" w:hAnsi="Times New Roman"/>
                      <w:color w:val="auto"/>
                      <w:kern w:val="0"/>
                      <w:sz w:val="21"/>
                      <w:szCs w:val="21"/>
                    </w:rPr>
                  </w:pPr>
                  <w:r>
                    <w:rPr>
                      <w:rFonts w:ascii="Times New Roman" w:hAnsi="Times New Roman"/>
                      <w:color w:val="auto"/>
                      <w:kern w:val="0"/>
                      <w:sz w:val="21"/>
                      <w:szCs w:val="21"/>
                    </w:rPr>
                    <w:t>（二）全面加强无组织排放控制</w:t>
                  </w:r>
                </w:p>
                <w:p w14:paraId="7D509A4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ascii="Times New Roman" w:hAnsi="Times New Roman"/>
                      <w:color w:val="auto"/>
                      <w:kern w:val="0"/>
                      <w:sz w:val="21"/>
                      <w:szCs w:val="21"/>
                    </w:rPr>
                  </w:pPr>
                  <w:r>
                    <w:rPr>
                      <w:rFonts w:ascii="Times New Roman" w:hAnsi="Times New Roman"/>
                      <w:color w:val="auto"/>
                      <w:kern w:val="0"/>
                      <w:sz w:val="21"/>
                      <w:szCs w:val="21"/>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2DBC64E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w:t>
                  </w:r>
                </w:p>
                <w:p w14:paraId="30D487F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p w14:paraId="2282877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加强设备与管线组件泄漏控制。企业中载有气态、液态VOCs物料的设备与管线组件，密封点数量大于等于2000个的，应按要求开展LDAR工作。石化企业按行业排放标准规定执行。</w:t>
                  </w:r>
                </w:p>
              </w:tc>
              <w:tc>
                <w:tcPr>
                  <w:tcW w:w="1296" w:type="pct"/>
                  <w:noWrap w:val="0"/>
                  <w:vAlign w:val="center"/>
                </w:tcPr>
                <w:p w14:paraId="295D518E">
                  <w:pPr>
                    <w:keepNext w:val="0"/>
                    <w:keepLines w:val="0"/>
                    <w:pageBreakBefore w:val="0"/>
                    <w:widowControl w:val="0"/>
                    <w:tabs>
                      <w:tab w:val="left" w:pos="611"/>
                    </w:tabs>
                    <w:kinsoku/>
                    <w:wordWrap/>
                    <w:overflowPunct/>
                    <w:topLinePunct w:val="0"/>
                    <w:bidi w:val="0"/>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项目柴油储罐采用高效密封的卧式双层储罐，采用密闭管道供油到设备燃烧，减少无组织排放。不涉及密封点数量大于等于2000个的情况。</w:t>
                  </w:r>
                </w:p>
              </w:tc>
              <w:tc>
                <w:tcPr>
                  <w:tcW w:w="460" w:type="pct"/>
                  <w:noWrap w:val="0"/>
                  <w:vAlign w:val="center"/>
                </w:tcPr>
                <w:p w14:paraId="12E13828">
                  <w:pPr>
                    <w:keepNext w:val="0"/>
                    <w:keepLines w:val="0"/>
                    <w:pageBreakBefore w:val="0"/>
                    <w:widowControl w:val="0"/>
                    <w:tabs>
                      <w:tab w:val="left" w:pos="611"/>
                    </w:tabs>
                    <w:kinsoku/>
                    <w:wordWrap/>
                    <w:overflowPunct/>
                    <w:topLinePunct w:val="0"/>
                    <w:bidi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符合</w:t>
                  </w:r>
                </w:p>
              </w:tc>
            </w:tr>
            <w:tr w14:paraId="755D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3" w:type="pct"/>
                  <w:noWrap w:val="0"/>
                  <w:vAlign w:val="center"/>
                </w:tcPr>
                <w:p w14:paraId="1C4CAFD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ascii="Times New Roman" w:hAnsi="Times New Roman"/>
                      <w:color w:val="auto"/>
                      <w:kern w:val="0"/>
                      <w:sz w:val="21"/>
                      <w:szCs w:val="21"/>
                    </w:rPr>
                  </w:pPr>
                  <w:r>
                    <w:rPr>
                      <w:rFonts w:ascii="Times New Roman" w:hAnsi="Times New Roman"/>
                      <w:color w:val="auto"/>
                      <w:kern w:val="0"/>
                      <w:sz w:val="21"/>
                      <w:szCs w:val="21"/>
                    </w:rPr>
                    <w:t>（五）油品储运销VOCs综合治理</w:t>
                  </w:r>
                </w:p>
                <w:p w14:paraId="5A73254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ascii="Times New Roman" w:hAnsi="Times New Roman"/>
                      <w:color w:val="auto"/>
                      <w:kern w:val="0"/>
                      <w:sz w:val="21"/>
                      <w:szCs w:val="21"/>
                    </w:rPr>
                  </w:pPr>
                  <w:r>
                    <w:rPr>
                      <w:rFonts w:ascii="Times New Roman" w:hAnsi="Times New Roman"/>
                      <w:color w:val="auto"/>
                      <w:kern w:val="0"/>
                      <w:sz w:val="21"/>
                      <w:szCs w:val="21"/>
                    </w:rPr>
                    <w:t>加大汽油（含乙醇汽油）、石脑油、煤油（含航空煤油）以及原油等VOCs排放控制，重点推进加油站、油罐车、储油库油气回收治理。</w:t>
                  </w:r>
                </w:p>
                <w:p w14:paraId="3E70A46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ascii="Times New Roman" w:hAnsi="Times New Roman"/>
                      <w:color w:val="auto"/>
                      <w:kern w:val="0"/>
                      <w:sz w:val="21"/>
                      <w:szCs w:val="21"/>
                    </w:rPr>
                  </w:pPr>
                  <w:r>
                    <w:rPr>
                      <w:rFonts w:ascii="Times New Roman" w:hAnsi="Times New Roman"/>
                      <w:color w:val="auto"/>
                      <w:kern w:val="0"/>
                      <w:sz w:val="21"/>
                      <w:szCs w:val="21"/>
                    </w:rPr>
                    <w:t>推进储油库油气回收治理。汽油、航空煤油、原油以及真实蒸气压小于76.6kPa的石脑油应采用浮顶罐储存，其中，油品容积小于等于100立方米的，可采用卧式储罐。真实蒸气压大于等于76.6kPa的石脑油应采用低压罐、压力罐或其他等效措施储存。加快推进油品收发过程排放的油气收集处理。加强储油库发油油气回收系统接口泄漏检测，提高检测频次，减少油气泄漏，确保油品装卸过程油气回收处理装置正常运行。加强油罐车油气回收系统密闭性和油气回收气动阀门密闭性检测，每年至少开展一次。推动储油库安装油气回收自动监控设施。</w:t>
                  </w:r>
                </w:p>
              </w:tc>
              <w:tc>
                <w:tcPr>
                  <w:tcW w:w="1296" w:type="pct"/>
                  <w:noWrap w:val="0"/>
                  <w:vAlign w:val="center"/>
                </w:tcPr>
                <w:p w14:paraId="35B1451F">
                  <w:pPr>
                    <w:keepNext w:val="0"/>
                    <w:keepLines w:val="0"/>
                    <w:pageBreakBefore w:val="0"/>
                    <w:widowControl w:val="0"/>
                    <w:tabs>
                      <w:tab w:val="left" w:pos="611"/>
                    </w:tabs>
                    <w:kinsoku/>
                    <w:wordWrap/>
                    <w:overflowPunct/>
                    <w:topLinePunct w:val="0"/>
                    <w:bidi w:val="0"/>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项目</w:t>
                  </w:r>
                  <w:r>
                    <w:rPr>
                      <w:rFonts w:hint="eastAsia"/>
                      <w:color w:val="auto"/>
                      <w:sz w:val="21"/>
                      <w:szCs w:val="21"/>
                      <w:lang w:val="en-US" w:eastAsia="zh-CN"/>
                    </w:rPr>
                    <w:t>柴油</w:t>
                  </w:r>
                  <w:r>
                    <w:rPr>
                      <w:rFonts w:ascii="Times New Roman" w:hAnsi="Times New Roman"/>
                      <w:color w:val="auto"/>
                      <w:sz w:val="21"/>
                      <w:szCs w:val="21"/>
                    </w:rPr>
                    <w:t>采用高效密闭储罐</w:t>
                  </w:r>
                  <w:r>
                    <w:rPr>
                      <w:rFonts w:hint="eastAsia"/>
                      <w:color w:val="auto"/>
                      <w:sz w:val="21"/>
                      <w:szCs w:val="21"/>
                      <w:lang w:val="en-US" w:eastAsia="zh-CN"/>
                    </w:rPr>
                    <w:t>储存</w:t>
                  </w:r>
                  <w:r>
                    <w:rPr>
                      <w:rFonts w:ascii="Times New Roman" w:hAnsi="Times New Roman"/>
                      <w:color w:val="auto"/>
                      <w:sz w:val="21"/>
                      <w:szCs w:val="21"/>
                    </w:rPr>
                    <w:t>，</w:t>
                  </w:r>
                  <w:r>
                    <w:rPr>
                      <w:rFonts w:hint="eastAsia"/>
                      <w:color w:val="auto"/>
                      <w:sz w:val="21"/>
                      <w:szCs w:val="21"/>
                      <w:lang w:val="en-US" w:eastAsia="zh-CN"/>
                    </w:rPr>
                    <w:t>两个储罐</w:t>
                  </w:r>
                  <w:r>
                    <w:rPr>
                      <w:rFonts w:hint="eastAsia" w:ascii="Times New Roman" w:hAnsi="Times New Roman"/>
                      <w:color w:val="auto"/>
                      <w:sz w:val="21"/>
                      <w:szCs w:val="21"/>
                      <w:lang w:val="en-US" w:eastAsia="zh-CN"/>
                    </w:rPr>
                    <w:t>容积</w:t>
                  </w:r>
                  <w:r>
                    <w:rPr>
                      <w:rFonts w:hint="eastAsia"/>
                      <w:color w:val="auto"/>
                      <w:sz w:val="21"/>
                      <w:szCs w:val="21"/>
                      <w:lang w:val="en-US" w:eastAsia="zh-CN"/>
                    </w:rPr>
                    <w:t>均</w:t>
                  </w:r>
                  <w:r>
                    <w:rPr>
                      <w:rFonts w:ascii="Times New Roman" w:hAnsi="Times New Roman"/>
                      <w:color w:val="auto"/>
                      <w:kern w:val="0"/>
                      <w:sz w:val="21"/>
                      <w:szCs w:val="21"/>
                    </w:rPr>
                    <w:t>小于100立方</w:t>
                  </w:r>
                  <w:r>
                    <w:rPr>
                      <w:rFonts w:hint="eastAsia"/>
                      <w:color w:val="auto"/>
                      <w:kern w:val="0"/>
                      <w:sz w:val="21"/>
                      <w:szCs w:val="21"/>
                      <w:lang w:eastAsia="zh-CN"/>
                    </w:rPr>
                    <w:t>，</w:t>
                  </w:r>
                  <w:r>
                    <w:rPr>
                      <w:rFonts w:hint="eastAsia"/>
                      <w:color w:val="auto"/>
                      <w:kern w:val="0"/>
                      <w:sz w:val="21"/>
                      <w:szCs w:val="21"/>
                      <w:lang w:val="en-US" w:eastAsia="zh-CN"/>
                    </w:rPr>
                    <w:t>均</w:t>
                  </w:r>
                  <w:r>
                    <w:rPr>
                      <w:rFonts w:ascii="Times New Roman" w:hAnsi="Times New Roman"/>
                      <w:color w:val="auto"/>
                      <w:sz w:val="21"/>
                      <w:szCs w:val="21"/>
                    </w:rPr>
                    <w:t>采用</w:t>
                  </w:r>
                  <w:r>
                    <w:rPr>
                      <w:rFonts w:hint="eastAsia" w:ascii="Times New Roman" w:hAnsi="Times New Roman"/>
                      <w:color w:val="auto"/>
                      <w:sz w:val="21"/>
                      <w:szCs w:val="21"/>
                      <w:lang w:val="en-US" w:eastAsia="zh-CN"/>
                    </w:rPr>
                    <w:t>卧式</w:t>
                  </w:r>
                  <w:r>
                    <w:rPr>
                      <w:rFonts w:ascii="Times New Roman" w:hAnsi="Times New Roman"/>
                      <w:color w:val="auto"/>
                      <w:sz w:val="21"/>
                      <w:szCs w:val="21"/>
                    </w:rPr>
                    <w:t>储油罐，</w:t>
                  </w:r>
                  <w:r>
                    <w:rPr>
                      <w:rFonts w:hint="eastAsia" w:ascii="Times New Roman" w:hAnsi="Times New Roman"/>
                      <w:color w:val="auto"/>
                      <w:sz w:val="21"/>
                      <w:szCs w:val="21"/>
                      <w:lang w:val="en-US" w:eastAsia="zh-CN"/>
                    </w:rPr>
                    <w:t>将</w:t>
                  </w:r>
                  <w:r>
                    <w:rPr>
                      <w:rFonts w:ascii="Times New Roman" w:hAnsi="Times New Roman"/>
                      <w:color w:val="auto"/>
                      <w:sz w:val="21"/>
                      <w:szCs w:val="21"/>
                    </w:rPr>
                    <w:t>按照要求开展储油罐及供油管件线路的密闭性检查。</w:t>
                  </w:r>
                </w:p>
              </w:tc>
              <w:tc>
                <w:tcPr>
                  <w:tcW w:w="460" w:type="pct"/>
                  <w:noWrap w:val="0"/>
                  <w:vAlign w:val="center"/>
                </w:tcPr>
                <w:p w14:paraId="706125D2">
                  <w:pPr>
                    <w:keepNext w:val="0"/>
                    <w:keepLines w:val="0"/>
                    <w:pageBreakBefore w:val="0"/>
                    <w:widowControl w:val="0"/>
                    <w:tabs>
                      <w:tab w:val="left" w:pos="611"/>
                    </w:tabs>
                    <w:kinsoku/>
                    <w:wordWrap/>
                    <w:overflowPunct/>
                    <w:topLinePunct w:val="0"/>
                    <w:bidi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符合</w:t>
                  </w:r>
                </w:p>
              </w:tc>
            </w:tr>
          </w:tbl>
          <w:p w14:paraId="3A110EE0">
            <w:pPr>
              <w:autoSpaceDE w:val="0"/>
              <w:autoSpaceDN w:val="0"/>
              <w:adjustRightInd w:val="0"/>
              <w:snapToGrid w:val="0"/>
              <w:spacing w:line="360" w:lineRule="auto"/>
              <w:ind w:firstLine="480" w:firstLineChars="200"/>
              <w:rPr>
                <w:rFonts w:ascii="Times New Roman" w:hAnsi="Times New Roman"/>
                <w:color w:val="auto"/>
                <w:kern w:val="0"/>
                <w:szCs w:val="21"/>
              </w:rPr>
            </w:pPr>
            <w:r>
              <w:rPr>
                <w:rFonts w:ascii="Times New Roman" w:hAnsi="Times New Roman"/>
                <w:color w:val="auto"/>
                <w:kern w:val="0"/>
                <w:szCs w:val="21"/>
              </w:rPr>
              <w:t>综上，项目柴油储罐的相关建设符合“</w:t>
            </w:r>
            <w:r>
              <w:rPr>
                <w:rFonts w:ascii="Times New Roman" w:hAnsi="Times New Roman"/>
                <w:bCs/>
                <w:color w:val="auto"/>
                <w:kern w:val="0"/>
                <w:szCs w:val="21"/>
              </w:rPr>
              <w:t>关于印发《重点行业挥发性有机物综合治理方案》的通知</w:t>
            </w:r>
            <w:r>
              <w:rPr>
                <w:rFonts w:ascii="Times New Roman" w:hAnsi="Times New Roman"/>
                <w:color w:val="auto"/>
                <w:kern w:val="0"/>
                <w:szCs w:val="21"/>
              </w:rPr>
              <w:t>”</w:t>
            </w:r>
            <w:r>
              <w:rPr>
                <w:rFonts w:ascii="Times New Roman" w:hAnsi="Times New Roman"/>
                <w:bCs/>
                <w:color w:val="auto"/>
                <w:kern w:val="0"/>
                <w:szCs w:val="21"/>
              </w:rPr>
              <w:t>环大气〔2019〕53号，《云南省重点行业挥发性有机物综合治理实施方案》云环通〔2019〕125号的要求。</w:t>
            </w:r>
          </w:p>
          <w:p w14:paraId="23568969">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b/>
                <w:color w:val="auto"/>
                <w:kern w:val="0"/>
                <w:szCs w:val="21"/>
                <w:lang w:val="en-US" w:eastAsia="zh-CN"/>
              </w:rPr>
            </w:pPr>
            <w:r>
              <w:rPr>
                <w:rFonts w:hint="eastAsia" w:cs="Times New Roman"/>
                <w:b/>
                <w:color w:val="auto"/>
                <w:kern w:val="0"/>
                <w:szCs w:val="21"/>
                <w:lang w:val="en-US" w:eastAsia="zh-CN"/>
              </w:rPr>
              <w:t>10</w:t>
            </w:r>
            <w:r>
              <w:rPr>
                <w:rFonts w:hint="eastAsia" w:ascii="Times New Roman" w:hAnsi="Times New Roman" w:eastAsia="宋体" w:cs="Times New Roman"/>
                <w:b/>
                <w:color w:val="auto"/>
                <w:kern w:val="0"/>
                <w:szCs w:val="21"/>
                <w:lang w:val="en-US" w:eastAsia="zh-CN"/>
              </w:rPr>
              <w:t>、项目与《挥发性有机物无组织排放控制标准》（GB37822—2019）符合性分析</w:t>
            </w:r>
          </w:p>
          <w:p w14:paraId="59B6B971">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该项目涉及到柴油的储存，项目与《挥发性有机物无组织排放控制标准》（GB37822—2019）中VOCs物料储存无组织排放控制要求符合性分析见下表。</w:t>
            </w:r>
          </w:p>
          <w:p w14:paraId="78B9773D">
            <w:pPr>
              <w:autoSpaceDE w:val="0"/>
              <w:autoSpaceDN w:val="0"/>
              <w:adjustRightInd w:val="0"/>
              <w:snapToGrid w:val="0"/>
              <w:ind w:firstLine="422" w:firstLineChars="20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 xml:space="preserve">8 </w:t>
            </w:r>
            <w:r>
              <w:rPr>
                <w:rFonts w:hint="default" w:ascii="Times New Roman" w:hAnsi="Times New Roman" w:eastAsia="宋体" w:cs="Times New Roman"/>
                <w:b/>
                <w:bCs/>
                <w:color w:val="auto"/>
                <w:kern w:val="0"/>
                <w:sz w:val="21"/>
                <w:szCs w:val="21"/>
                <w:lang w:val="en-US" w:eastAsia="zh-CN" w:bidi="ar"/>
              </w:rPr>
              <w:t>与</w:t>
            </w:r>
            <w:r>
              <w:rPr>
                <w:rFonts w:hint="eastAsia" w:ascii="Times New Roman" w:hAnsi="Times New Roman" w:eastAsia="宋体" w:cs="Times New Roman"/>
                <w:b/>
                <w:color w:val="auto"/>
                <w:kern w:val="0"/>
                <w:sz w:val="21"/>
                <w:szCs w:val="21"/>
                <w:lang w:val="en-US" w:eastAsia="zh-CN"/>
              </w:rPr>
              <w:t>《挥发性有机物无组织排放控制标准》</w:t>
            </w:r>
            <w:r>
              <w:rPr>
                <w:rFonts w:hint="default" w:ascii="Times New Roman" w:hAnsi="Times New Roman" w:eastAsia="宋体" w:cs="Times New Roman"/>
                <w:b/>
                <w:bCs/>
                <w:color w:val="auto"/>
                <w:kern w:val="0"/>
                <w:sz w:val="21"/>
                <w:szCs w:val="21"/>
                <w:lang w:val="en-US" w:eastAsia="zh-CN" w:bidi="ar"/>
              </w:rPr>
              <w:t>符合性</w:t>
            </w:r>
            <w:r>
              <w:rPr>
                <w:rFonts w:hint="eastAsia" w:ascii="Times New Roman" w:hAnsi="Times New Roman" w:cs="Times New Roman"/>
                <w:b/>
                <w:bCs/>
                <w:color w:val="auto"/>
                <w:kern w:val="0"/>
                <w:sz w:val="21"/>
                <w:szCs w:val="21"/>
                <w:lang w:val="en-US" w:eastAsia="zh-CN" w:bidi="ar"/>
              </w:rPr>
              <w:t>分析表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5"/>
              <w:gridCol w:w="1910"/>
              <w:gridCol w:w="644"/>
            </w:tblGrid>
            <w:tr w14:paraId="6890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75" w:type="pct"/>
                  <w:noWrap w:val="0"/>
                  <w:vAlign w:val="center"/>
                </w:tcPr>
                <w:p w14:paraId="66525E26">
                  <w:pPr>
                    <w:keepNext w:val="0"/>
                    <w:keepLines w:val="0"/>
                    <w:pageBreakBefore w:val="0"/>
                    <w:widowControl w:val="0"/>
                    <w:tabs>
                      <w:tab w:val="left" w:pos="611"/>
                    </w:tabs>
                    <w:kinsoku/>
                    <w:wordWrap/>
                    <w:overflowPunct/>
                    <w:topLinePunct w:val="0"/>
                    <w:bidi w:val="0"/>
                    <w:snapToGrid/>
                    <w:spacing w:line="240" w:lineRule="auto"/>
                    <w:ind w:firstLine="0" w:firstLineChars="0"/>
                    <w:jc w:val="center"/>
                    <w:textAlignment w:val="auto"/>
                    <w:rPr>
                      <w:rFonts w:ascii="Times New Roman" w:hAnsi="Times New Roman"/>
                      <w:b/>
                      <w:color w:val="auto"/>
                      <w:sz w:val="21"/>
                      <w:szCs w:val="21"/>
                    </w:rPr>
                  </w:pPr>
                  <w:r>
                    <w:rPr>
                      <w:rFonts w:hint="eastAsia" w:ascii="Times New Roman" w:hAnsi="Times New Roman"/>
                      <w:b/>
                      <w:color w:val="auto"/>
                      <w:sz w:val="21"/>
                      <w:szCs w:val="21"/>
                      <w:lang w:val="en-US" w:eastAsia="zh-CN"/>
                    </w:rPr>
                    <w:t>标准</w:t>
                  </w:r>
                  <w:r>
                    <w:rPr>
                      <w:rFonts w:ascii="Times New Roman" w:hAnsi="Times New Roman"/>
                      <w:b/>
                      <w:color w:val="auto"/>
                      <w:sz w:val="21"/>
                      <w:szCs w:val="21"/>
                    </w:rPr>
                    <w:t>要求</w:t>
                  </w:r>
                </w:p>
              </w:tc>
              <w:tc>
                <w:tcPr>
                  <w:tcW w:w="1364" w:type="pct"/>
                  <w:noWrap w:val="0"/>
                  <w:vAlign w:val="center"/>
                </w:tcPr>
                <w:p w14:paraId="312072F6">
                  <w:pPr>
                    <w:keepNext w:val="0"/>
                    <w:keepLines w:val="0"/>
                    <w:pageBreakBefore w:val="0"/>
                    <w:widowControl w:val="0"/>
                    <w:tabs>
                      <w:tab w:val="left" w:pos="611"/>
                    </w:tabs>
                    <w:kinsoku/>
                    <w:wordWrap/>
                    <w:overflowPunct/>
                    <w:topLinePunct w:val="0"/>
                    <w:bidi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项目情况</w:t>
                  </w:r>
                </w:p>
              </w:tc>
              <w:tc>
                <w:tcPr>
                  <w:tcW w:w="460" w:type="pct"/>
                  <w:noWrap w:val="0"/>
                  <w:vAlign w:val="center"/>
                </w:tcPr>
                <w:p w14:paraId="4C8BA324">
                  <w:pPr>
                    <w:keepNext w:val="0"/>
                    <w:keepLines w:val="0"/>
                    <w:pageBreakBefore w:val="0"/>
                    <w:widowControl w:val="0"/>
                    <w:tabs>
                      <w:tab w:val="left" w:pos="611"/>
                    </w:tabs>
                    <w:kinsoku/>
                    <w:wordWrap/>
                    <w:overflowPunct/>
                    <w:topLinePunct w:val="0"/>
                    <w:bidi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符合性</w:t>
                  </w:r>
                </w:p>
              </w:tc>
            </w:tr>
            <w:tr w14:paraId="64A6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3175" w:type="pct"/>
                  <w:noWrap w:val="0"/>
                  <w:vAlign w:val="center"/>
                </w:tcPr>
                <w:p w14:paraId="06B2108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5.1基本要求</w:t>
                  </w:r>
                </w:p>
                <w:p w14:paraId="7D8DE57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5.1.1VOCs物料应储存于密闭的容器、包装袋、储罐、储库、料仓中。</w:t>
                  </w:r>
                </w:p>
                <w:p w14:paraId="3C1332E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5.1.2盛装VOCs物料的容器或包装袋应存放于室内，或存放于设置有雨棚、遮阳和防渗设施的专用场地。盛装VOCs物料的容器或包装袋在非取用状态时应加盖、封口，保持密闭。</w:t>
                  </w:r>
                </w:p>
                <w:p w14:paraId="36A47D9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5.1.3VOCs物料储罐应密封良好，其中挥发性有机液体储罐应符合5.2条规定。</w:t>
                  </w:r>
                </w:p>
                <w:p w14:paraId="451A111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ascii="Times New Roman" w:hAnsi="Times New Roman"/>
                      <w:color w:val="auto"/>
                      <w:sz w:val="21"/>
                      <w:szCs w:val="21"/>
                    </w:rPr>
                  </w:pPr>
                  <w:r>
                    <w:rPr>
                      <w:rFonts w:hint="eastAsia" w:ascii="Times New Roman" w:hAnsi="Times New Roman"/>
                      <w:color w:val="auto"/>
                      <w:sz w:val="21"/>
                      <w:szCs w:val="21"/>
                    </w:rPr>
                    <w:t>5.1.4VOCs物料储库、料仓应满足3.6条对密闭空间的要求。</w:t>
                  </w:r>
                </w:p>
              </w:tc>
              <w:tc>
                <w:tcPr>
                  <w:tcW w:w="1364" w:type="pct"/>
                  <w:noWrap w:val="0"/>
                  <w:vAlign w:val="center"/>
                </w:tcPr>
                <w:p w14:paraId="77FF51AD">
                  <w:pPr>
                    <w:keepNext w:val="0"/>
                    <w:keepLines w:val="0"/>
                    <w:pageBreakBefore w:val="0"/>
                    <w:widowControl w:val="0"/>
                    <w:tabs>
                      <w:tab w:val="left" w:pos="611"/>
                    </w:tabs>
                    <w:kinsoku/>
                    <w:wordWrap/>
                    <w:overflowPunct/>
                    <w:topLinePunct w:val="0"/>
                    <w:bidi w:val="0"/>
                    <w:snapToGrid/>
                    <w:spacing w:line="240" w:lineRule="auto"/>
                    <w:ind w:firstLine="0" w:firstLineChars="0"/>
                    <w:textAlignment w:val="auto"/>
                    <w:rPr>
                      <w:rFonts w:hint="eastAsia" w:ascii="Times New Roman" w:hAnsi="Times New Roman" w:eastAsia="宋体"/>
                      <w:color w:val="auto"/>
                      <w:sz w:val="21"/>
                      <w:szCs w:val="21"/>
                      <w:lang w:val="en-US" w:eastAsia="zh-CN"/>
                    </w:rPr>
                  </w:pPr>
                  <w:r>
                    <w:rPr>
                      <w:rFonts w:ascii="Times New Roman" w:hAnsi="Times New Roman"/>
                      <w:color w:val="auto"/>
                      <w:sz w:val="21"/>
                      <w:szCs w:val="21"/>
                    </w:rPr>
                    <w:t>项目</w:t>
                  </w:r>
                  <w:r>
                    <w:rPr>
                      <w:rFonts w:hint="eastAsia" w:ascii="Times New Roman" w:hAnsi="Times New Roman"/>
                      <w:color w:val="auto"/>
                      <w:sz w:val="21"/>
                      <w:szCs w:val="21"/>
                      <w:lang w:val="en-US" w:eastAsia="zh-CN"/>
                    </w:rPr>
                    <w:t>为沥青拌合站建设项目，柴油置于密闭的储罐，设置</w:t>
                  </w:r>
                  <w:r>
                    <w:rPr>
                      <w:rFonts w:hint="eastAsia"/>
                      <w:color w:val="auto"/>
                      <w:sz w:val="21"/>
                      <w:szCs w:val="21"/>
                      <w:lang w:val="en-US" w:eastAsia="zh-CN"/>
                    </w:rPr>
                    <w:t>轻质</w:t>
                  </w:r>
                  <w:r>
                    <w:rPr>
                      <w:rFonts w:hint="eastAsia" w:ascii="Times New Roman" w:hAnsi="Times New Roman" w:cs="Times New Roman"/>
                      <w:color w:val="auto"/>
                      <w:sz w:val="21"/>
                      <w:szCs w:val="21"/>
                      <w:lang w:val="en-US" w:eastAsia="zh-CN"/>
                    </w:rPr>
                    <w:t>柴油</w:t>
                  </w:r>
                  <w:r>
                    <w:rPr>
                      <w:rFonts w:hint="default" w:ascii="Times New Roman" w:hAnsi="Times New Roman" w:cs="Times New Roman"/>
                      <w:color w:val="auto"/>
                      <w:sz w:val="21"/>
                      <w:szCs w:val="21"/>
                    </w:rPr>
                    <w:t>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eastAsia" w:ascii="Times New Roman" w:hAnsi="Times New Roman"/>
                      <w:color w:val="auto"/>
                      <w:sz w:val="21"/>
                      <w:szCs w:val="21"/>
                      <w:lang w:val="en-US" w:eastAsia="zh-CN"/>
                    </w:rPr>
                    <w:t>设置撬装</w:t>
                  </w:r>
                  <w:r>
                    <w:rPr>
                      <w:rFonts w:hint="eastAsia" w:ascii="Times New Roman" w:hAnsi="Times New Roman" w:cs="Times New Roman"/>
                      <w:color w:val="auto"/>
                      <w:sz w:val="21"/>
                      <w:szCs w:val="21"/>
                      <w:lang w:val="en-US" w:eastAsia="zh-CN"/>
                    </w:rPr>
                    <w:t>柴油</w:t>
                  </w:r>
                  <w:r>
                    <w:rPr>
                      <w:rFonts w:hint="default" w:ascii="Times New Roman" w:hAnsi="Times New Roman" w:cs="Times New Roman"/>
                      <w:color w:val="auto"/>
                      <w:sz w:val="21"/>
                      <w:szCs w:val="21"/>
                    </w:rPr>
                    <w:t>储罐</w:t>
                  </w:r>
                  <w:r>
                    <w:rPr>
                      <w:rFonts w:hint="eastAsia" w:ascii="Times New Roman" w:hAnsi="Times New Roman" w:cs="Times New Roman"/>
                      <w:color w:val="auto"/>
                      <w:sz w:val="21"/>
                      <w:szCs w:val="21"/>
                      <w:lang w:val="en-US" w:eastAsia="zh-CN"/>
                    </w:rPr>
                    <w:t>围堰容积不小于</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default" w:ascii="Times New Roman" w:hAnsi="Times New Roman" w:cs="Times New Roman"/>
                      <w:color w:val="auto"/>
                      <w:sz w:val="21"/>
                      <w:szCs w:val="21"/>
                    </w:rPr>
                    <w:t>顶部设顶棚</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储罐</w:t>
                  </w:r>
                  <w:r>
                    <w:rPr>
                      <w:rFonts w:hint="eastAsia" w:ascii="Times New Roman" w:hAnsi="Times New Roman"/>
                      <w:color w:val="auto"/>
                      <w:sz w:val="21"/>
                      <w:szCs w:val="21"/>
                    </w:rPr>
                    <w:t>密封良好，</w:t>
                  </w:r>
                  <w:r>
                    <w:rPr>
                      <w:rFonts w:hint="eastAsia" w:ascii="Times New Roman" w:hAnsi="Times New Roman"/>
                      <w:color w:val="auto"/>
                      <w:sz w:val="21"/>
                      <w:szCs w:val="21"/>
                      <w:lang w:val="en-US" w:eastAsia="zh-CN"/>
                    </w:rPr>
                    <w:t>满足</w:t>
                  </w:r>
                  <w:r>
                    <w:rPr>
                      <w:rFonts w:hint="eastAsia" w:ascii="Times New Roman" w:hAnsi="Times New Roman"/>
                      <w:color w:val="auto"/>
                      <w:sz w:val="21"/>
                      <w:szCs w:val="21"/>
                    </w:rPr>
                    <w:t>3.6条对密闭空间的要求。</w:t>
                  </w:r>
                </w:p>
              </w:tc>
              <w:tc>
                <w:tcPr>
                  <w:tcW w:w="460" w:type="pct"/>
                  <w:noWrap w:val="0"/>
                  <w:vAlign w:val="center"/>
                </w:tcPr>
                <w:p w14:paraId="4E15DB15">
                  <w:pPr>
                    <w:keepNext w:val="0"/>
                    <w:keepLines w:val="0"/>
                    <w:pageBreakBefore w:val="0"/>
                    <w:widowControl w:val="0"/>
                    <w:tabs>
                      <w:tab w:val="left" w:pos="611"/>
                    </w:tabs>
                    <w:kinsoku/>
                    <w:wordWrap/>
                    <w:overflowPunct/>
                    <w:topLinePunct w:val="0"/>
                    <w:bidi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符合</w:t>
                  </w:r>
                </w:p>
              </w:tc>
            </w:tr>
            <w:tr w14:paraId="2226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175" w:type="pct"/>
                  <w:noWrap w:val="0"/>
                  <w:vAlign w:val="center"/>
                </w:tcPr>
                <w:p w14:paraId="0C21D68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5.</w:t>
                  </w:r>
                  <w:r>
                    <w:rPr>
                      <w:rFonts w:hint="eastAsia" w:ascii="Times New Roman" w:hAnsi="Times New Roman"/>
                      <w:color w:val="auto"/>
                      <w:sz w:val="21"/>
                      <w:szCs w:val="21"/>
                      <w:lang w:val="en-US" w:eastAsia="zh-CN"/>
                    </w:rPr>
                    <w:t>2</w:t>
                  </w:r>
                  <w:r>
                    <w:rPr>
                      <w:rFonts w:hint="eastAsia" w:ascii="Times New Roman" w:hAnsi="Times New Roman"/>
                      <w:color w:val="auto"/>
                      <w:sz w:val="21"/>
                      <w:szCs w:val="21"/>
                    </w:rPr>
                    <w:t>挥发性有机液体储罐</w:t>
                  </w:r>
                </w:p>
                <w:p w14:paraId="3975211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5.2.1储罐控制要求</w:t>
                  </w:r>
                </w:p>
                <w:p w14:paraId="35EF0E7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5.2.1.1储存真实蒸气压≥76.6 kPa且储罐容积≥75m</w:t>
                  </w:r>
                  <w:r>
                    <w:rPr>
                      <w:rFonts w:hint="eastAsia" w:ascii="Times New Roman" w:hAnsi="Times New Roman"/>
                      <w:color w:val="auto"/>
                      <w:sz w:val="21"/>
                      <w:szCs w:val="21"/>
                      <w:vertAlign w:val="superscript"/>
                      <w:lang w:val="en-US" w:eastAsia="zh-CN"/>
                    </w:rPr>
                    <w:t>3</w:t>
                  </w:r>
                  <w:r>
                    <w:rPr>
                      <w:rFonts w:hint="eastAsia" w:ascii="Times New Roman" w:hAnsi="Times New Roman"/>
                      <w:color w:val="auto"/>
                      <w:sz w:val="21"/>
                      <w:szCs w:val="21"/>
                    </w:rPr>
                    <w:t>的挥发性有机液体储罐，应采用低压罐、压力罐或其他等效措施。</w:t>
                  </w:r>
                </w:p>
                <w:p w14:paraId="54FB752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5.2.1.2储存真实蒸气压≥27.6 kPa但&lt;76.6 kPa且储罐容积≥75m</w:t>
                  </w:r>
                  <w:r>
                    <w:rPr>
                      <w:rFonts w:hint="eastAsia" w:ascii="Times New Roman" w:hAnsi="Times New Roman"/>
                      <w:color w:val="auto"/>
                      <w:sz w:val="21"/>
                      <w:szCs w:val="21"/>
                      <w:vertAlign w:val="superscript"/>
                      <w:lang w:val="en-US" w:eastAsia="zh-CN"/>
                    </w:rPr>
                    <w:t>3</w:t>
                  </w:r>
                  <w:r>
                    <w:rPr>
                      <w:rFonts w:hint="eastAsia" w:ascii="Times New Roman" w:hAnsi="Times New Roman"/>
                      <w:color w:val="auto"/>
                      <w:sz w:val="21"/>
                      <w:szCs w:val="21"/>
                    </w:rPr>
                    <w:t>的挥发性有机液体储罐，应符合下列规定之一:</w:t>
                  </w:r>
                </w:p>
                <w:p w14:paraId="3A604FE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a)采用浮顶罐。对于内浮顶罐，浮顶与罐壁之间应采用浸液式密封、机械式鞋形密封等高效密封方式；对于外浮顶罐，浮顶与罐壁之间应采用双重密封，且一次密封应采用浸液式密封、机械式鞋形密封等高效密封方式。</w:t>
                  </w:r>
                </w:p>
                <w:p w14:paraId="39122A6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b)采用固定项罐，排放的废气应收集处理并满足相关行业排放标准的要求(无行业排放标准的应满足GB 16297的要求)，或者处理效率不低于80%。</w:t>
                  </w:r>
                </w:p>
                <w:p w14:paraId="7715E25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ascii="Times New Roman" w:hAnsi="Times New Roman"/>
                      <w:color w:val="auto"/>
                      <w:sz w:val="21"/>
                      <w:szCs w:val="21"/>
                    </w:rPr>
                  </w:pPr>
                  <w:r>
                    <w:rPr>
                      <w:rFonts w:hint="eastAsia" w:ascii="Times New Roman" w:hAnsi="Times New Roman"/>
                      <w:color w:val="auto"/>
                      <w:sz w:val="21"/>
                      <w:szCs w:val="21"/>
                    </w:rPr>
                    <w:t>c)采用气相平衡系统。</w:t>
                  </w:r>
                </w:p>
                <w:p w14:paraId="21AE511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ascii="Times New Roman" w:hAnsi="Times New Roman"/>
                      <w:color w:val="auto"/>
                      <w:sz w:val="21"/>
                      <w:szCs w:val="21"/>
                    </w:rPr>
                  </w:pPr>
                  <w:r>
                    <w:rPr>
                      <w:rFonts w:hint="eastAsia" w:ascii="Times New Roman" w:hAnsi="Times New Roman"/>
                      <w:color w:val="auto"/>
                      <w:sz w:val="21"/>
                      <w:szCs w:val="21"/>
                    </w:rPr>
                    <w:t>d)采取其他等效措施。</w:t>
                  </w:r>
                </w:p>
              </w:tc>
              <w:tc>
                <w:tcPr>
                  <w:tcW w:w="1364" w:type="pct"/>
                  <w:noWrap w:val="0"/>
                  <w:vAlign w:val="center"/>
                </w:tcPr>
                <w:p w14:paraId="1F10EFAD">
                  <w:pPr>
                    <w:keepNext w:val="0"/>
                    <w:keepLines w:val="0"/>
                    <w:pageBreakBefore w:val="0"/>
                    <w:widowControl w:val="0"/>
                    <w:tabs>
                      <w:tab w:val="left" w:pos="611"/>
                    </w:tabs>
                    <w:kinsoku/>
                    <w:wordWrap/>
                    <w:overflowPunct/>
                    <w:topLinePunct w:val="0"/>
                    <w:bidi w:val="0"/>
                    <w:snapToGrid/>
                    <w:spacing w:line="240" w:lineRule="auto"/>
                    <w:ind w:firstLine="0" w:firstLineChars="0"/>
                    <w:textAlignment w:val="auto"/>
                    <w:rPr>
                      <w:rFonts w:hint="eastAsia"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设置</w:t>
                  </w:r>
                  <w:r>
                    <w:rPr>
                      <w:rFonts w:hint="default" w:ascii="Times New Roman" w:hAnsi="Times New Roman" w:cs="Times New Roman"/>
                      <w:color w:val="auto"/>
                      <w:sz w:val="21"/>
                      <w:szCs w:val="21"/>
                    </w:rPr>
                    <w:t>柴油储罐</w:t>
                  </w:r>
                  <w:r>
                    <w:rPr>
                      <w:rFonts w:hint="eastAsia" w:cs="Times New Roman"/>
                      <w:color w:val="auto"/>
                      <w:sz w:val="21"/>
                      <w:szCs w:val="21"/>
                      <w:lang w:val="en-US" w:eastAsia="zh-CN"/>
                    </w:rPr>
                    <w:t>2</w:t>
                  </w:r>
                  <w:r>
                    <w:rPr>
                      <w:rFonts w:hint="default" w:ascii="Times New Roman" w:hAnsi="Times New Roman" w:cs="Times New Roman"/>
                      <w:color w:val="auto"/>
                      <w:sz w:val="21"/>
                      <w:szCs w:val="21"/>
                    </w:rPr>
                    <w:t>个，储罐容积</w:t>
                  </w:r>
                  <w:r>
                    <w:rPr>
                      <w:rFonts w:hint="eastAsia" w:cs="Times New Roman"/>
                      <w:color w:val="auto"/>
                      <w:sz w:val="21"/>
                      <w:szCs w:val="21"/>
                      <w:lang w:val="en-US" w:eastAsia="zh-CN"/>
                    </w:rPr>
                    <w:t>均</w:t>
                  </w:r>
                  <w:r>
                    <w:rPr>
                      <w:rFonts w:hint="default" w:ascii="Times New Roman" w:hAnsi="Times New Roman" w:cs="Times New Roman"/>
                      <w:color w:val="auto"/>
                      <w:sz w:val="21"/>
                      <w:szCs w:val="21"/>
                    </w:rPr>
                    <w:t>为</w:t>
                  </w:r>
                  <w:r>
                    <w:rPr>
                      <w:rFonts w:hint="eastAsia" w:cs="Times New Roman"/>
                      <w:color w:val="auto"/>
                      <w:sz w:val="21"/>
                      <w:szCs w:val="21"/>
                      <w:lang w:val="en-US" w:eastAsia="zh-CN"/>
                    </w:rPr>
                    <w:t>50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小于</w:t>
                  </w:r>
                  <w:r>
                    <w:rPr>
                      <w:rFonts w:hint="eastAsia" w:ascii="Times New Roman" w:hAnsi="Times New Roman"/>
                      <w:color w:val="auto"/>
                      <w:sz w:val="21"/>
                      <w:szCs w:val="21"/>
                    </w:rPr>
                    <w:t>75m</w:t>
                  </w:r>
                  <w:r>
                    <w:rPr>
                      <w:rFonts w:hint="eastAsia" w:ascii="Times New Roman" w:hAnsi="Times New Roman"/>
                      <w:color w:val="auto"/>
                      <w:sz w:val="21"/>
                      <w:szCs w:val="21"/>
                      <w:vertAlign w:val="superscript"/>
                      <w:lang w:val="en-US" w:eastAsia="zh-CN"/>
                    </w:rPr>
                    <w:t>3</w:t>
                  </w:r>
                  <w:r>
                    <w:rPr>
                      <w:rFonts w:hint="eastAsia" w:ascii="Times New Roman" w:hAnsi="Times New Roman"/>
                      <w:color w:val="auto"/>
                      <w:sz w:val="21"/>
                      <w:szCs w:val="21"/>
                      <w:lang w:eastAsia="zh-CN"/>
                    </w:rPr>
                    <w:t>，</w:t>
                  </w:r>
                  <w:r>
                    <w:rPr>
                      <w:rFonts w:ascii="Times New Roman" w:hAnsi="Times New Roman"/>
                      <w:color w:val="auto"/>
                      <w:sz w:val="21"/>
                      <w:szCs w:val="21"/>
                    </w:rPr>
                    <w:t>采用</w:t>
                  </w:r>
                  <w:r>
                    <w:rPr>
                      <w:rFonts w:hint="eastAsia" w:ascii="Times New Roman" w:hAnsi="Times New Roman"/>
                      <w:color w:val="auto"/>
                      <w:sz w:val="21"/>
                      <w:szCs w:val="21"/>
                      <w:lang w:val="en-US" w:eastAsia="zh-CN"/>
                    </w:rPr>
                    <w:t>卧式双层</w:t>
                  </w:r>
                  <w:r>
                    <w:rPr>
                      <w:rFonts w:ascii="Times New Roman" w:hAnsi="Times New Roman"/>
                      <w:color w:val="auto"/>
                      <w:sz w:val="21"/>
                      <w:szCs w:val="21"/>
                    </w:rPr>
                    <w:t>储油罐</w:t>
                  </w:r>
                  <w:r>
                    <w:rPr>
                      <w:rFonts w:hint="eastAsia" w:ascii="Times New Roman" w:hAnsi="Times New Roman"/>
                      <w:color w:val="auto"/>
                      <w:sz w:val="21"/>
                      <w:szCs w:val="21"/>
                      <w:lang w:eastAsia="zh-CN"/>
                    </w:rPr>
                    <w:t>。</w:t>
                  </w:r>
                  <w:r>
                    <w:rPr>
                      <w:rFonts w:ascii="Times New Roman" w:hAnsi="Times New Roman"/>
                      <w:color w:val="auto"/>
                      <w:sz w:val="21"/>
                      <w:szCs w:val="21"/>
                    </w:rPr>
                    <w:t>采用密闭管道供油到设备燃烧，减少无组织排放。</w:t>
                  </w:r>
                </w:p>
              </w:tc>
              <w:tc>
                <w:tcPr>
                  <w:tcW w:w="460" w:type="pct"/>
                  <w:noWrap w:val="0"/>
                  <w:vAlign w:val="center"/>
                </w:tcPr>
                <w:p w14:paraId="7AE1C8DC">
                  <w:pPr>
                    <w:keepNext w:val="0"/>
                    <w:keepLines w:val="0"/>
                    <w:pageBreakBefore w:val="0"/>
                    <w:widowControl w:val="0"/>
                    <w:tabs>
                      <w:tab w:val="left" w:pos="611"/>
                    </w:tabs>
                    <w:kinsoku/>
                    <w:wordWrap/>
                    <w:overflowPunct/>
                    <w:topLinePunct w:val="0"/>
                    <w:bidi w:val="0"/>
                    <w:snapToGrid/>
                    <w:spacing w:line="240" w:lineRule="auto"/>
                    <w:ind w:firstLine="0" w:firstLineChars="0"/>
                    <w:jc w:val="center"/>
                    <w:textAlignment w:val="auto"/>
                    <w:rPr>
                      <w:rFonts w:ascii="Times New Roman" w:hAnsi="Times New Roman"/>
                      <w:color w:val="auto"/>
                      <w:sz w:val="21"/>
                      <w:szCs w:val="21"/>
                    </w:rPr>
                  </w:pPr>
                </w:p>
              </w:tc>
            </w:tr>
          </w:tbl>
          <w:p w14:paraId="5BC201E9">
            <w:pPr>
              <w:keepNext w:val="0"/>
              <w:keepLines w:val="0"/>
              <w:pageBreakBefore w:val="0"/>
              <w:widowControl w:val="0"/>
              <w:kinsoku/>
              <w:wordWrap/>
              <w:overflowPunct/>
              <w:topLinePunct w:val="0"/>
              <w:autoSpaceDE w:val="0"/>
              <w:autoSpaceDN w:val="0"/>
              <w:bidi w:val="0"/>
              <w:adjustRightInd/>
              <w:spacing w:line="360" w:lineRule="auto"/>
              <w:ind w:left="0" w:leftChars="0" w:firstLine="0" w:firstLineChars="0"/>
              <w:rPr>
                <w:rFonts w:hint="default" w:eastAsia="楷体_GB2312"/>
                <w:color w:val="auto"/>
                <w:highlight w:val="none"/>
                <w:lang w:val="en-US" w:eastAsia="zh-CN"/>
              </w:rPr>
            </w:pPr>
          </w:p>
        </w:tc>
      </w:tr>
    </w:tbl>
    <w:p w14:paraId="5696ED70">
      <w:pPr>
        <w:pStyle w:val="5"/>
        <w:jc w:val="center"/>
        <w:rPr>
          <w:color w:val="auto"/>
          <w:highlight w:val="none"/>
        </w:rPr>
      </w:pPr>
      <w:r>
        <w:rPr>
          <w:rFonts w:hint="eastAsia"/>
          <w:color w:val="auto"/>
          <w:highlight w:val="none"/>
        </w:rPr>
        <w:br w:type="page"/>
      </w:r>
      <w:bookmarkStart w:id="2" w:name="_Toc20144"/>
      <w:r>
        <w:rPr>
          <w:rFonts w:hint="eastAsia"/>
          <w:color w:val="auto"/>
          <w:highlight w:val="none"/>
        </w:rPr>
        <w:t>二、建设项目工程分析</w:t>
      </w:r>
      <w:bookmarkEnd w:id="2"/>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7"/>
        <w:gridCol w:w="8075"/>
      </w:tblGrid>
      <w:tr w14:paraId="3B26C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7" w:type="dxa"/>
            <w:vAlign w:val="center"/>
          </w:tcPr>
          <w:p w14:paraId="158D42EC">
            <w:pPr>
              <w:ind w:firstLine="0" w:firstLineChars="0"/>
              <w:jc w:val="center"/>
              <w:rPr>
                <w:color w:val="auto"/>
                <w:highlight w:val="none"/>
              </w:rPr>
            </w:pPr>
            <w:r>
              <w:rPr>
                <w:rFonts w:hint="eastAsia"/>
                <w:color w:val="auto"/>
                <w:highlight w:val="none"/>
              </w:rPr>
              <w:t>建设内容</w:t>
            </w:r>
          </w:p>
        </w:tc>
        <w:tc>
          <w:tcPr>
            <w:tcW w:w="8075" w:type="dxa"/>
            <w:vAlign w:val="center"/>
          </w:tcPr>
          <w:p w14:paraId="0D996EA0">
            <w:pPr>
              <w:ind w:firstLine="480"/>
              <w:rPr>
                <w:rFonts w:hint="eastAsia"/>
                <w:b/>
                <w:bCs/>
                <w:color w:val="auto"/>
                <w:highlight w:val="none"/>
                <w:lang w:val="en-US" w:eastAsia="zh-CN"/>
              </w:rPr>
            </w:pPr>
            <w:r>
              <w:rPr>
                <w:rFonts w:hint="eastAsia"/>
                <w:b/>
                <w:bCs/>
                <w:color w:val="auto"/>
                <w:highlight w:val="none"/>
                <w:lang w:val="en-US" w:eastAsia="zh-CN"/>
              </w:rPr>
              <w:t>1、项目由来</w:t>
            </w:r>
          </w:p>
          <w:p w14:paraId="11C359AD">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Cs/>
                <w:color w:val="auto"/>
                <w:sz w:val="24"/>
              </w:rPr>
              <w:t>为了支持芒市工业园区建设及公司更好的发展，</w:t>
            </w:r>
            <w:r>
              <w:rPr>
                <w:rFonts w:hint="default" w:ascii="Times New Roman" w:hAnsi="Times New Roman" w:cs="Times New Roman"/>
                <w:color w:val="auto"/>
                <w:sz w:val="24"/>
              </w:rPr>
              <w:t>瑞丽市富康路桥工程有限公司</w:t>
            </w:r>
            <w:r>
              <w:rPr>
                <w:rFonts w:hint="default" w:ascii="Times New Roman" w:hAnsi="Times New Roman" w:cs="Times New Roman"/>
                <w:bCs/>
                <w:color w:val="auto"/>
                <w:sz w:val="24"/>
              </w:rPr>
              <w:t>投资5000万元在</w:t>
            </w:r>
            <w:r>
              <w:rPr>
                <w:rFonts w:hint="default" w:ascii="Times New Roman" w:hAnsi="Times New Roman" w:cs="Times New Roman"/>
                <w:color w:val="auto"/>
                <w:sz w:val="24"/>
              </w:rPr>
              <w:t>德宏州芒市工业园帕底片区等岗组团</w:t>
            </w:r>
            <w:r>
              <w:rPr>
                <w:rFonts w:hint="default" w:ascii="Times New Roman" w:hAnsi="Times New Roman" w:cs="Times New Roman"/>
                <w:bCs/>
                <w:color w:val="auto"/>
                <w:sz w:val="24"/>
              </w:rPr>
              <w:t>建设</w:t>
            </w:r>
            <w:r>
              <w:rPr>
                <w:rFonts w:hint="default" w:ascii="Times New Roman" w:hAnsi="Times New Roman" w:cs="Times New Roman"/>
                <w:color w:val="auto"/>
                <w:sz w:val="24"/>
              </w:rPr>
              <w:t>瑞丽市富康路桥工程有限公司新型墙材厂及沥青混凝土拌合站项目</w:t>
            </w:r>
            <w:r>
              <w:rPr>
                <w:rFonts w:hint="default" w:ascii="Times New Roman" w:hAnsi="Times New Roman" w:cs="Times New Roman"/>
                <w:bCs/>
                <w:color w:val="auto"/>
                <w:sz w:val="24"/>
              </w:rPr>
              <w:t>。项目分两期建设：一期建设</w:t>
            </w:r>
            <w:r>
              <w:rPr>
                <w:rFonts w:hint="default" w:ascii="Times New Roman" w:hAnsi="Times New Roman" w:cs="Times New Roman"/>
                <w:color w:val="auto"/>
                <w:sz w:val="24"/>
              </w:rPr>
              <w:t>沥青混凝土拌合站，二期建设新型墙材厂。一期</w:t>
            </w:r>
            <w:r>
              <w:rPr>
                <w:rFonts w:hint="default" w:ascii="Times New Roman" w:hAnsi="Times New Roman" w:cs="Times New Roman"/>
                <w:color w:val="auto"/>
                <w:sz w:val="24"/>
                <w:lang w:bidi="ar"/>
              </w:rPr>
              <w:t>项目占地面积</w:t>
            </w:r>
            <w:r>
              <w:rPr>
                <w:rFonts w:hint="default" w:ascii="Times New Roman" w:hAnsi="Times New Roman" w:cs="Times New Roman"/>
                <w:color w:val="auto"/>
                <w:sz w:val="24"/>
              </w:rPr>
              <w:t>24206.47</w:t>
            </w:r>
            <w:r>
              <w:rPr>
                <w:rFonts w:hint="default" w:ascii="Times New Roman" w:hAnsi="Times New Roman" w:cs="Times New Roman"/>
                <w:color w:val="auto"/>
                <w:kern w:val="0"/>
                <w:sz w:val="24"/>
              </w:rPr>
              <w:t>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sz w:val="24"/>
                <w:lang w:bidi="ar"/>
              </w:rPr>
              <w:t>，年产沥青混凝土48万t/a</w:t>
            </w:r>
            <w:r>
              <w:rPr>
                <w:rFonts w:hint="default" w:ascii="Times New Roman" w:hAnsi="Times New Roman" w:cs="Times New Roman"/>
                <w:color w:val="auto"/>
                <w:sz w:val="24"/>
              </w:rPr>
              <w:t>。</w:t>
            </w:r>
            <w:r>
              <w:rPr>
                <w:rFonts w:hint="eastAsia" w:cs="Times New Roman"/>
                <w:color w:val="auto"/>
                <w:sz w:val="24"/>
                <w:lang w:val="en-US" w:eastAsia="zh-CN"/>
              </w:rPr>
              <w:t>2021年4月3日，建设单位取得了德宏州生态环境局芒市分局“关于</w:t>
            </w:r>
            <w:r>
              <w:rPr>
                <w:rFonts w:hint="default" w:ascii="Times New Roman" w:hAnsi="Times New Roman" w:cs="Times New Roman"/>
                <w:color w:val="auto"/>
                <w:sz w:val="24"/>
              </w:rPr>
              <w:t>瑞丽市富康路桥工程有限公司新型墙材厂及沥青混凝土拌合站项目（一期）</w:t>
            </w:r>
            <w:r>
              <w:rPr>
                <w:rFonts w:hint="eastAsia" w:ascii="Times New Roman" w:hAnsi="Times New Roman" w:cs="Times New Roman"/>
                <w:color w:val="auto"/>
                <w:sz w:val="24"/>
                <w:lang w:val="en-US" w:eastAsia="zh-CN"/>
              </w:rPr>
              <w:t>环境影响报告表</w:t>
            </w:r>
            <w:r>
              <w:rPr>
                <w:rFonts w:hint="eastAsia" w:cs="Times New Roman"/>
                <w:color w:val="auto"/>
                <w:sz w:val="24"/>
                <w:lang w:val="en-US" w:eastAsia="zh-CN"/>
              </w:rPr>
              <w:t>”的批复。项</w:t>
            </w:r>
            <w:r>
              <w:rPr>
                <w:rFonts w:hint="eastAsia" w:ascii="Times New Roman" w:hAnsi="Times New Roman" w:eastAsia="宋体" w:cs="Times New Roman"/>
                <w:color w:val="auto"/>
                <w:sz w:val="24"/>
                <w:lang w:val="en-US" w:eastAsia="zh-CN"/>
              </w:rPr>
              <w:t>目一期工程</w:t>
            </w:r>
            <w:r>
              <w:rPr>
                <w:rFonts w:hint="eastAsia" w:cs="Times New Roman"/>
                <w:color w:val="auto"/>
                <w:sz w:val="24"/>
                <w:lang w:val="en-US" w:eastAsia="zh-CN"/>
              </w:rPr>
              <w:t>目前</w:t>
            </w:r>
            <w:r>
              <w:rPr>
                <w:rFonts w:hint="eastAsia" w:ascii="Times New Roman" w:hAnsi="Times New Roman" w:eastAsia="宋体" w:cs="Times New Roman"/>
                <w:color w:val="auto"/>
                <w:sz w:val="24"/>
                <w:lang w:val="en-US" w:eastAsia="zh-CN"/>
              </w:rPr>
              <w:t>已建成</w:t>
            </w:r>
            <w:r>
              <w:rPr>
                <w:rFonts w:hint="eastAsia" w:cs="Times New Roman"/>
                <w:color w:val="auto"/>
                <w:sz w:val="24"/>
                <w:lang w:val="en-US" w:eastAsia="zh-CN"/>
              </w:rPr>
              <w:t>一条生产线</w:t>
            </w:r>
            <w:r>
              <w:rPr>
                <w:rFonts w:hint="eastAsia" w:ascii="Times New Roman" w:hAnsi="Times New Roman" w:eastAsia="宋体" w:cs="Times New Roman"/>
                <w:color w:val="auto"/>
                <w:sz w:val="24"/>
                <w:lang w:val="en-US" w:eastAsia="zh-CN"/>
              </w:rPr>
              <w:t>，但尚未投入运行。</w:t>
            </w:r>
          </w:p>
          <w:p w14:paraId="36564FA3">
            <w:pPr>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lang w:val="en-US" w:eastAsia="zh-CN"/>
              </w:rPr>
              <w:t>本次变更环评阶段，我公司对项目实际建设情况进行调查，并与</w:t>
            </w:r>
            <w:r>
              <w:rPr>
                <w:rFonts w:hint="eastAsia" w:ascii="Times New Roman" w:hAnsi="Times New Roman" w:eastAsia="宋体" w:cs="Times New Roman"/>
                <w:color w:val="auto"/>
                <w:lang w:val="en-US" w:eastAsia="zh-CN"/>
              </w:rPr>
              <w:t>原</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sz w:val="24"/>
              </w:rPr>
              <w:t>瑞丽市富康路桥工程有限公司新型墙材厂及沥青混凝土拌合站项目（一期）</w:t>
            </w:r>
            <w:r>
              <w:rPr>
                <w:rFonts w:hint="default" w:ascii="Times New Roman" w:hAnsi="Times New Roman" w:eastAsia="宋体" w:cs="Times New Roman"/>
                <w:color w:val="auto"/>
                <w:lang w:val="en-US" w:eastAsia="zh-CN"/>
              </w:rPr>
              <w:t>环境影响报告</w:t>
            </w:r>
            <w:r>
              <w:rPr>
                <w:rFonts w:hint="eastAsia" w:ascii="Times New Roman" w:hAnsi="Times New Roman" w:eastAsia="宋体" w:cs="Times New Roman"/>
                <w:color w:val="auto"/>
                <w:lang w:val="en-US" w:eastAsia="zh-CN"/>
              </w:rPr>
              <w:t>表</w:t>
            </w:r>
            <w:r>
              <w:rPr>
                <w:rFonts w:hint="default" w:ascii="Times New Roman" w:hAnsi="Times New Roman" w:eastAsia="宋体" w:cs="Times New Roman"/>
                <w:color w:val="auto"/>
                <w:lang w:val="en-US" w:eastAsia="zh-CN"/>
              </w:rPr>
              <w:t>（报批稿）》以及</w:t>
            </w:r>
            <w:r>
              <w:rPr>
                <w:rFonts w:hint="eastAsia" w:ascii="Times New Roman" w:hAnsi="Times New Roman" w:eastAsia="宋体" w:cs="Times New Roman"/>
                <w:color w:val="auto"/>
                <w:lang w:val="en-US" w:eastAsia="zh-CN"/>
              </w:rPr>
              <w:t>项目环评批复</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德环芒审</w:t>
            </w:r>
            <w:r>
              <w:rPr>
                <w:rFonts w:hint="default" w:ascii="Times New Roman" w:hAnsi="Times New Roman" w:eastAsia="宋体" w:cs="Times New Roman"/>
                <w:color w:val="auto"/>
                <w:lang w:val="en-US" w:eastAsia="zh-CN"/>
              </w:rPr>
              <w:t>〔2021〕17号）的工程内容进行比对。</w:t>
            </w:r>
            <w:r>
              <w:rPr>
                <w:rFonts w:hint="eastAsia" w:ascii="Times New Roman" w:hAnsi="Times New Roman" w:eastAsia="宋体" w:cs="Times New Roman"/>
                <w:color w:val="auto"/>
                <w:lang w:val="en-US" w:eastAsia="zh-CN"/>
              </w:rPr>
              <w:t>通过</w:t>
            </w:r>
            <w:r>
              <w:rPr>
                <w:rFonts w:hint="default" w:ascii="Times New Roman" w:hAnsi="Times New Roman" w:eastAsia="宋体" w:cs="Times New Roman"/>
                <w:color w:val="auto"/>
                <w:lang w:eastAsia="zh-CN"/>
              </w:rPr>
              <w:t>参照《关于印发污染影响类建设项目重大变动清单（试行）的通知》环办环评函[2020]688号要求进行判别，</w:t>
            </w:r>
            <w:r>
              <w:rPr>
                <w:rFonts w:hint="default" w:ascii="Times New Roman" w:hAnsi="Times New Roman" w:eastAsia="宋体" w:cs="Times New Roman"/>
                <w:color w:val="auto"/>
                <w:lang w:val="en-US" w:eastAsia="zh-CN"/>
              </w:rPr>
              <w:t>该项目发生变动的内容主要是</w:t>
            </w:r>
            <w:r>
              <w:rPr>
                <w:rFonts w:hint="eastAsia" w:ascii="Times New Roman" w:hAnsi="Times New Roman" w:eastAsia="宋体" w:cs="Times New Roman"/>
                <w:color w:val="auto"/>
                <w:lang w:val="en-US" w:eastAsia="zh-CN"/>
              </w:rPr>
              <w:t>导热油炉燃料由</w:t>
            </w:r>
            <w:r>
              <w:rPr>
                <w:rFonts w:hint="default" w:ascii="Times New Roman" w:hAnsi="Times New Roman" w:eastAsia="宋体" w:cs="Times New Roman"/>
                <w:color w:val="auto"/>
                <w:lang w:val="en-US" w:eastAsia="zh-CN"/>
              </w:rPr>
              <w:t>原环评</w:t>
            </w:r>
            <w:r>
              <w:rPr>
                <w:rFonts w:hint="eastAsia" w:ascii="Times New Roman" w:hAnsi="Times New Roman" w:eastAsia="宋体" w:cs="Times New Roman"/>
                <w:color w:val="auto"/>
                <w:lang w:val="en-US" w:eastAsia="zh-CN"/>
              </w:rPr>
              <w:t>报告中的天然气变更为轻质柴油，并增加1个轻质柴油储罐；</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废气主要排放口</w:t>
            </w:r>
            <w:r>
              <w:rPr>
                <w:rFonts w:hint="eastAsia" w:ascii="Times New Roman" w:hAnsi="Times New Roman" w:eastAsia="宋体" w:cs="Times New Roman"/>
                <w:color w:val="auto"/>
                <w:lang w:val="en-US" w:eastAsia="zh-CN"/>
              </w:rPr>
              <w:t>由</w:t>
            </w:r>
            <w:r>
              <w:rPr>
                <w:rFonts w:hint="default" w:ascii="Times New Roman" w:hAnsi="Times New Roman" w:eastAsia="宋体" w:cs="Times New Roman"/>
                <w:color w:val="auto"/>
                <w:lang w:val="en-US" w:eastAsia="zh-CN"/>
              </w:rPr>
              <w:t>原环评</w:t>
            </w:r>
            <w:r>
              <w:rPr>
                <w:rFonts w:hint="eastAsia" w:ascii="Times New Roman" w:hAnsi="Times New Roman" w:eastAsia="宋体" w:cs="Times New Roman"/>
                <w:color w:val="auto"/>
                <w:lang w:val="en-US" w:eastAsia="zh-CN"/>
              </w:rPr>
              <w:t>的</w:t>
            </w:r>
            <w:r>
              <w:rPr>
                <w:rFonts w:hint="eastAsia" w:cs="Times New Roman"/>
                <w:i w:val="0"/>
                <w:caps w:val="0"/>
                <w:color w:val="auto"/>
                <w:spacing w:val="0"/>
                <w:sz w:val="24"/>
                <w:szCs w:val="24"/>
                <w:highlight w:val="none"/>
                <w:shd w:val="clear" w:color="auto" w:fill="FFFFFF"/>
                <w:lang w:val="en-US" w:eastAsia="zh-CN"/>
              </w:rPr>
              <w:t>3</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个废气排放口变更为</w:t>
            </w:r>
            <w:r>
              <w:rPr>
                <w:rFonts w:hint="eastAsia" w:cs="Times New Roman"/>
                <w:i w:val="0"/>
                <w:caps w:val="0"/>
                <w:color w:val="auto"/>
                <w:spacing w:val="0"/>
                <w:sz w:val="24"/>
                <w:szCs w:val="24"/>
                <w:highlight w:val="none"/>
                <w:shd w:val="clear" w:color="auto" w:fill="FFFFFF"/>
                <w:lang w:val="en-US" w:eastAsia="zh-CN"/>
              </w:rPr>
              <w:t>6</w:t>
            </w:r>
            <w:r>
              <w:rPr>
                <w:rFonts w:hint="eastAsia" w:ascii="Times New Roman" w:hAnsi="Times New Roman" w:eastAsia="宋体" w:cs="Times New Roman"/>
                <w:i w:val="0"/>
                <w:caps w:val="0"/>
                <w:color w:val="auto"/>
                <w:spacing w:val="0"/>
                <w:sz w:val="24"/>
                <w:szCs w:val="24"/>
                <w:highlight w:val="none"/>
                <w:shd w:val="clear" w:color="auto" w:fill="FFFFFF"/>
                <w:lang w:val="en-US" w:eastAsia="zh-CN"/>
              </w:rPr>
              <w:t>个废气排放口。</w:t>
            </w:r>
            <w:r>
              <w:rPr>
                <w:rFonts w:hint="eastAsia" w:ascii="Times New Roman" w:hAnsi="Times New Roman" w:eastAsia="宋体" w:cs="Times New Roman"/>
                <w:color w:val="auto"/>
                <w:sz w:val="24"/>
                <w:szCs w:val="24"/>
                <w:lang w:val="en-US" w:eastAsia="zh-CN"/>
              </w:rPr>
              <w:t>项目发生</w:t>
            </w:r>
            <w:r>
              <w:rPr>
                <w:rFonts w:hint="default" w:ascii="Times New Roman" w:hAnsi="Times New Roman" w:eastAsia="宋体" w:cs="Times New Roman"/>
                <w:color w:val="auto"/>
                <w:sz w:val="24"/>
                <w:szCs w:val="24"/>
                <w:lang w:val="en-US" w:eastAsia="zh-CN"/>
              </w:rPr>
              <w:t>重大变动，需要重新报批环评。</w:t>
            </w:r>
            <w:r>
              <w:rPr>
                <w:rFonts w:hint="eastAsia" w:ascii="Times New Roman" w:hAnsi="Times New Roman" w:eastAsia="宋体" w:cs="Times New Roman"/>
                <w:color w:val="auto"/>
                <w:sz w:val="24"/>
                <w:szCs w:val="24"/>
                <w:lang w:val="en-US" w:eastAsia="zh-CN"/>
              </w:rPr>
              <w:t>项目变更</w:t>
            </w:r>
            <w:r>
              <w:rPr>
                <w:rFonts w:hint="default" w:ascii="Times New Roman" w:hAnsi="Times New Roman" w:eastAsia="宋体" w:cs="Times New Roman"/>
                <w:color w:val="auto"/>
                <w:sz w:val="24"/>
                <w:szCs w:val="24"/>
                <w:lang w:val="en-US" w:eastAsia="zh-CN"/>
              </w:rPr>
              <w:t>前后</w:t>
            </w:r>
            <w:r>
              <w:rPr>
                <w:rFonts w:hint="eastAsia" w:ascii="Times New Roman" w:hAnsi="Times New Roman" w:eastAsia="宋体" w:cs="Times New Roman"/>
                <w:color w:val="auto"/>
                <w:sz w:val="24"/>
                <w:szCs w:val="24"/>
                <w:lang w:val="en-US" w:eastAsia="zh-CN"/>
              </w:rPr>
              <w:t>各项</w:t>
            </w:r>
            <w:r>
              <w:rPr>
                <w:rFonts w:hint="default" w:ascii="Times New Roman" w:hAnsi="Times New Roman" w:eastAsia="宋体" w:cs="Times New Roman"/>
                <w:color w:val="auto"/>
                <w:sz w:val="24"/>
                <w:szCs w:val="24"/>
                <w:lang w:val="en-US" w:eastAsia="zh-CN"/>
              </w:rPr>
              <w:t>变化清单对照表</w:t>
            </w:r>
            <w:r>
              <w:rPr>
                <w:rFonts w:hint="eastAsia" w:ascii="Times New Roman" w:hAnsi="Times New Roman" w:eastAsia="宋体" w:cs="Times New Roman"/>
                <w:color w:val="auto"/>
                <w:sz w:val="24"/>
                <w:szCs w:val="24"/>
                <w:lang w:val="en-US" w:eastAsia="zh-CN"/>
              </w:rPr>
              <w:t>见下表。</w:t>
            </w:r>
          </w:p>
          <w:p w14:paraId="712519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表</w:t>
            </w:r>
            <w:r>
              <w:rPr>
                <w:rFonts w:hint="eastAsia" w:ascii="Times New Roman" w:hAnsi="Times New Roman" w:cs="Times New Roman"/>
                <w:b/>
                <w:bCs/>
                <w:color w:val="auto"/>
                <w:sz w:val="21"/>
                <w:szCs w:val="21"/>
                <w:highlight w:val="none"/>
                <w:lang w:val="en-US" w:eastAsia="zh-CN"/>
              </w:rPr>
              <w:t>2-1</w:t>
            </w:r>
            <w:r>
              <w:rPr>
                <w:rFonts w:hint="default" w:ascii="Times New Roman" w:hAnsi="Times New Roman"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项目变更</w:t>
            </w:r>
            <w:r>
              <w:rPr>
                <w:rFonts w:hint="default" w:ascii="Times New Roman" w:hAnsi="Times New Roman" w:cs="Times New Roman"/>
                <w:b/>
                <w:bCs/>
                <w:color w:val="auto"/>
                <w:sz w:val="21"/>
                <w:szCs w:val="21"/>
                <w:highlight w:val="none"/>
                <w:lang w:val="en-US" w:eastAsia="zh-CN"/>
              </w:rPr>
              <w:t>前后</w:t>
            </w:r>
            <w:r>
              <w:rPr>
                <w:rFonts w:hint="eastAsia" w:ascii="Times New Roman" w:hAnsi="Times New Roman" w:cs="Times New Roman"/>
                <w:b/>
                <w:bCs/>
                <w:color w:val="auto"/>
                <w:sz w:val="21"/>
                <w:szCs w:val="21"/>
                <w:highlight w:val="none"/>
                <w:lang w:val="en-US" w:eastAsia="zh-CN"/>
              </w:rPr>
              <w:t>各项</w:t>
            </w:r>
            <w:r>
              <w:rPr>
                <w:rFonts w:hint="default" w:ascii="Times New Roman" w:hAnsi="Times New Roman" w:cs="Times New Roman"/>
                <w:b/>
                <w:bCs/>
                <w:color w:val="auto"/>
                <w:sz w:val="21"/>
                <w:szCs w:val="21"/>
                <w:highlight w:val="none"/>
                <w:lang w:val="en-US" w:eastAsia="zh-CN"/>
              </w:rPr>
              <w:t>变化清单对照表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2842"/>
              <w:gridCol w:w="1455"/>
              <w:gridCol w:w="1665"/>
              <w:gridCol w:w="1426"/>
            </w:tblGrid>
            <w:tr w14:paraId="77EB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102" w:type="pct"/>
                  <w:gridSpan w:val="2"/>
                  <w:noWrap w:val="0"/>
                  <w:vAlign w:val="center"/>
                </w:tcPr>
                <w:p w14:paraId="156E2B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类别</w:t>
                  </w:r>
                </w:p>
              </w:tc>
              <w:tc>
                <w:tcPr>
                  <w:tcW w:w="927" w:type="pct"/>
                  <w:noWrap w:val="0"/>
                  <w:vAlign w:val="center"/>
                </w:tcPr>
                <w:p w14:paraId="7D35E3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原环评</w:t>
                  </w:r>
                </w:p>
              </w:tc>
              <w:tc>
                <w:tcPr>
                  <w:tcW w:w="1061" w:type="pct"/>
                  <w:noWrap w:val="0"/>
                  <w:vAlign w:val="center"/>
                </w:tcPr>
                <w:p w14:paraId="78C330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val="en-US" w:eastAsia="zh-CN"/>
                    </w:rPr>
                    <w:t>本次变更环评</w:t>
                  </w:r>
                </w:p>
              </w:tc>
              <w:tc>
                <w:tcPr>
                  <w:tcW w:w="908" w:type="pct"/>
                  <w:noWrap w:val="0"/>
                  <w:vAlign w:val="center"/>
                </w:tcPr>
                <w:p w14:paraId="7EEBCC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变化情况</w:t>
                  </w:r>
                </w:p>
              </w:tc>
            </w:tr>
            <w:tr w14:paraId="1B17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 w:type="pct"/>
                  <w:noWrap w:val="0"/>
                  <w:vAlign w:val="center"/>
                </w:tcPr>
                <w:p w14:paraId="41F138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建设性质</w:t>
                  </w:r>
                </w:p>
              </w:tc>
              <w:tc>
                <w:tcPr>
                  <w:tcW w:w="1811" w:type="pct"/>
                  <w:noWrap w:val="0"/>
                  <w:vAlign w:val="center"/>
                </w:tcPr>
                <w:p w14:paraId="3D9D7F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i w:val="0"/>
                      <w:caps w:val="0"/>
                      <w:color w:val="auto"/>
                      <w:spacing w:val="0"/>
                      <w:sz w:val="21"/>
                      <w:szCs w:val="21"/>
                      <w:shd w:val="clear" w:color="auto" w:fill="FFFFFF"/>
                    </w:rPr>
                    <w:t>建设项目开发、使用功能发生变化的</w:t>
                  </w:r>
                </w:p>
              </w:tc>
              <w:tc>
                <w:tcPr>
                  <w:tcW w:w="927" w:type="pct"/>
                  <w:noWrap w:val="0"/>
                  <w:vAlign w:val="center"/>
                </w:tcPr>
                <w:p w14:paraId="3F47D9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新建</w:t>
                  </w:r>
                </w:p>
              </w:tc>
              <w:tc>
                <w:tcPr>
                  <w:tcW w:w="1061" w:type="pct"/>
                  <w:noWrap w:val="0"/>
                  <w:vAlign w:val="center"/>
                </w:tcPr>
                <w:p w14:paraId="01647F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新建</w:t>
                  </w:r>
                  <w:r>
                    <w:rPr>
                      <w:rFonts w:hint="eastAsia" w:ascii="Times New Roman" w:hAnsi="Times New Roman" w:eastAsia="宋体" w:cs="Times New Roman"/>
                      <w:color w:val="auto"/>
                      <w:sz w:val="21"/>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lang w:val="en-US" w:eastAsia="zh-CN"/>
                    </w:rPr>
                    <w:t>变更</w:t>
                  </w:r>
                  <w:r>
                    <w:rPr>
                      <w:rFonts w:hint="eastAsia" w:ascii="Times New Roman" w:hAnsi="Times New Roman" w:eastAsia="宋体" w:cs="Times New Roman"/>
                      <w:color w:val="auto"/>
                      <w:sz w:val="21"/>
                      <w:szCs w:val="21"/>
                      <w:highlight w:val="none"/>
                      <w:vertAlign w:val="baseline"/>
                      <w:lang w:eastAsia="zh-CN"/>
                    </w:rPr>
                    <w:t>）</w:t>
                  </w:r>
                </w:p>
              </w:tc>
              <w:tc>
                <w:tcPr>
                  <w:tcW w:w="908" w:type="pct"/>
                  <w:noWrap w:val="0"/>
                  <w:vAlign w:val="center"/>
                </w:tcPr>
                <w:p w14:paraId="4BC9C5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无</w:t>
                  </w:r>
                </w:p>
              </w:tc>
            </w:tr>
            <w:tr w14:paraId="24B3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91" w:type="pct"/>
                  <w:vMerge w:val="restart"/>
                  <w:noWrap w:val="0"/>
                  <w:vAlign w:val="center"/>
                </w:tcPr>
                <w:p w14:paraId="3799F3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建设规模</w:t>
                  </w:r>
                </w:p>
              </w:tc>
              <w:tc>
                <w:tcPr>
                  <w:tcW w:w="1811" w:type="pct"/>
                  <w:noWrap w:val="0"/>
                  <w:vAlign w:val="center"/>
                </w:tcPr>
                <w:p w14:paraId="43FD36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yellow"/>
                      <w:vertAlign w:val="baseline"/>
                      <w:lang w:eastAsia="zh-CN"/>
                    </w:rPr>
                  </w:pPr>
                  <w:r>
                    <w:rPr>
                      <w:rFonts w:hint="default" w:ascii="Times New Roman" w:hAnsi="Times New Roman" w:eastAsia="宋体" w:cs="Times New Roman"/>
                      <w:i w:val="0"/>
                      <w:caps w:val="0"/>
                      <w:color w:val="auto"/>
                      <w:spacing w:val="0"/>
                      <w:sz w:val="21"/>
                      <w:szCs w:val="21"/>
                      <w:shd w:val="clear" w:color="auto" w:fill="FFFFFF"/>
                    </w:rPr>
                    <w:t>生产、处置或储存能力增大30%及以上的</w:t>
                  </w:r>
                </w:p>
              </w:tc>
              <w:tc>
                <w:tcPr>
                  <w:tcW w:w="927" w:type="pct"/>
                  <w:vMerge w:val="restart"/>
                  <w:noWrap w:val="0"/>
                  <w:vAlign w:val="center"/>
                </w:tcPr>
                <w:p w14:paraId="0D97C0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eastAsia" w:ascii="Times New Roman" w:hAnsi="Times New Roman" w:eastAsia="宋体" w:cs="Times New Roman"/>
                      <w:i w:val="0"/>
                      <w:caps w:val="0"/>
                      <w:color w:val="auto"/>
                      <w:spacing w:val="0"/>
                      <w:sz w:val="21"/>
                      <w:szCs w:val="21"/>
                      <w:shd w:val="clear" w:color="auto" w:fill="FFFFFF"/>
                      <w:lang w:eastAsia="zh-CN"/>
                    </w:rPr>
                  </w:pPr>
                  <w:r>
                    <w:rPr>
                      <w:rFonts w:hint="default" w:ascii="Times New Roman" w:hAnsi="Times New Roman" w:eastAsia="宋体" w:cs="Times New Roman"/>
                      <w:i w:val="0"/>
                      <w:caps w:val="0"/>
                      <w:color w:val="auto"/>
                      <w:spacing w:val="0"/>
                      <w:sz w:val="21"/>
                      <w:szCs w:val="21"/>
                      <w:shd w:val="clear" w:color="auto" w:fill="FFFFFF"/>
                    </w:rPr>
                    <w:t>年产沥青混凝土48万t</w:t>
                  </w:r>
                </w:p>
              </w:tc>
              <w:tc>
                <w:tcPr>
                  <w:tcW w:w="1061" w:type="pct"/>
                  <w:vMerge w:val="restart"/>
                  <w:noWrap w:val="0"/>
                  <w:vAlign w:val="center"/>
                </w:tcPr>
                <w:p w14:paraId="6C453F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eastAsia" w:ascii="Times New Roman" w:hAnsi="Times New Roman" w:eastAsia="宋体" w:cs="Times New Roman"/>
                      <w:i w:val="0"/>
                      <w:caps w:val="0"/>
                      <w:color w:val="auto"/>
                      <w:spacing w:val="0"/>
                      <w:sz w:val="21"/>
                      <w:szCs w:val="21"/>
                      <w:shd w:val="clear" w:color="auto" w:fill="FFFFFF"/>
                      <w:lang w:eastAsia="zh-CN"/>
                    </w:rPr>
                  </w:pPr>
                  <w:r>
                    <w:rPr>
                      <w:rFonts w:hint="default" w:ascii="Times New Roman" w:hAnsi="Times New Roman" w:eastAsia="宋体" w:cs="Times New Roman"/>
                      <w:i w:val="0"/>
                      <w:caps w:val="0"/>
                      <w:color w:val="auto"/>
                      <w:spacing w:val="0"/>
                      <w:sz w:val="21"/>
                      <w:szCs w:val="21"/>
                      <w:shd w:val="clear" w:color="auto" w:fill="FFFFFF"/>
                    </w:rPr>
                    <w:t>年产沥青混凝土48万t</w:t>
                  </w:r>
                </w:p>
              </w:tc>
              <w:tc>
                <w:tcPr>
                  <w:tcW w:w="908" w:type="pct"/>
                  <w:vMerge w:val="restart"/>
                  <w:noWrap w:val="0"/>
                  <w:vAlign w:val="center"/>
                </w:tcPr>
                <w:p w14:paraId="3730FD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eastAsia" w:ascii="Times New Roman" w:hAnsi="Times New Roman" w:eastAsia="宋体" w:cs="Times New Roman"/>
                      <w:i w:val="0"/>
                      <w:caps w:val="0"/>
                      <w:color w:val="auto"/>
                      <w:spacing w:val="0"/>
                      <w:sz w:val="21"/>
                      <w:szCs w:val="21"/>
                      <w:shd w:val="clear" w:color="auto" w:fill="FFFFFF"/>
                      <w:lang w:val="en-US" w:eastAsia="zh-CN"/>
                    </w:rPr>
                    <w:t>无</w:t>
                  </w:r>
                </w:p>
              </w:tc>
            </w:tr>
            <w:tr w14:paraId="38B1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91" w:type="pct"/>
                  <w:vMerge w:val="continue"/>
                  <w:noWrap w:val="0"/>
                  <w:vAlign w:val="center"/>
                </w:tcPr>
                <w:p w14:paraId="045EB3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1811" w:type="pct"/>
                  <w:noWrap w:val="0"/>
                  <w:vAlign w:val="center"/>
                </w:tcPr>
                <w:p w14:paraId="1BE637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生产、处置或储存能力增大，导致废水第一类污染物排放量增加的</w:t>
                  </w:r>
                </w:p>
              </w:tc>
              <w:tc>
                <w:tcPr>
                  <w:tcW w:w="927" w:type="pct"/>
                  <w:vMerge w:val="continue"/>
                  <w:noWrap w:val="0"/>
                  <w:vAlign w:val="center"/>
                </w:tcPr>
                <w:p w14:paraId="3A827B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rPr>
                  </w:pPr>
                </w:p>
              </w:tc>
              <w:tc>
                <w:tcPr>
                  <w:tcW w:w="1061" w:type="pct"/>
                  <w:vMerge w:val="continue"/>
                  <w:noWrap w:val="0"/>
                  <w:vAlign w:val="center"/>
                </w:tcPr>
                <w:p w14:paraId="1669D9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rPr>
                  </w:pPr>
                </w:p>
              </w:tc>
              <w:tc>
                <w:tcPr>
                  <w:tcW w:w="908" w:type="pct"/>
                  <w:vMerge w:val="continue"/>
                  <w:noWrap w:val="0"/>
                  <w:vAlign w:val="center"/>
                </w:tcPr>
                <w:p w14:paraId="703A17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p>
              </w:tc>
            </w:tr>
            <w:tr w14:paraId="0B54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Merge w:val="continue"/>
                  <w:noWrap w:val="0"/>
                  <w:vAlign w:val="center"/>
                </w:tcPr>
                <w:p w14:paraId="1642CC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1811" w:type="pct"/>
                  <w:noWrap w:val="0"/>
                  <w:vAlign w:val="center"/>
                </w:tcPr>
                <w:p w14:paraId="71A418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w:t>
                  </w:r>
                  <w:r>
                    <w:rPr>
                      <w:rFonts w:hint="default" w:ascii="Times New Roman" w:hAnsi="Times New Roman" w:eastAsia="宋体" w:cs="Times New Roman"/>
                      <w:i w:val="0"/>
                      <w:caps w:val="0"/>
                      <w:color w:val="auto"/>
                      <w:spacing w:val="0"/>
                      <w:sz w:val="21"/>
                      <w:szCs w:val="21"/>
                      <w:highlight w:val="none"/>
                      <w:shd w:val="clear" w:color="auto" w:fill="FFFFFF"/>
                    </w:rPr>
                    <w:t>位于达标区的建设项目生产、处置或储存能力增大，导致污染物排放量增加10%及以上的</w:t>
                  </w:r>
                </w:p>
              </w:tc>
              <w:tc>
                <w:tcPr>
                  <w:tcW w:w="927" w:type="pct"/>
                  <w:vMerge w:val="continue"/>
                  <w:noWrap w:val="0"/>
                  <w:vAlign w:val="center"/>
                </w:tcPr>
                <w:p w14:paraId="01619C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86" w:rightChars="36" w:firstLine="0" w:firstLineChars="0"/>
                    <w:jc w:val="center"/>
                    <w:textAlignment w:val="auto"/>
                    <w:outlineLvl w:val="9"/>
                    <w:rPr>
                      <w:rFonts w:hint="default" w:ascii="Times New Roman" w:hAnsi="Times New Roman" w:eastAsia="宋体" w:cs="Times New Roman"/>
                      <w:color w:val="auto"/>
                      <w:kern w:val="2"/>
                      <w:sz w:val="21"/>
                      <w:szCs w:val="21"/>
                      <w:highlight w:val="yellow"/>
                      <w:vertAlign w:val="baseline"/>
                      <w:lang w:val="en-US" w:eastAsia="zh-CN"/>
                    </w:rPr>
                  </w:pPr>
                </w:p>
              </w:tc>
              <w:tc>
                <w:tcPr>
                  <w:tcW w:w="1061" w:type="pct"/>
                  <w:vMerge w:val="continue"/>
                  <w:noWrap w:val="0"/>
                  <w:vAlign w:val="center"/>
                </w:tcPr>
                <w:p w14:paraId="33A13D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86" w:rightChars="36" w:firstLine="0" w:firstLineChars="0"/>
                    <w:jc w:val="center"/>
                    <w:textAlignment w:val="auto"/>
                    <w:outlineLvl w:val="9"/>
                    <w:rPr>
                      <w:rFonts w:hint="default" w:ascii="Times New Roman" w:hAnsi="Times New Roman" w:eastAsia="宋体" w:cs="Times New Roman"/>
                      <w:color w:val="auto"/>
                      <w:kern w:val="2"/>
                      <w:sz w:val="21"/>
                      <w:szCs w:val="21"/>
                      <w:highlight w:val="yellow"/>
                      <w:vertAlign w:val="baseline"/>
                      <w:lang w:val="en-US" w:eastAsia="zh-CN"/>
                    </w:rPr>
                  </w:pPr>
                </w:p>
              </w:tc>
              <w:tc>
                <w:tcPr>
                  <w:tcW w:w="908" w:type="pct"/>
                  <w:vMerge w:val="continue"/>
                  <w:noWrap w:val="0"/>
                  <w:vAlign w:val="center"/>
                </w:tcPr>
                <w:p w14:paraId="5DDD84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p>
              </w:tc>
            </w:tr>
            <w:tr w14:paraId="7AB0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91" w:type="pct"/>
                  <w:noWrap w:val="0"/>
                  <w:vAlign w:val="center"/>
                </w:tcPr>
                <w:p w14:paraId="505385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建设地点</w:t>
                  </w:r>
                </w:p>
              </w:tc>
              <w:tc>
                <w:tcPr>
                  <w:tcW w:w="1811" w:type="pct"/>
                  <w:noWrap w:val="0"/>
                  <w:vAlign w:val="center"/>
                </w:tcPr>
                <w:p w14:paraId="2F7B4279">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right="0" w:rightChars="0"/>
                    <w:jc w:val="center"/>
                    <w:textAlignment w:val="auto"/>
                    <w:outlineLvl w:val="9"/>
                    <w:rPr>
                      <w:rFonts w:hint="default" w:ascii="Times New Roman" w:hAnsi="Times New Roman" w:eastAsia="宋体" w:cs="Times New Roman"/>
                      <w:color w:val="auto"/>
                      <w:sz w:val="21"/>
                      <w:szCs w:val="21"/>
                      <w:highlight w:val="yellow"/>
                      <w:vertAlign w:val="baseline"/>
                      <w:lang w:eastAsia="zh-CN"/>
                    </w:rPr>
                  </w:pPr>
                  <w:r>
                    <w:rPr>
                      <w:rFonts w:hint="default" w:ascii="Times New Roman" w:hAnsi="Times New Roman" w:eastAsia="宋体" w:cs="Times New Roman"/>
                      <w:i w:val="0"/>
                      <w:caps w:val="0"/>
                      <w:color w:val="auto"/>
                      <w:spacing w:val="0"/>
                      <w:sz w:val="21"/>
                      <w:szCs w:val="21"/>
                      <w:shd w:val="clear" w:color="auto" w:fill="FFFFFF"/>
                    </w:rPr>
                    <w:t>重新选址；在原厂址附近调整（包括总平面布置变化）导致环境防护距离范围变化且新增敏感点的</w:t>
                  </w:r>
                </w:p>
              </w:tc>
              <w:tc>
                <w:tcPr>
                  <w:tcW w:w="927" w:type="pct"/>
                  <w:noWrap w:val="0"/>
                  <w:vAlign w:val="center"/>
                </w:tcPr>
                <w:p w14:paraId="0AAD825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yellow"/>
                      <w:vertAlign w:val="baseline"/>
                      <w:lang w:val="en-US" w:eastAsia="zh-CN"/>
                    </w:rPr>
                  </w:pPr>
                  <w:r>
                    <w:rPr>
                      <w:rFonts w:hint="eastAsia" w:ascii="Times New Roman" w:hAnsi="Times New Roman" w:eastAsia="宋体" w:cs="Times New Roman"/>
                      <w:i w:val="0"/>
                      <w:caps w:val="0"/>
                      <w:color w:val="auto"/>
                      <w:spacing w:val="0"/>
                      <w:sz w:val="21"/>
                      <w:szCs w:val="21"/>
                      <w:shd w:val="clear" w:color="auto" w:fill="FFFFFF"/>
                      <w:lang w:val="en-US" w:eastAsia="zh-CN"/>
                    </w:rPr>
                    <w:t>项目位于</w:t>
                  </w:r>
                  <w:r>
                    <w:rPr>
                      <w:rFonts w:hint="default" w:ascii="Times New Roman" w:hAnsi="Times New Roman" w:eastAsia="宋体" w:cs="Times New Roman"/>
                      <w:i w:val="0"/>
                      <w:caps w:val="0"/>
                      <w:color w:val="auto"/>
                      <w:spacing w:val="0"/>
                      <w:sz w:val="21"/>
                      <w:szCs w:val="21"/>
                      <w:shd w:val="clear" w:color="auto" w:fill="FFFFFF"/>
                      <w:lang w:val="en-US" w:eastAsia="zh-CN"/>
                    </w:rPr>
                    <w:t>德宏州芒市工业园帕底片区</w:t>
                  </w:r>
                  <w:r>
                    <w:rPr>
                      <w:rFonts w:hint="eastAsia" w:ascii="Times New Roman" w:hAnsi="Times New Roman" w:eastAsia="宋体" w:cs="Times New Roman"/>
                      <w:i w:val="0"/>
                      <w:caps w:val="0"/>
                      <w:color w:val="auto"/>
                      <w:spacing w:val="0"/>
                      <w:sz w:val="21"/>
                      <w:szCs w:val="21"/>
                      <w:shd w:val="clear" w:color="auto" w:fill="FFFFFF"/>
                      <w:lang w:val="en-US" w:eastAsia="zh-CN"/>
                    </w:rPr>
                    <w:t>，无需设置大气防护距离，未设置卫生防护距离</w:t>
                  </w:r>
                </w:p>
              </w:tc>
              <w:tc>
                <w:tcPr>
                  <w:tcW w:w="1061" w:type="pct"/>
                  <w:noWrap w:val="0"/>
                  <w:vAlign w:val="center"/>
                </w:tcPr>
                <w:p w14:paraId="798D0E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yellow"/>
                      <w:vertAlign w:val="baseline"/>
                      <w:lang w:val="en-US" w:eastAsia="zh-CN"/>
                    </w:rPr>
                  </w:pPr>
                  <w:r>
                    <w:rPr>
                      <w:rFonts w:hint="eastAsia" w:ascii="Times New Roman" w:hAnsi="Times New Roman" w:eastAsia="宋体" w:cs="Times New Roman"/>
                      <w:i w:val="0"/>
                      <w:caps w:val="0"/>
                      <w:color w:val="auto"/>
                      <w:spacing w:val="0"/>
                      <w:sz w:val="21"/>
                      <w:szCs w:val="21"/>
                      <w:shd w:val="clear" w:color="auto" w:fill="FFFFFF"/>
                      <w:lang w:val="en-US" w:eastAsia="zh-CN"/>
                    </w:rPr>
                    <w:t>变更项目位于</w:t>
                  </w:r>
                  <w:r>
                    <w:rPr>
                      <w:rFonts w:hint="default" w:ascii="Times New Roman" w:hAnsi="Times New Roman" w:eastAsia="宋体" w:cs="Times New Roman"/>
                      <w:i w:val="0"/>
                      <w:caps w:val="0"/>
                      <w:color w:val="auto"/>
                      <w:spacing w:val="0"/>
                      <w:sz w:val="21"/>
                      <w:szCs w:val="21"/>
                      <w:shd w:val="clear" w:color="auto" w:fill="FFFFFF"/>
                      <w:lang w:val="en-US" w:eastAsia="zh-CN"/>
                    </w:rPr>
                    <w:t>德宏州芒市工业园帕底片区</w:t>
                  </w:r>
                  <w:r>
                    <w:rPr>
                      <w:rFonts w:hint="eastAsia" w:ascii="Times New Roman" w:hAnsi="Times New Roman" w:eastAsia="宋体" w:cs="Times New Roman"/>
                      <w:i w:val="0"/>
                      <w:caps w:val="0"/>
                      <w:color w:val="auto"/>
                      <w:spacing w:val="0"/>
                      <w:sz w:val="21"/>
                      <w:szCs w:val="21"/>
                      <w:shd w:val="clear" w:color="auto" w:fill="FFFFFF"/>
                      <w:lang w:val="en-US" w:eastAsia="zh-CN"/>
                    </w:rPr>
                    <w:t>，无需设置大气防护距离，设置100m的卫生防护距离</w:t>
                  </w:r>
                </w:p>
              </w:tc>
              <w:tc>
                <w:tcPr>
                  <w:tcW w:w="908" w:type="pct"/>
                  <w:noWrap w:val="0"/>
                  <w:vAlign w:val="center"/>
                </w:tcPr>
                <w:p w14:paraId="42CB70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yellow"/>
                      <w:vertAlign w:val="baseline"/>
                      <w:lang w:val="en-US" w:eastAsia="zh-CN"/>
                    </w:rPr>
                  </w:pPr>
                  <w:r>
                    <w:rPr>
                      <w:rFonts w:hint="eastAsia" w:ascii="Times New Roman" w:hAnsi="Times New Roman" w:eastAsia="宋体" w:cs="Times New Roman"/>
                      <w:i w:val="0"/>
                      <w:caps w:val="0"/>
                      <w:color w:val="auto"/>
                      <w:spacing w:val="0"/>
                      <w:sz w:val="21"/>
                      <w:szCs w:val="21"/>
                      <w:shd w:val="clear" w:color="auto" w:fill="FFFFFF"/>
                      <w:lang w:val="en-US" w:eastAsia="zh-CN"/>
                    </w:rPr>
                    <w:t>选址不变，新增卫生防护距离但未</w:t>
                  </w:r>
                  <w:r>
                    <w:rPr>
                      <w:rFonts w:hint="default" w:ascii="Times New Roman" w:hAnsi="Times New Roman" w:eastAsia="宋体" w:cs="Times New Roman"/>
                      <w:i w:val="0"/>
                      <w:caps w:val="0"/>
                      <w:color w:val="auto"/>
                      <w:spacing w:val="0"/>
                      <w:sz w:val="21"/>
                      <w:szCs w:val="21"/>
                      <w:shd w:val="clear" w:color="auto" w:fill="FFFFFF"/>
                    </w:rPr>
                    <w:t>新增敏感点</w:t>
                  </w:r>
                  <w:r>
                    <w:rPr>
                      <w:rFonts w:hint="eastAsia"/>
                      <w:color w:val="auto"/>
                      <w:sz w:val="21"/>
                      <w:szCs w:val="21"/>
                      <w:lang w:val="en-US" w:eastAsia="zh-CN"/>
                    </w:rPr>
                    <w:t>，不属于重大变更</w:t>
                  </w:r>
                </w:p>
              </w:tc>
            </w:tr>
            <w:tr w14:paraId="592C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Merge w:val="restart"/>
                  <w:noWrap w:val="0"/>
                  <w:vAlign w:val="center"/>
                </w:tcPr>
                <w:p w14:paraId="7D6AD9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生产工艺</w:t>
                  </w:r>
                </w:p>
              </w:tc>
              <w:tc>
                <w:tcPr>
                  <w:tcW w:w="1811" w:type="pct"/>
                  <w:noWrap w:val="0"/>
                  <w:vAlign w:val="center"/>
                </w:tcPr>
                <w:p w14:paraId="0AAD8991">
                  <w:pPr>
                    <w:bidi w:val="0"/>
                    <w:spacing w:line="240" w:lineRule="auto"/>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新增产品品种或生产工艺（含主要生产装置、设备及配套设施）、主要原辅材料、燃料变化，导致以下情形之一：</w:t>
                  </w:r>
                </w:p>
                <w:p w14:paraId="3F0DBBF0">
                  <w:pPr>
                    <w:bidi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（1）新增排放污染物种类的（毒性、挥发性降低的除外）；</w:t>
                  </w:r>
                </w:p>
                <w:p w14:paraId="765481F9">
                  <w:pPr>
                    <w:bidi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（2）位于环境质量不达标区的建设项目相应污染物排放量增加的；</w:t>
                  </w:r>
                </w:p>
                <w:p w14:paraId="5ECB6529">
                  <w:pPr>
                    <w:bidi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（3）废水第一类污染物排放量增加的；</w:t>
                  </w:r>
                </w:p>
                <w:p w14:paraId="2D67438D">
                  <w:pPr>
                    <w:bidi w:val="0"/>
                    <w:spacing w:line="240" w:lineRule="auto"/>
                    <w:rPr>
                      <w:rFonts w:hint="default" w:ascii="Times New Roman" w:hAnsi="Times New Roman" w:eastAsia="宋体" w:cs="Times New Roman"/>
                      <w:color w:val="auto"/>
                      <w:sz w:val="21"/>
                      <w:szCs w:val="21"/>
                      <w:highlight w:val="yellow"/>
                      <w:vertAlign w:val="baseline"/>
                      <w:lang w:eastAsia="zh-CN"/>
                    </w:rPr>
                  </w:pPr>
                  <w:r>
                    <w:rPr>
                      <w:rFonts w:hint="default" w:ascii="Times New Roman" w:hAnsi="Times New Roman" w:eastAsia="宋体" w:cs="Times New Roman"/>
                      <w:color w:val="auto"/>
                      <w:sz w:val="21"/>
                      <w:szCs w:val="21"/>
                    </w:rPr>
                    <w:t>（4）其他污染物排放量增加10%及以上的。</w:t>
                  </w:r>
                </w:p>
              </w:tc>
              <w:tc>
                <w:tcPr>
                  <w:tcW w:w="927" w:type="pct"/>
                  <w:noWrap w:val="0"/>
                  <w:vAlign w:val="center"/>
                </w:tcPr>
                <w:p w14:paraId="0F9727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lang w:val="en-US" w:eastAsia="zh-CN"/>
                    </w:rPr>
                    <w:t>产品品种</w:t>
                  </w:r>
                  <w:r>
                    <w:rPr>
                      <w:rFonts w:hint="eastAsia" w:ascii="Times New Roman" w:hAnsi="Times New Roman" w:eastAsia="宋体" w:cs="Times New Roman"/>
                      <w:i w:val="0"/>
                      <w:caps w:val="0"/>
                      <w:color w:val="auto"/>
                      <w:spacing w:val="0"/>
                      <w:sz w:val="21"/>
                      <w:szCs w:val="21"/>
                      <w:shd w:val="clear" w:color="auto" w:fill="FFFFFF"/>
                      <w:lang w:val="en-US" w:eastAsia="zh-CN"/>
                    </w:rPr>
                    <w:t>：沥青混凝土；环评报告中导热油炉燃料为天然气。</w:t>
                  </w:r>
                </w:p>
              </w:tc>
              <w:tc>
                <w:tcPr>
                  <w:tcW w:w="1061" w:type="pct"/>
                  <w:noWrap w:val="0"/>
                  <w:vAlign w:val="center"/>
                </w:tcPr>
                <w:p w14:paraId="78213A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lang w:val="en-US" w:eastAsia="zh-CN"/>
                    </w:rPr>
                    <w:t>产品品种</w:t>
                  </w:r>
                  <w:r>
                    <w:rPr>
                      <w:rFonts w:hint="eastAsia" w:ascii="Times New Roman" w:hAnsi="Times New Roman" w:eastAsia="宋体" w:cs="Times New Roman"/>
                      <w:i w:val="0"/>
                      <w:caps w:val="0"/>
                      <w:color w:val="auto"/>
                      <w:spacing w:val="0"/>
                      <w:sz w:val="21"/>
                      <w:szCs w:val="21"/>
                      <w:shd w:val="clear" w:color="auto" w:fill="FFFFFF"/>
                      <w:lang w:val="en-US" w:eastAsia="zh-CN"/>
                    </w:rPr>
                    <w:t>：沥青混凝土；导热油炉燃料为轻质柴油。</w:t>
                  </w:r>
                </w:p>
              </w:tc>
              <w:tc>
                <w:tcPr>
                  <w:tcW w:w="908" w:type="pct"/>
                  <w:noWrap w:val="0"/>
                  <w:vAlign w:val="center"/>
                </w:tcPr>
                <w:p w14:paraId="17C281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i w:val="0"/>
                      <w:caps w:val="0"/>
                      <w:color w:val="auto"/>
                      <w:spacing w:val="0"/>
                      <w:sz w:val="21"/>
                      <w:szCs w:val="21"/>
                      <w:shd w:val="clear" w:color="auto" w:fill="FFFFFF"/>
                      <w:lang w:val="en-US" w:eastAsia="zh-CN"/>
                    </w:rPr>
                  </w:pPr>
                  <w:r>
                    <w:rPr>
                      <w:rFonts w:hint="eastAsia" w:ascii="Times New Roman" w:hAnsi="Times New Roman" w:eastAsia="宋体" w:cs="Times New Roman"/>
                      <w:i w:val="0"/>
                      <w:caps w:val="0"/>
                      <w:color w:val="auto"/>
                      <w:spacing w:val="0"/>
                      <w:sz w:val="21"/>
                      <w:szCs w:val="21"/>
                      <w:shd w:val="clear" w:color="auto" w:fill="FFFFFF"/>
                      <w:lang w:val="en-US" w:eastAsia="zh-CN"/>
                    </w:rPr>
                    <w:t>项目变更了导热油炉燃料，废气污染物</w:t>
                  </w:r>
                  <w:r>
                    <w:rPr>
                      <w:rFonts w:hint="default" w:ascii="Times New Roman" w:hAnsi="Times New Roman" w:eastAsia="宋体" w:cs="Times New Roman"/>
                      <w:i w:val="0"/>
                      <w:caps w:val="0"/>
                      <w:color w:val="auto"/>
                      <w:spacing w:val="0"/>
                      <w:sz w:val="21"/>
                      <w:szCs w:val="21"/>
                      <w:shd w:val="clear" w:color="auto" w:fill="FFFFFF"/>
                      <w:lang w:val="en-US" w:eastAsia="zh-CN"/>
                    </w:rPr>
                    <w:t>排放量增加</w:t>
                  </w:r>
                  <w:r>
                    <w:rPr>
                      <w:rFonts w:hint="eastAsia" w:ascii="Times New Roman" w:hAnsi="Times New Roman" w:eastAsia="宋体" w:cs="Times New Roman"/>
                      <w:i w:val="0"/>
                      <w:caps w:val="0"/>
                      <w:color w:val="auto"/>
                      <w:spacing w:val="0"/>
                      <w:sz w:val="21"/>
                      <w:szCs w:val="21"/>
                      <w:shd w:val="clear" w:color="auto" w:fill="FFFFFF"/>
                      <w:lang w:val="en-US" w:eastAsia="zh-CN"/>
                    </w:rPr>
                    <w:t>超过</w:t>
                  </w:r>
                  <w:r>
                    <w:rPr>
                      <w:rFonts w:hint="default" w:ascii="Times New Roman" w:hAnsi="Times New Roman" w:eastAsia="宋体" w:cs="Times New Roman"/>
                      <w:i w:val="0"/>
                      <w:caps w:val="0"/>
                      <w:color w:val="auto"/>
                      <w:spacing w:val="0"/>
                      <w:sz w:val="21"/>
                      <w:szCs w:val="21"/>
                      <w:shd w:val="clear" w:color="auto" w:fill="FFFFFF"/>
                      <w:lang w:val="en-US" w:eastAsia="zh-CN"/>
                    </w:rPr>
                    <w:t>10%</w:t>
                  </w:r>
                  <w:r>
                    <w:rPr>
                      <w:rFonts w:hint="eastAsia" w:ascii="Times New Roman" w:hAnsi="Times New Roman" w:eastAsia="宋体" w:cs="Times New Roman"/>
                      <w:i w:val="0"/>
                      <w:caps w:val="0"/>
                      <w:color w:val="auto"/>
                      <w:spacing w:val="0"/>
                      <w:sz w:val="21"/>
                      <w:szCs w:val="21"/>
                      <w:shd w:val="clear" w:color="auto" w:fill="FFFFFF"/>
                      <w:lang w:val="en-US" w:eastAsia="zh-CN"/>
                    </w:rPr>
                    <w:t>，属于重大变更</w:t>
                  </w:r>
                </w:p>
              </w:tc>
            </w:tr>
            <w:tr w14:paraId="2A50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291" w:type="pct"/>
                  <w:vMerge w:val="continue"/>
                  <w:noWrap w:val="0"/>
                  <w:vAlign w:val="center"/>
                </w:tcPr>
                <w:p w14:paraId="7CB61D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eastAsia="zh-CN"/>
                    </w:rPr>
                  </w:pPr>
                </w:p>
              </w:tc>
              <w:tc>
                <w:tcPr>
                  <w:tcW w:w="1811" w:type="pct"/>
                  <w:noWrap w:val="0"/>
                  <w:vAlign w:val="center"/>
                </w:tcPr>
                <w:p w14:paraId="15A781BB">
                  <w:pPr>
                    <w:bidi w:val="0"/>
                    <w:spacing w:line="240" w:lineRule="auto"/>
                    <w:ind w:left="0" w:leftChars="0" w:firstLine="0" w:firstLineChars="0"/>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i w:val="0"/>
                      <w:caps w:val="0"/>
                      <w:color w:val="auto"/>
                      <w:spacing w:val="0"/>
                      <w:sz w:val="21"/>
                      <w:szCs w:val="21"/>
                      <w:shd w:val="clear" w:color="auto" w:fill="FFFFFF"/>
                    </w:rPr>
                    <w:t>物料运输、装卸、贮存方式变化，导致大气污染物无组织排放量增加10%及以上的</w:t>
                  </w:r>
                </w:p>
              </w:tc>
              <w:tc>
                <w:tcPr>
                  <w:tcW w:w="927" w:type="pct"/>
                  <w:noWrap w:val="0"/>
                  <w:vAlign w:val="center"/>
                </w:tcPr>
                <w:p w14:paraId="26B52E8E">
                  <w:pPr>
                    <w:bidi w:val="0"/>
                    <w:spacing w:line="240" w:lineRule="auto"/>
                    <w:ind w:left="0" w:leftChars="0" w:firstLine="0" w:firstLineChars="0"/>
                    <w:jc w:val="both"/>
                    <w:rPr>
                      <w:rFonts w:hint="eastAsia" w:ascii="Times New Roman" w:hAnsi="Times New Roman" w:eastAsia="宋体" w:cs="Times New Roman"/>
                      <w:i w:val="0"/>
                      <w:caps w:val="0"/>
                      <w:color w:val="auto"/>
                      <w:spacing w:val="0"/>
                      <w:sz w:val="21"/>
                      <w:szCs w:val="21"/>
                      <w:shd w:val="clear" w:color="auto" w:fill="FFFFFF"/>
                      <w:lang w:val="en-US" w:eastAsia="zh-CN"/>
                    </w:rPr>
                  </w:pPr>
                  <w:r>
                    <w:rPr>
                      <w:rFonts w:hint="default" w:ascii="Times New Roman" w:hAnsi="Times New Roman" w:eastAsia="宋体" w:cs="Times New Roman"/>
                      <w:i w:val="0"/>
                      <w:caps w:val="0"/>
                      <w:color w:val="auto"/>
                      <w:spacing w:val="0"/>
                      <w:sz w:val="21"/>
                      <w:szCs w:val="21"/>
                      <w:shd w:val="clear" w:color="auto" w:fill="FFFFFF"/>
                    </w:rPr>
                    <w:t>无组织废气排放</w:t>
                  </w:r>
                  <w:r>
                    <w:rPr>
                      <w:rFonts w:hint="eastAsia" w:ascii="Times New Roman" w:hAnsi="Times New Roman" w:eastAsia="宋体" w:cs="Times New Roman"/>
                      <w:i w:val="0"/>
                      <w:caps w:val="0"/>
                      <w:color w:val="auto"/>
                      <w:spacing w:val="0"/>
                      <w:sz w:val="21"/>
                      <w:szCs w:val="21"/>
                      <w:shd w:val="clear" w:color="auto" w:fill="FFFFFF"/>
                      <w:lang w:eastAsia="zh-CN"/>
                    </w:rPr>
                    <w:t>：</w:t>
                  </w:r>
                  <w:r>
                    <w:rPr>
                      <w:rFonts w:hint="default" w:ascii="Times New Roman" w:hAnsi="Times New Roman" w:eastAsia="宋体" w:cs="Times New Roman"/>
                      <w:i w:val="0"/>
                      <w:caps w:val="0"/>
                      <w:color w:val="auto"/>
                      <w:spacing w:val="0"/>
                      <w:sz w:val="21"/>
                      <w:szCs w:val="21"/>
                      <w:shd w:val="clear" w:color="auto" w:fill="FFFFFF"/>
                    </w:rPr>
                    <w:t>颗粒物1.3084t/a，非甲烷总烃0.02274t/a</w:t>
                  </w:r>
                  <w:r>
                    <w:rPr>
                      <w:rFonts w:hint="eastAsia" w:ascii="Times New Roman" w:hAnsi="Times New Roman" w:eastAsia="宋体" w:cs="Times New Roman"/>
                      <w:i w:val="0"/>
                      <w:caps w:val="0"/>
                      <w:color w:val="auto"/>
                      <w:spacing w:val="0"/>
                      <w:sz w:val="21"/>
                      <w:szCs w:val="21"/>
                      <w:shd w:val="clear" w:color="auto" w:fill="FFFFFF"/>
                      <w:lang w:eastAsia="zh-CN"/>
                    </w:rPr>
                    <w:t>；</w:t>
                  </w:r>
                  <w:r>
                    <w:rPr>
                      <w:rFonts w:hint="default" w:ascii="Times New Roman" w:hAnsi="Times New Roman" w:eastAsia="宋体" w:cs="Times New Roman"/>
                      <w:i w:val="0"/>
                      <w:caps w:val="0"/>
                      <w:color w:val="auto"/>
                      <w:spacing w:val="0"/>
                      <w:sz w:val="21"/>
                      <w:szCs w:val="21"/>
                      <w:shd w:val="clear" w:color="auto" w:fill="FFFFFF"/>
                    </w:rPr>
                    <w:t>苯并[a]芘0.0000098t/a。</w:t>
                  </w:r>
                </w:p>
              </w:tc>
              <w:tc>
                <w:tcPr>
                  <w:tcW w:w="1061" w:type="pct"/>
                  <w:noWrap w:val="0"/>
                  <w:vAlign w:val="center"/>
                </w:tcPr>
                <w:p w14:paraId="52E1E424">
                  <w:pPr>
                    <w:bidi w:val="0"/>
                    <w:spacing w:line="240" w:lineRule="auto"/>
                    <w:ind w:left="0" w:leftChars="0" w:firstLine="0" w:firstLineChars="0"/>
                    <w:jc w:val="both"/>
                    <w:rPr>
                      <w:rFonts w:hint="eastAsia" w:ascii="Times New Roman" w:hAnsi="Times New Roman" w:eastAsia="宋体" w:cs="Times New Roman"/>
                      <w:i w:val="0"/>
                      <w:caps w:val="0"/>
                      <w:color w:val="auto"/>
                      <w:spacing w:val="0"/>
                      <w:sz w:val="21"/>
                      <w:szCs w:val="21"/>
                      <w:shd w:val="clear" w:color="auto" w:fill="FFFFFF"/>
                      <w:lang w:val="en-US" w:eastAsia="zh-CN"/>
                    </w:rPr>
                  </w:pPr>
                  <w:r>
                    <w:rPr>
                      <w:rFonts w:hint="eastAsia" w:ascii="Times New Roman" w:hAnsi="Times New Roman" w:eastAsia="宋体" w:cs="Times New Roman"/>
                      <w:i w:val="0"/>
                      <w:caps w:val="0"/>
                      <w:color w:val="auto"/>
                      <w:spacing w:val="0"/>
                      <w:sz w:val="21"/>
                      <w:szCs w:val="21"/>
                      <w:shd w:val="clear" w:color="auto" w:fill="FFFFFF"/>
                      <w:lang w:val="en-US" w:eastAsia="zh-CN"/>
                    </w:rPr>
                    <w:t>无组织</w:t>
                  </w:r>
                  <w:r>
                    <w:rPr>
                      <w:rFonts w:hint="eastAsia" w:ascii="Times New Roman" w:hAnsi="Times New Roman" w:eastAsia="宋体" w:cs="Times New Roman"/>
                      <w:i w:val="0"/>
                      <w:caps w:val="0"/>
                      <w:color w:val="auto"/>
                      <w:spacing w:val="0"/>
                      <w:sz w:val="21"/>
                      <w:szCs w:val="21"/>
                      <w:shd w:val="clear" w:color="auto" w:fill="FFFFFF"/>
                    </w:rPr>
                    <w:t>废气</w:t>
                  </w:r>
                  <w:r>
                    <w:rPr>
                      <w:rFonts w:hint="eastAsia" w:ascii="Times New Roman" w:hAnsi="Times New Roman" w:eastAsia="宋体" w:cs="Times New Roman"/>
                      <w:i w:val="0"/>
                      <w:caps w:val="0"/>
                      <w:color w:val="auto"/>
                      <w:spacing w:val="0"/>
                      <w:sz w:val="21"/>
                      <w:szCs w:val="21"/>
                      <w:shd w:val="clear" w:color="auto" w:fill="FFFFFF"/>
                      <w:lang w:val="en-US" w:eastAsia="zh-CN"/>
                    </w:rPr>
                    <w:t>排放量</w:t>
                  </w:r>
                  <w:r>
                    <w:rPr>
                      <w:rFonts w:hint="eastAsia" w:ascii="Times New Roman" w:hAnsi="Times New Roman" w:eastAsia="宋体" w:cs="Times New Roman"/>
                      <w:i w:val="0"/>
                      <w:caps w:val="0"/>
                      <w:color w:val="auto"/>
                      <w:spacing w:val="0"/>
                      <w:sz w:val="21"/>
                      <w:szCs w:val="21"/>
                      <w:shd w:val="clear" w:color="auto" w:fill="FFFFFF"/>
                    </w:rPr>
                    <w:t>：</w:t>
                  </w:r>
                  <w:r>
                    <w:rPr>
                      <w:rFonts w:hint="default" w:ascii="Times New Roman" w:hAnsi="Times New Roman" w:eastAsia="宋体" w:cs="Times New Roman"/>
                      <w:i w:val="0"/>
                      <w:caps w:val="0"/>
                      <w:color w:val="auto"/>
                      <w:spacing w:val="0"/>
                      <w:sz w:val="21"/>
                      <w:szCs w:val="21"/>
                      <w:shd w:val="clear" w:color="auto" w:fill="FFFFFF"/>
                    </w:rPr>
                    <w:t>颗粒物</w:t>
                  </w:r>
                  <w:r>
                    <w:rPr>
                      <w:rFonts w:hint="eastAsia" w:ascii="Times New Roman" w:hAnsi="Times New Roman" w:eastAsia="宋体" w:cs="Times New Roman"/>
                      <w:i w:val="0"/>
                      <w:caps w:val="0"/>
                      <w:color w:val="auto"/>
                      <w:spacing w:val="0"/>
                      <w:sz w:val="21"/>
                      <w:szCs w:val="21"/>
                      <w:shd w:val="clear" w:color="auto" w:fill="FFFFFF"/>
                    </w:rPr>
                    <w:t>：0.</w:t>
                  </w:r>
                  <w:r>
                    <w:rPr>
                      <w:rFonts w:hint="eastAsia" w:ascii="Times New Roman" w:hAnsi="Times New Roman" w:eastAsia="宋体" w:cs="Times New Roman"/>
                      <w:i w:val="0"/>
                      <w:caps w:val="0"/>
                      <w:color w:val="auto"/>
                      <w:spacing w:val="0"/>
                      <w:sz w:val="21"/>
                      <w:szCs w:val="21"/>
                      <w:shd w:val="clear" w:color="auto" w:fill="FFFFFF"/>
                      <w:lang w:val="en-US" w:eastAsia="zh-CN"/>
                    </w:rPr>
                    <w:t>432</w:t>
                  </w:r>
                  <w:r>
                    <w:rPr>
                      <w:rFonts w:hint="eastAsia" w:ascii="Times New Roman" w:hAnsi="Times New Roman" w:eastAsia="宋体" w:cs="Times New Roman"/>
                      <w:i w:val="0"/>
                      <w:caps w:val="0"/>
                      <w:color w:val="auto"/>
                      <w:spacing w:val="0"/>
                      <w:sz w:val="21"/>
                      <w:szCs w:val="21"/>
                      <w:shd w:val="clear" w:color="auto" w:fill="FFFFFF"/>
                    </w:rPr>
                    <w:t>t/a，</w:t>
                  </w:r>
                  <w:r>
                    <w:rPr>
                      <w:rFonts w:hint="default" w:ascii="Times New Roman" w:hAnsi="Times New Roman" w:eastAsia="宋体" w:cs="Times New Roman"/>
                      <w:i w:val="0"/>
                      <w:caps w:val="0"/>
                      <w:color w:val="auto"/>
                      <w:spacing w:val="0"/>
                      <w:sz w:val="21"/>
                      <w:szCs w:val="21"/>
                      <w:shd w:val="clear" w:color="auto" w:fill="FFFFFF"/>
                    </w:rPr>
                    <w:t>苯并[a]芘</w:t>
                  </w:r>
                  <w:r>
                    <w:rPr>
                      <w:rFonts w:hint="eastAsia" w:ascii="Times New Roman" w:hAnsi="Times New Roman" w:eastAsia="宋体" w:cs="Times New Roman"/>
                      <w:i w:val="0"/>
                      <w:caps w:val="0"/>
                      <w:color w:val="auto"/>
                      <w:spacing w:val="0"/>
                      <w:sz w:val="21"/>
                      <w:szCs w:val="21"/>
                      <w:shd w:val="clear" w:color="auto" w:fill="FFFFFF"/>
                      <w:lang w:val="en-US" w:eastAsia="zh-CN"/>
                    </w:rPr>
                    <w:t>1.29</w:t>
                  </w:r>
                  <w:r>
                    <w:rPr>
                      <w:rFonts w:hint="default" w:ascii="Times New Roman" w:hAnsi="Times New Roman" w:eastAsia="宋体" w:cs="Times New Roman"/>
                      <w:i w:val="0"/>
                      <w:caps w:val="0"/>
                      <w:color w:val="auto"/>
                      <w:spacing w:val="0"/>
                      <w:sz w:val="21"/>
                      <w:szCs w:val="21"/>
                      <w:shd w:val="clear" w:color="auto" w:fill="FFFFFF"/>
                    </w:rPr>
                    <w:t>×10</w:t>
                  </w:r>
                  <w:r>
                    <w:rPr>
                      <w:rFonts w:hint="default" w:ascii="Times New Roman" w:hAnsi="Times New Roman" w:eastAsia="宋体" w:cs="Times New Roman"/>
                      <w:i w:val="0"/>
                      <w:caps w:val="0"/>
                      <w:color w:val="auto"/>
                      <w:spacing w:val="0"/>
                      <w:sz w:val="21"/>
                      <w:szCs w:val="21"/>
                      <w:shd w:val="clear" w:color="auto" w:fill="FFFFFF"/>
                      <w:vertAlign w:val="superscript"/>
                    </w:rPr>
                    <w:t>-</w:t>
                  </w:r>
                  <w:r>
                    <w:rPr>
                      <w:rFonts w:hint="eastAsia" w:ascii="Times New Roman" w:hAnsi="Times New Roman" w:eastAsia="宋体" w:cs="Times New Roman"/>
                      <w:i w:val="0"/>
                      <w:caps w:val="0"/>
                      <w:color w:val="auto"/>
                      <w:spacing w:val="0"/>
                      <w:sz w:val="21"/>
                      <w:szCs w:val="21"/>
                      <w:shd w:val="clear" w:color="auto" w:fill="FFFFFF"/>
                      <w:vertAlign w:val="superscript"/>
                      <w:lang w:val="en-US" w:eastAsia="zh-CN"/>
                    </w:rPr>
                    <w:t>5</w:t>
                  </w:r>
                  <w:r>
                    <w:rPr>
                      <w:rFonts w:hint="eastAsia" w:ascii="Times New Roman" w:hAnsi="Times New Roman" w:eastAsia="宋体" w:cs="Times New Roman"/>
                      <w:i w:val="0"/>
                      <w:caps w:val="0"/>
                      <w:color w:val="auto"/>
                      <w:spacing w:val="0"/>
                      <w:sz w:val="21"/>
                      <w:szCs w:val="21"/>
                      <w:shd w:val="clear" w:color="auto" w:fill="FFFFFF"/>
                    </w:rPr>
                    <w:t>t/a</w:t>
                  </w:r>
                  <w:r>
                    <w:rPr>
                      <w:rFonts w:hint="eastAsia" w:ascii="Times New Roman" w:hAnsi="Times New Roman" w:eastAsia="宋体" w:cs="Times New Roman"/>
                      <w:i w:val="0"/>
                      <w:caps w:val="0"/>
                      <w:color w:val="auto"/>
                      <w:spacing w:val="0"/>
                      <w:sz w:val="21"/>
                      <w:szCs w:val="21"/>
                      <w:shd w:val="clear" w:color="auto" w:fill="FFFFFF"/>
                      <w:lang w:eastAsia="zh-CN"/>
                    </w:rPr>
                    <w:t>，</w:t>
                  </w:r>
                  <w:r>
                    <w:rPr>
                      <w:rFonts w:hint="eastAsia" w:ascii="Times New Roman" w:hAnsi="Times New Roman" w:eastAsia="宋体" w:cs="Times New Roman"/>
                      <w:i w:val="0"/>
                      <w:caps w:val="0"/>
                      <w:color w:val="auto"/>
                      <w:spacing w:val="0"/>
                      <w:sz w:val="21"/>
                      <w:szCs w:val="21"/>
                      <w:shd w:val="clear" w:color="auto" w:fill="FFFFFF"/>
                      <w:lang w:val="en-US" w:eastAsia="zh-CN"/>
                    </w:rPr>
                    <w:t>沥青烟</w:t>
                  </w:r>
                  <w:r>
                    <w:rPr>
                      <w:rFonts w:hint="default" w:ascii="Times New Roman" w:hAnsi="Times New Roman" w:eastAsia="宋体" w:cs="Times New Roman"/>
                      <w:i w:val="0"/>
                      <w:caps w:val="0"/>
                      <w:color w:val="auto"/>
                      <w:spacing w:val="0"/>
                      <w:sz w:val="21"/>
                      <w:szCs w:val="21"/>
                      <w:shd w:val="clear" w:color="auto" w:fill="FFFFFF"/>
                    </w:rPr>
                    <w:t>0.0</w:t>
                  </w:r>
                  <w:r>
                    <w:rPr>
                      <w:rFonts w:hint="eastAsia" w:ascii="Times New Roman" w:hAnsi="Times New Roman" w:eastAsia="宋体" w:cs="Times New Roman"/>
                      <w:i w:val="0"/>
                      <w:caps w:val="0"/>
                      <w:color w:val="auto"/>
                      <w:spacing w:val="0"/>
                      <w:sz w:val="21"/>
                      <w:szCs w:val="21"/>
                      <w:shd w:val="clear" w:color="auto" w:fill="FFFFFF"/>
                      <w:lang w:val="en-US" w:eastAsia="zh-CN"/>
                    </w:rPr>
                    <w:t>116</w:t>
                  </w:r>
                  <w:r>
                    <w:rPr>
                      <w:rFonts w:hint="eastAsia" w:ascii="Times New Roman" w:hAnsi="Times New Roman" w:eastAsia="宋体" w:cs="Times New Roman"/>
                      <w:i w:val="0"/>
                      <w:caps w:val="0"/>
                      <w:color w:val="auto"/>
                      <w:spacing w:val="0"/>
                      <w:sz w:val="21"/>
                      <w:szCs w:val="21"/>
                      <w:shd w:val="clear" w:color="auto" w:fill="FFFFFF"/>
                    </w:rPr>
                    <w:t>t/a</w:t>
                  </w:r>
                  <w:r>
                    <w:rPr>
                      <w:rFonts w:hint="eastAsia" w:ascii="Times New Roman" w:hAnsi="Times New Roman" w:eastAsia="宋体" w:cs="Times New Roman"/>
                      <w:i w:val="0"/>
                      <w:caps w:val="0"/>
                      <w:color w:val="auto"/>
                      <w:spacing w:val="0"/>
                      <w:sz w:val="21"/>
                      <w:szCs w:val="21"/>
                      <w:shd w:val="clear" w:color="auto" w:fill="FFFFFF"/>
                      <w:lang w:eastAsia="zh-CN"/>
                    </w:rPr>
                    <w:t>，</w:t>
                  </w:r>
                  <w:r>
                    <w:rPr>
                      <w:rFonts w:hint="eastAsia" w:ascii="Times New Roman" w:hAnsi="Times New Roman" w:eastAsia="宋体" w:cs="Times New Roman"/>
                      <w:i w:val="0"/>
                      <w:caps w:val="0"/>
                      <w:color w:val="auto"/>
                      <w:spacing w:val="0"/>
                      <w:sz w:val="21"/>
                      <w:szCs w:val="21"/>
                      <w:shd w:val="clear" w:color="auto" w:fill="FFFFFF"/>
                      <w:lang w:val="en-US" w:eastAsia="zh-CN"/>
                    </w:rPr>
                    <w:t>非甲烷总烃0.132</w:t>
                  </w:r>
                  <w:r>
                    <w:rPr>
                      <w:rFonts w:hint="eastAsia" w:ascii="Times New Roman" w:hAnsi="Times New Roman" w:eastAsia="宋体" w:cs="Times New Roman"/>
                      <w:i w:val="0"/>
                      <w:caps w:val="0"/>
                      <w:color w:val="auto"/>
                      <w:spacing w:val="0"/>
                      <w:sz w:val="21"/>
                      <w:szCs w:val="21"/>
                      <w:shd w:val="clear" w:color="auto" w:fill="FFFFFF"/>
                    </w:rPr>
                    <w:t>t/a。</w:t>
                  </w:r>
                </w:p>
              </w:tc>
              <w:tc>
                <w:tcPr>
                  <w:tcW w:w="908" w:type="pct"/>
                  <w:noWrap w:val="0"/>
                  <w:vAlign w:val="center"/>
                </w:tcPr>
                <w:p w14:paraId="4F795A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aps w:val="0"/>
                      <w:color w:val="auto"/>
                      <w:spacing w:val="0"/>
                      <w:sz w:val="21"/>
                      <w:szCs w:val="21"/>
                      <w:shd w:val="clear" w:color="auto" w:fill="FFFFFF"/>
                    </w:rPr>
                    <w:t>无组织排放量</w:t>
                  </w:r>
                  <w:r>
                    <w:rPr>
                      <w:rFonts w:hint="eastAsia" w:ascii="Times New Roman" w:hAnsi="Times New Roman" w:eastAsia="宋体" w:cs="Times New Roman"/>
                      <w:i w:val="0"/>
                      <w:caps w:val="0"/>
                      <w:color w:val="auto"/>
                      <w:spacing w:val="0"/>
                      <w:sz w:val="21"/>
                      <w:szCs w:val="21"/>
                      <w:shd w:val="clear" w:color="auto" w:fill="FFFFFF"/>
                      <w:lang w:val="en-US" w:eastAsia="zh-CN"/>
                    </w:rPr>
                    <w:t>超过</w:t>
                  </w:r>
                  <w:r>
                    <w:rPr>
                      <w:rFonts w:hint="default" w:ascii="Times New Roman" w:hAnsi="Times New Roman" w:eastAsia="宋体" w:cs="Times New Roman"/>
                      <w:i w:val="0"/>
                      <w:caps w:val="0"/>
                      <w:color w:val="auto"/>
                      <w:spacing w:val="0"/>
                      <w:sz w:val="21"/>
                      <w:szCs w:val="21"/>
                      <w:shd w:val="clear" w:color="auto" w:fill="FFFFFF"/>
                    </w:rPr>
                    <w:t>10%</w:t>
                  </w:r>
                  <w:r>
                    <w:rPr>
                      <w:rFonts w:hint="eastAsia" w:ascii="Times New Roman" w:hAnsi="Times New Roman" w:eastAsia="宋体" w:cs="Times New Roman"/>
                      <w:i w:val="0"/>
                      <w:caps w:val="0"/>
                      <w:color w:val="auto"/>
                      <w:spacing w:val="0"/>
                      <w:sz w:val="21"/>
                      <w:szCs w:val="21"/>
                      <w:shd w:val="clear" w:color="auto" w:fill="FFFFFF"/>
                      <w:lang w:eastAsia="zh-CN"/>
                    </w:rPr>
                    <w:t>，</w:t>
                  </w:r>
                  <w:r>
                    <w:rPr>
                      <w:rFonts w:hint="eastAsia"/>
                      <w:color w:val="auto"/>
                      <w:sz w:val="21"/>
                      <w:szCs w:val="21"/>
                      <w:lang w:val="en-US" w:eastAsia="zh-CN"/>
                    </w:rPr>
                    <w:t>属于重大变更</w:t>
                  </w:r>
                </w:p>
              </w:tc>
            </w:tr>
            <w:tr w14:paraId="559E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Merge w:val="restart"/>
                  <w:noWrap w:val="0"/>
                  <w:vAlign w:val="center"/>
                </w:tcPr>
                <w:p w14:paraId="75E753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环境保护措施</w:t>
                  </w:r>
                </w:p>
              </w:tc>
              <w:tc>
                <w:tcPr>
                  <w:tcW w:w="1811" w:type="pct"/>
                  <w:noWrap w:val="0"/>
                  <w:vAlign w:val="center"/>
                </w:tcPr>
                <w:p w14:paraId="1E0BD1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yellow"/>
                      <w:vertAlign w:val="baseline"/>
                      <w:lang w:eastAsia="zh-CN"/>
                    </w:rPr>
                  </w:pPr>
                  <w:r>
                    <w:rPr>
                      <w:rFonts w:hint="default" w:ascii="Times New Roman" w:hAnsi="Times New Roman" w:eastAsia="宋体" w:cs="Times New Roman"/>
                      <w:i w:val="0"/>
                      <w:caps w:val="0"/>
                      <w:color w:val="auto"/>
                      <w:spacing w:val="0"/>
                      <w:sz w:val="21"/>
                      <w:szCs w:val="21"/>
                      <w:shd w:val="clear" w:color="auto" w:fill="FFFFFF"/>
                    </w:rPr>
                    <w:t>废气、废水污染防治措施变化，导致第6条中所列情形之一（废气无组织排放改为有组织排放、污染防治措施强化或改进的除外）或大气污染物无组织排放量增加10%及以上的</w:t>
                  </w:r>
                </w:p>
              </w:tc>
              <w:tc>
                <w:tcPr>
                  <w:tcW w:w="927" w:type="pct"/>
                  <w:vMerge w:val="restart"/>
                  <w:noWrap w:val="0"/>
                  <w:vAlign w:val="center"/>
                </w:tcPr>
                <w:p w14:paraId="2A5078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yellow"/>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环评</w:t>
                  </w:r>
                  <w:r>
                    <w:rPr>
                      <w:rFonts w:hint="eastAsia" w:cs="Times New Roman"/>
                      <w:color w:val="auto"/>
                      <w:sz w:val="21"/>
                      <w:szCs w:val="21"/>
                      <w:highlight w:val="none"/>
                      <w:vertAlign w:val="baseline"/>
                      <w:lang w:val="en-US" w:eastAsia="zh-CN"/>
                    </w:rPr>
                    <w:t>报告</w:t>
                  </w:r>
                  <w:r>
                    <w:rPr>
                      <w:rFonts w:hint="eastAsia" w:ascii="Times New Roman" w:hAnsi="Times New Roman" w:eastAsia="宋体" w:cs="Times New Roman"/>
                      <w:color w:val="auto"/>
                      <w:sz w:val="21"/>
                      <w:szCs w:val="21"/>
                      <w:highlight w:val="none"/>
                      <w:vertAlign w:val="baseline"/>
                      <w:lang w:val="en-US" w:eastAsia="zh-CN"/>
                    </w:rPr>
                    <w:t>中共设置</w:t>
                  </w:r>
                  <w:r>
                    <w:rPr>
                      <w:rFonts w:hint="eastAsia" w:cs="Times New Roman"/>
                      <w:color w:val="auto"/>
                      <w:sz w:val="21"/>
                      <w:szCs w:val="21"/>
                      <w:highlight w:val="none"/>
                      <w:vertAlign w:val="baseline"/>
                      <w:lang w:val="en-US" w:eastAsia="zh-CN"/>
                    </w:rPr>
                    <w:t>3</w:t>
                  </w:r>
                  <w:r>
                    <w:rPr>
                      <w:rFonts w:hint="eastAsia" w:ascii="Times New Roman" w:hAnsi="Times New Roman" w:eastAsia="宋体" w:cs="Times New Roman"/>
                      <w:color w:val="auto"/>
                      <w:sz w:val="21"/>
                      <w:szCs w:val="21"/>
                      <w:highlight w:val="none"/>
                      <w:vertAlign w:val="baseline"/>
                      <w:lang w:val="en-US" w:eastAsia="zh-CN"/>
                    </w:rPr>
                    <w:t>个排气筒</w:t>
                  </w:r>
                </w:p>
              </w:tc>
              <w:tc>
                <w:tcPr>
                  <w:tcW w:w="1061" w:type="pct"/>
                  <w:vMerge w:val="restart"/>
                  <w:noWrap w:val="0"/>
                  <w:vAlign w:val="center"/>
                </w:tcPr>
                <w:p w14:paraId="537338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yellow"/>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变更环评共设置</w:t>
                  </w:r>
                  <w:r>
                    <w:rPr>
                      <w:rFonts w:hint="eastAsia" w:cs="Times New Roman"/>
                      <w:color w:val="auto"/>
                      <w:sz w:val="21"/>
                      <w:szCs w:val="21"/>
                      <w:highlight w:val="none"/>
                      <w:vertAlign w:val="baseline"/>
                      <w:lang w:val="en-US" w:eastAsia="zh-CN"/>
                    </w:rPr>
                    <w:t>6</w:t>
                  </w:r>
                  <w:r>
                    <w:rPr>
                      <w:rFonts w:hint="eastAsia" w:ascii="Times New Roman" w:hAnsi="Times New Roman" w:eastAsia="宋体" w:cs="Times New Roman"/>
                      <w:color w:val="auto"/>
                      <w:sz w:val="21"/>
                      <w:szCs w:val="21"/>
                      <w:highlight w:val="none"/>
                      <w:vertAlign w:val="baseline"/>
                      <w:lang w:val="en-US" w:eastAsia="zh-CN"/>
                    </w:rPr>
                    <w:t>个排气筒</w:t>
                  </w:r>
                </w:p>
              </w:tc>
              <w:tc>
                <w:tcPr>
                  <w:tcW w:w="908" w:type="pct"/>
                  <w:vMerge w:val="restart"/>
                  <w:noWrap w:val="0"/>
                  <w:vAlign w:val="center"/>
                </w:tcPr>
                <w:p w14:paraId="45A8BB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caps w:val="0"/>
                      <w:color w:val="auto"/>
                      <w:spacing w:val="0"/>
                      <w:sz w:val="21"/>
                      <w:szCs w:val="21"/>
                      <w:shd w:val="clear" w:color="auto" w:fill="FFFFFF"/>
                      <w:lang w:val="en-US" w:eastAsia="zh-CN"/>
                    </w:rPr>
                    <w:t>新增废气主要排放口</w:t>
                  </w:r>
                  <w:r>
                    <w:rPr>
                      <w:rFonts w:hint="eastAsia" w:cs="Times New Roman"/>
                      <w:i w:val="0"/>
                      <w:caps w:val="0"/>
                      <w:color w:val="auto"/>
                      <w:spacing w:val="0"/>
                      <w:sz w:val="21"/>
                      <w:szCs w:val="21"/>
                      <w:shd w:val="clear" w:color="auto" w:fill="FFFFFF"/>
                      <w:lang w:val="en-US" w:eastAsia="zh-CN"/>
                    </w:rPr>
                    <w:t>3</w:t>
                  </w:r>
                  <w:r>
                    <w:rPr>
                      <w:rFonts w:hint="eastAsia" w:ascii="Times New Roman" w:hAnsi="Times New Roman" w:eastAsia="宋体" w:cs="Times New Roman"/>
                      <w:i w:val="0"/>
                      <w:caps w:val="0"/>
                      <w:color w:val="auto"/>
                      <w:spacing w:val="0"/>
                      <w:sz w:val="21"/>
                      <w:szCs w:val="21"/>
                      <w:shd w:val="clear" w:color="auto" w:fill="FFFFFF"/>
                      <w:lang w:val="en-US" w:eastAsia="zh-CN"/>
                    </w:rPr>
                    <w:t>个，</w:t>
                  </w:r>
                  <w:r>
                    <w:rPr>
                      <w:rFonts w:hint="eastAsia"/>
                      <w:color w:val="auto"/>
                      <w:sz w:val="21"/>
                      <w:szCs w:val="21"/>
                      <w:lang w:val="en-US" w:eastAsia="zh-CN"/>
                    </w:rPr>
                    <w:t>属于重大变更</w:t>
                  </w:r>
                </w:p>
              </w:tc>
            </w:tr>
            <w:tr w14:paraId="1897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Merge w:val="continue"/>
                  <w:noWrap w:val="0"/>
                  <w:vAlign w:val="center"/>
                </w:tcPr>
                <w:p w14:paraId="74E94D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p>
              </w:tc>
              <w:tc>
                <w:tcPr>
                  <w:tcW w:w="1811" w:type="pct"/>
                  <w:noWrap w:val="0"/>
                  <w:vAlign w:val="center"/>
                </w:tcPr>
                <w:p w14:paraId="5E511DF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新增废气主要排放口（废气无组织排放改为有组织排放的除外）；主要排放口排气筒高度降低10%及以上的</w:t>
                  </w:r>
                </w:p>
              </w:tc>
              <w:tc>
                <w:tcPr>
                  <w:tcW w:w="927" w:type="pct"/>
                  <w:vMerge w:val="continue"/>
                  <w:noWrap w:val="0"/>
                  <w:vAlign w:val="center"/>
                </w:tcPr>
                <w:p w14:paraId="4621AE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eastAsia" w:ascii="Times New Roman" w:hAnsi="Times New Roman" w:cs="Times New Roman"/>
                      <w:b w:val="0"/>
                      <w:bCs w:val="0"/>
                      <w:color w:val="auto"/>
                      <w:sz w:val="21"/>
                      <w:szCs w:val="21"/>
                      <w:vertAlign w:val="baseline"/>
                      <w:lang w:val="en-US" w:eastAsia="zh-CN"/>
                    </w:rPr>
                  </w:pPr>
                </w:p>
              </w:tc>
              <w:tc>
                <w:tcPr>
                  <w:tcW w:w="1061" w:type="pct"/>
                  <w:vMerge w:val="continue"/>
                  <w:noWrap w:val="0"/>
                  <w:vAlign w:val="center"/>
                </w:tcPr>
                <w:p w14:paraId="0328A7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eastAsia" w:ascii="Times New Roman" w:hAnsi="Times New Roman" w:cs="Times New Roman"/>
                      <w:b w:val="0"/>
                      <w:bCs w:val="0"/>
                      <w:color w:val="auto"/>
                      <w:sz w:val="21"/>
                      <w:szCs w:val="21"/>
                      <w:vertAlign w:val="baseline"/>
                      <w:lang w:val="en-US" w:eastAsia="zh-CN"/>
                    </w:rPr>
                  </w:pPr>
                </w:p>
              </w:tc>
              <w:tc>
                <w:tcPr>
                  <w:tcW w:w="908" w:type="pct"/>
                  <w:vMerge w:val="continue"/>
                  <w:noWrap w:val="0"/>
                  <w:vAlign w:val="center"/>
                </w:tcPr>
                <w:p w14:paraId="56E07D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p>
              </w:tc>
            </w:tr>
            <w:tr w14:paraId="16A3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Merge w:val="continue"/>
                  <w:noWrap w:val="0"/>
                  <w:vAlign w:val="center"/>
                </w:tcPr>
                <w:p w14:paraId="1BE28A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p>
              </w:tc>
              <w:tc>
                <w:tcPr>
                  <w:tcW w:w="1811" w:type="pct"/>
                  <w:noWrap w:val="0"/>
                  <w:vAlign w:val="center"/>
                </w:tcPr>
                <w:p w14:paraId="41B9AA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i w:val="0"/>
                      <w:caps w:val="0"/>
                      <w:color w:val="auto"/>
                      <w:spacing w:val="0"/>
                      <w:sz w:val="21"/>
                      <w:szCs w:val="21"/>
                      <w:shd w:val="clear" w:color="auto" w:fill="FFFFFF"/>
                      <w:lang w:eastAsia="zh-CN"/>
                    </w:rPr>
                  </w:pPr>
                  <w:r>
                    <w:rPr>
                      <w:rFonts w:hint="default" w:ascii="Times New Roman" w:hAnsi="Times New Roman" w:eastAsia="宋体" w:cs="Times New Roman"/>
                      <w:i w:val="0"/>
                      <w:caps w:val="0"/>
                      <w:color w:val="auto"/>
                      <w:spacing w:val="0"/>
                      <w:sz w:val="21"/>
                      <w:szCs w:val="21"/>
                      <w:shd w:val="clear" w:color="auto" w:fill="FFFFFF"/>
                    </w:rPr>
                    <w:t>新增废水直接排放口；废水由间接排放改为直接排放；废水直接排放口位置变化，导致不利环境影响加重的</w:t>
                  </w:r>
                </w:p>
              </w:tc>
              <w:tc>
                <w:tcPr>
                  <w:tcW w:w="927" w:type="pct"/>
                  <w:noWrap w:val="0"/>
                  <w:vAlign w:val="center"/>
                </w:tcPr>
                <w:p w14:paraId="7A60A3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vertAlign w:val="baseline"/>
                      <w:lang w:val="en-US" w:eastAsia="zh-CN"/>
                    </w:rPr>
                    <w:t>生活污水</w:t>
                  </w:r>
                  <w:r>
                    <w:rPr>
                      <w:rFonts w:hint="default" w:ascii="Times New Roman" w:hAnsi="Times New Roman" w:eastAsia="宋体" w:cs="Times New Roman"/>
                      <w:color w:val="auto"/>
                      <w:sz w:val="21"/>
                      <w:szCs w:val="21"/>
                      <w:highlight w:val="none"/>
                      <w:vertAlign w:val="baseline"/>
                      <w:lang w:val="en-US" w:eastAsia="zh-CN"/>
                    </w:rPr>
                    <w:t>经</w:t>
                  </w:r>
                  <w:r>
                    <w:rPr>
                      <w:rFonts w:hint="eastAsia" w:ascii="Times New Roman" w:hAnsi="Times New Roman" w:eastAsia="宋体" w:cs="Times New Roman"/>
                      <w:color w:val="auto"/>
                      <w:sz w:val="21"/>
                      <w:szCs w:val="21"/>
                      <w:highlight w:val="none"/>
                      <w:vertAlign w:val="baseline"/>
                      <w:lang w:val="en-US" w:eastAsia="zh-CN"/>
                    </w:rPr>
                    <w:t>化粪池及</w:t>
                  </w:r>
                  <w:r>
                    <w:rPr>
                      <w:rFonts w:hint="default" w:ascii="Times New Roman" w:hAnsi="Times New Roman" w:eastAsia="宋体" w:cs="Times New Roman"/>
                      <w:color w:val="auto"/>
                      <w:sz w:val="21"/>
                      <w:szCs w:val="21"/>
                      <w:highlight w:val="none"/>
                      <w:vertAlign w:val="baseline"/>
                      <w:lang w:val="en-US" w:eastAsia="zh-CN"/>
                    </w:rPr>
                    <w:t>污水处理站处理后近期</w:t>
                  </w:r>
                  <w:r>
                    <w:rPr>
                      <w:rFonts w:hint="eastAsia" w:ascii="Times New Roman" w:hAnsi="Times New Roman" w:eastAsia="宋体" w:cs="Times New Roman"/>
                      <w:color w:val="auto"/>
                      <w:sz w:val="21"/>
                      <w:szCs w:val="21"/>
                      <w:highlight w:val="none"/>
                      <w:vertAlign w:val="baseline"/>
                      <w:lang w:val="en-US" w:eastAsia="zh-CN"/>
                    </w:rPr>
                    <w:t>用于厂区绿化，</w:t>
                  </w:r>
                  <w:r>
                    <w:rPr>
                      <w:rFonts w:hint="default" w:ascii="Times New Roman" w:hAnsi="Times New Roman" w:eastAsia="宋体" w:cs="Times New Roman"/>
                      <w:color w:val="auto"/>
                      <w:sz w:val="21"/>
                      <w:szCs w:val="21"/>
                      <w:highlight w:val="none"/>
                      <w:vertAlign w:val="baseline"/>
                      <w:lang w:val="en-US" w:eastAsia="zh-CN"/>
                    </w:rPr>
                    <w:t>远期</w:t>
                  </w:r>
                  <w:r>
                    <w:rPr>
                      <w:rFonts w:hint="eastAsia" w:ascii="Times New Roman" w:hAnsi="Times New Roman" w:eastAsia="宋体" w:cs="Times New Roman"/>
                      <w:color w:val="auto"/>
                      <w:sz w:val="21"/>
                      <w:szCs w:val="21"/>
                      <w:highlight w:val="none"/>
                      <w:vertAlign w:val="baseline"/>
                      <w:lang w:val="en-US" w:eastAsia="zh-CN"/>
                    </w:rPr>
                    <w:t>排入</w:t>
                  </w:r>
                  <w:r>
                    <w:rPr>
                      <w:rFonts w:hint="default" w:ascii="Times New Roman" w:hAnsi="Times New Roman" w:eastAsia="宋体" w:cs="Times New Roman"/>
                      <w:color w:val="auto"/>
                      <w:sz w:val="21"/>
                      <w:szCs w:val="21"/>
                      <w:highlight w:val="none"/>
                      <w:vertAlign w:val="baseline"/>
                      <w:lang w:val="en-US" w:eastAsia="zh-CN"/>
                    </w:rPr>
                    <w:t>帕底工业园区污水处理厂</w:t>
                  </w:r>
                  <w:r>
                    <w:rPr>
                      <w:rFonts w:hint="eastAsia" w:ascii="Times New Roman" w:hAnsi="Times New Roman" w:eastAsia="宋体" w:cs="Times New Roman"/>
                      <w:color w:val="auto"/>
                      <w:sz w:val="21"/>
                      <w:szCs w:val="21"/>
                      <w:highlight w:val="none"/>
                      <w:vertAlign w:val="baseline"/>
                      <w:lang w:val="en-US" w:eastAsia="zh-CN"/>
                    </w:rPr>
                    <w:t>；生产废水</w:t>
                  </w:r>
                  <w:r>
                    <w:rPr>
                      <w:rFonts w:hint="default" w:ascii="Times New Roman" w:hAnsi="Times New Roman" w:eastAsia="宋体" w:cs="Times New Roman"/>
                      <w:color w:val="auto"/>
                      <w:sz w:val="21"/>
                      <w:szCs w:val="21"/>
                      <w:highlight w:val="none"/>
                      <w:vertAlign w:val="baseline"/>
                      <w:lang w:val="en-US" w:eastAsia="zh-CN"/>
                    </w:rPr>
                    <w:t>排入三级隔油沉淀池处理</w:t>
                  </w:r>
                  <w:r>
                    <w:rPr>
                      <w:rFonts w:hint="eastAsia" w:ascii="Times New Roman" w:hAnsi="Times New Roman" w:eastAsia="宋体" w:cs="Times New Roman"/>
                      <w:color w:val="auto"/>
                      <w:sz w:val="21"/>
                      <w:szCs w:val="21"/>
                      <w:highlight w:val="none"/>
                      <w:vertAlign w:val="baseline"/>
                      <w:lang w:val="en-US" w:eastAsia="zh-CN"/>
                    </w:rPr>
                    <w:t>后回</w:t>
                  </w:r>
                  <w:r>
                    <w:rPr>
                      <w:rFonts w:hint="default" w:ascii="Times New Roman" w:hAnsi="Times New Roman" w:eastAsia="宋体" w:cs="Times New Roman"/>
                      <w:color w:val="auto"/>
                      <w:sz w:val="21"/>
                      <w:szCs w:val="21"/>
                      <w:highlight w:val="none"/>
                      <w:vertAlign w:val="baseline"/>
                      <w:lang w:val="en-US" w:eastAsia="zh-CN"/>
                    </w:rPr>
                    <w:t>用</w:t>
                  </w:r>
                  <w:r>
                    <w:rPr>
                      <w:rFonts w:hint="eastAsia" w:ascii="Times New Roman" w:hAnsi="Times New Roman" w:eastAsia="宋体" w:cs="Times New Roman"/>
                      <w:color w:val="auto"/>
                      <w:sz w:val="21"/>
                      <w:szCs w:val="21"/>
                      <w:highlight w:val="none"/>
                      <w:vertAlign w:val="baseline"/>
                      <w:lang w:val="en-US" w:eastAsia="zh-CN"/>
                    </w:rPr>
                    <w:t>绿化</w:t>
                  </w:r>
                </w:p>
              </w:tc>
              <w:tc>
                <w:tcPr>
                  <w:tcW w:w="1061" w:type="pct"/>
                  <w:noWrap w:val="0"/>
                  <w:vAlign w:val="center"/>
                </w:tcPr>
                <w:p w14:paraId="595A52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vertAlign w:val="baseline"/>
                      <w:lang w:val="en-US" w:eastAsia="zh-CN"/>
                    </w:rPr>
                    <w:t>生活污水</w:t>
                  </w:r>
                  <w:r>
                    <w:rPr>
                      <w:rFonts w:hint="default" w:ascii="Times New Roman" w:hAnsi="Times New Roman" w:eastAsia="宋体" w:cs="Times New Roman"/>
                      <w:color w:val="auto"/>
                      <w:sz w:val="21"/>
                      <w:szCs w:val="21"/>
                      <w:highlight w:val="none"/>
                      <w:vertAlign w:val="baseline"/>
                      <w:lang w:val="en-US" w:eastAsia="zh-CN"/>
                    </w:rPr>
                    <w:t>经</w:t>
                  </w:r>
                  <w:r>
                    <w:rPr>
                      <w:rFonts w:hint="eastAsia" w:ascii="Times New Roman" w:hAnsi="Times New Roman" w:eastAsia="宋体" w:cs="Times New Roman"/>
                      <w:color w:val="auto"/>
                      <w:sz w:val="21"/>
                      <w:szCs w:val="21"/>
                      <w:highlight w:val="none"/>
                      <w:vertAlign w:val="baseline"/>
                      <w:lang w:val="en-US" w:eastAsia="zh-CN"/>
                    </w:rPr>
                    <w:t>化粪池及</w:t>
                  </w:r>
                  <w:r>
                    <w:rPr>
                      <w:rFonts w:hint="default" w:ascii="Times New Roman" w:hAnsi="Times New Roman" w:eastAsia="宋体" w:cs="Times New Roman"/>
                      <w:color w:val="auto"/>
                      <w:sz w:val="21"/>
                      <w:szCs w:val="21"/>
                      <w:highlight w:val="none"/>
                      <w:vertAlign w:val="baseline"/>
                      <w:lang w:val="en-US" w:eastAsia="zh-CN"/>
                    </w:rPr>
                    <w:t>污水处理站处理后近期</w:t>
                  </w:r>
                  <w:r>
                    <w:rPr>
                      <w:rFonts w:hint="eastAsia" w:ascii="Times New Roman" w:hAnsi="Times New Roman" w:eastAsia="宋体" w:cs="Times New Roman"/>
                      <w:color w:val="auto"/>
                      <w:sz w:val="21"/>
                      <w:szCs w:val="21"/>
                      <w:highlight w:val="none"/>
                      <w:vertAlign w:val="baseline"/>
                      <w:lang w:val="en-US" w:eastAsia="zh-CN"/>
                    </w:rPr>
                    <w:t>用于厂区绿化，</w:t>
                  </w:r>
                  <w:r>
                    <w:rPr>
                      <w:rFonts w:hint="default" w:ascii="Times New Roman" w:hAnsi="Times New Roman" w:eastAsia="宋体" w:cs="Times New Roman"/>
                      <w:color w:val="auto"/>
                      <w:sz w:val="21"/>
                      <w:szCs w:val="21"/>
                      <w:highlight w:val="none"/>
                      <w:vertAlign w:val="baseline"/>
                      <w:lang w:val="en-US" w:eastAsia="zh-CN"/>
                    </w:rPr>
                    <w:t>远期</w:t>
                  </w:r>
                  <w:r>
                    <w:rPr>
                      <w:rFonts w:hint="eastAsia" w:ascii="Times New Roman" w:hAnsi="Times New Roman" w:eastAsia="宋体" w:cs="Times New Roman"/>
                      <w:color w:val="auto"/>
                      <w:sz w:val="21"/>
                      <w:szCs w:val="21"/>
                      <w:highlight w:val="none"/>
                      <w:vertAlign w:val="baseline"/>
                      <w:lang w:val="en-US" w:eastAsia="zh-CN"/>
                    </w:rPr>
                    <w:t>排入</w:t>
                  </w:r>
                  <w:r>
                    <w:rPr>
                      <w:rFonts w:hint="default" w:ascii="Times New Roman" w:hAnsi="Times New Roman" w:eastAsia="宋体" w:cs="Times New Roman"/>
                      <w:color w:val="auto"/>
                      <w:sz w:val="21"/>
                      <w:szCs w:val="21"/>
                      <w:highlight w:val="none"/>
                      <w:vertAlign w:val="baseline"/>
                      <w:lang w:val="en-US" w:eastAsia="zh-CN"/>
                    </w:rPr>
                    <w:t>帕底工业园区污水处理厂</w:t>
                  </w:r>
                  <w:r>
                    <w:rPr>
                      <w:rFonts w:hint="eastAsia" w:ascii="Times New Roman" w:hAnsi="Times New Roman" w:eastAsia="宋体" w:cs="Times New Roman"/>
                      <w:color w:val="auto"/>
                      <w:sz w:val="21"/>
                      <w:szCs w:val="21"/>
                      <w:highlight w:val="none"/>
                      <w:vertAlign w:val="baseline"/>
                      <w:lang w:val="en-US" w:eastAsia="zh-CN"/>
                    </w:rPr>
                    <w:t>；生产废水</w:t>
                  </w:r>
                  <w:r>
                    <w:rPr>
                      <w:rFonts w:hint="default" w:ascii="Times New Roman" w:hAnsi="Times New Roman" w:eastAsia="宋体" w:cs="Times New Roman"/>
                      <w:color w:val="auto"/>
                      <w:sz w:val="21"/>
                      <w:szCs w:val="21"/>
                      <w:highlight w:val="none"/>
                      <w:vertAlign w:val="baseline"/>
                      <w:lang w:val="en-US" w:eastAsia="zh-CN"/>
                    </w:rPr>
                    <w:t>排入三级隔油沉淀池处理</w:t>
                  </w:r>
                  <w:r>
                    <w:rPr>
                      <w:rFonts w:hint="eastAsia" w:ascii="Times New Roman" w:hAnsi="Times New Roman" w:eastAsia="宋体" w:cs="Times New Roman"/>
                      <w:color w:val="auto"/>
                      <w:sz w:val="21"/>
                      <w:szCs w:val="21"/>
                      <w:highlight w:val="none"/>
                      <w:vertAlign w:val="baseline"/>
                      <w:lang w:val="en-US" w:eastAsia="zh-CN"/>
                    </w:rPr>
                    <w:t>后回</w:t>
                  </w:r>
                  <w:r>
                    <w:rPr>
                      <w:rFonts w:hint="default" w:ascii="Times New Roman" w:hAnsi="Times New Roman" w:eastAsia="宋体" w:cs="Times New Roman"/>
                      <w:color w:val="auto"/>
                      <w:sz w:val="21"/>
                      <w:szCs w:val="21"/>
                      <w:highlight w:val="none"/>
                      <w:vertAlign w:val="baseline"/>
                      <w:lang w:val="en-US" w:eastAsia="zh-CN"/>
                    </w:rPr>
                    <w:t>用地面冲洗</w:t>
                  </w:r>
                  <w:r>
                    <w:rPr>
                      <w:rFonts w:hint="eastAsia" w:ascii="Times New Roman" w:hAnsi="Times New Roman" w:eastAsia="宋体" w:cs="Times New Roman"/>
                      <w:color w:val="auto"/>
                      <w:sz w:val="21"/>
                      <w:szCs w:val="21"/>
                      <w:highlight w:val="none"/>
                      <w:vertAlign w:val="baseline"/>
                      <w:lang w:val="en-US" w:eastAsia="zh-CN"/>
                    </w:rPr>
                    <w:t>及洒水降尘</w:t>
                  </w:r>
                </w:p>
              </w:tc>
              <w:tc>
                <w:tcPr>
                  <w:tcW w:w="908" w:type="pct"/>
                  <w:noWrap w:val="0"/>
                  <w:vAlign w:val="center"/>
                </w:tcPr>
                <w:p w14:paraId="71022D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项目不新增排口，废水排放方式不变，</w:t>
                  </w:r>
                  <w:r>
                    <w:rPr>
                      <w:rFonts w:hint="eastAsia" w:ascii="Times New Roman" w:hAnsi="Times New Roman" w:eastAsia="宋体" w:cs="Times New Roman"/>
                      <w:color w:val="auto"/>
                      <w:sz w:val="21"/>
                      <w:szCs w:val="21"/>
                      <w:highlight w:val="none"/>
                      <w:vertAlign w:val="baseline"/>
                      <w:lang w:val="en-US" w:eastAsia="zh-CN"/>
                    </w:rPr>
                    <w:t>不属于重大变更</w:t>
                  </w:r>
                </w:p>
              </w:tc>
            </w:tr>
            <w:tr w14:paraId="782B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Merge w:val="continue"/>
                  <w:noWrap w:val="0"/>
                  <w:vAlign w:val="center"/>
                </w:tcPr>
                <w:p w14:paraId="77D760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p>
              </w:tc>
              <w:tc>
                <w:tcPr>
                  <w:tcW w:w="1811" w:type="pct"/>
                  <w:noWrap w:val="0"/>
                  <w:vAlign w:val="center"/>
                </w:tcPr>
                <w:p w14:paraId="13DD10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噪声、土壤或地下水污染防治措施变化，导致不利环境影响加重的</w:t>
                  </w:r>
                </w:p>
              </w:tc>
              <w:tc>
                <w:tcPr>
                  <w:tcW w:w="927" w:type="pct"/>
                  <w:noWrap w:val="0"/>
                  <w:vAlign w:val="center"/>
                </w:tcPr>
                <w:p w14:paraId="58EBEE02">
                  <w:pPr>
                    <w:pStyle w:val="8"/>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rPr>
                      <w:rFonts w:hint="eastAsia" w:ascii="Times New Roman" w:hAnsi="Times New Roman" w:eastAsia="宋体" w:cs="Times New Roman"/>
                      <w:bCs w:val="0"/>
                      <w:i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Cs w:val="0"/>
                      <w:i w:val="0"/>
                      <w:caps w:val="0"/>
                      <w:color w:val="auto"/>
                      <w:spacing w:val="0"/>
                      <w:kern w:val="2"/>
                      <w:sz w:val="21"/>
                      <w:szCs w:val="21"/>
                      <w:shd w:val="clear" w:color="auto" w:fill="FFFFFF"/>
                      <w:lang w:val="en-US" w:eastAsia="zh-CN" w:bidi="ar-SA"/>
                    </w:rPr>
                    <w:t>噪声：</w:t>
                  </w:r>
                  <w:r>
                    <w:rPr>
                      <w:rFonts w:hint="default" w:ascii="Times New Roman" w:hAnsi="Times New Roman" w:eastAsia="宋体" w:cs="Times New Roman"/>
                      <w:bCs w:val="0"/>
                      <w:i w:val="0"/>
                      <w:caps w:val="0"/>
                      <w:color w:val="auto"/>
                      <w:spacing w:val="0"/>
                      <w:kern w:val="2"/>
                      <w:sz w:val="21"/>
                      <w:szCs w:val="21"/>
                      <w:shd w:val="clear" w:color="auto" w:fill="FFFFFF"/>
                      <w:lang w:val="en-US" w:eastAsia="zh-CN" w:bidi="ar-SA"/>
                    </w:rPr>
                    <w:t>选用低噪音设备，采取基础减震、厂房隔音、设备消声器等措施</w:t>
                  </w:r>
                  <w:r>
                    <w:rPr>
                      <w:rFonts w:hint="eastAsia" w:ascii="Times New Roman" w:hAnsi="Times New Roman" w:eastAsia="宋体" w:cs="Times New Roman"/>
                      <w:bCs w:val="0"/>
                      <w:i w:val="0"/>
                      <w:caps w:val="0"/>
                      <w:color w:val="auto"/>
                      <w:spacing w:val="0"/>
                      <w:kern w:val="2"/>
                      <w:sz w:val="21"/>
                      <w:szCs w:val="21"/>
                      <w:shd w:val="clear" w:color="auto" w:fill="FFFFFF"/>
                      <w:lang w:val="en-US" w:eastAsia="zh-CN" w:bidi="ar-SA"/>
                    </w:rPr>
                    <w:t>；</w:t>
                  </w:r>
                </w:p>
                <w:p w14:paraId="2BFF733E">
                  <w:pPr>
                    <w:pStyle w:val="8"/>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宋体" w:cs="Times New Roman"/>
                      <w:bCs w:val="0"/>
                      <w:i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Cs w:val="0"/>
                      <w:i w:val="0"/>
                      <w:caps w:val="0"/>
                      <w:color w:val="auto"/>
                      <w:spacing w:val="0"/>
                      <w:kern w:val="2"/>
                      <w:sz w:val="21"/>
                      <w:szCs w:val="21"/>
                      <w:shd w:val="clear" w:color="auto" w:fill="FFFFFF"/>
                      <w:lang w:val="en-US" w:eastAsia="zh-CN" w:bidi="ar-SA"/>
                    </w:rPr>
                    <w:t>土壤及地下水：设置重点防渗措施</w:t>
                  </w:r>
                </w:p>
              </w:tc>
              <w:tc>
                <w:tcPr>
                  <w:tcW w:w="1061" w:type="pct"/>
                  <w:noWrap w:val="0"/>
                  <w:vAlign w:val="center"/>
                </w:tcPr>
                <w:p w14:paraId="17925BB6">
                  <w:pPr>
                    <w:pStyle w:val="8"/>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0" w:firstLineChars="0"/>
                    <w:jc w:val="center"/>
                    <w:textAlignment w:val="auto"/>
                    <w:rPr>
                      <w:rFonts w:hint="eastAsia" w:ascii="Times New Roman" w:hAnsi="Times New Roman" w:eastAsia="宋体" w:cs="Times New Roman"/>
                      <w:bCs w:val="0"/>
                      <w:i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Cs w:val="0"/>
                      <w:i w:val="0"/>
                      <w:caps w:val="0"/>
                      <w:color w:val="auto"/>
                      <w:spacing w:val="0"/>
                      <w:kern w:val="2"/>
                      <w:sz w:val="21"/>
                      <w:szCs w:val="21"/>
                      <w:shd w:val="clear" w:color="auto" w:fill="FFFFFF"/>
                      <w:lang w:val="en-US" w:eastAsia="zh-CN" w:bidi="ar-SA"/>
                    </w:rPr>
                    <w:t>噪声：</w:t>
                  </w:r>
                  <w:r>
                    <w:rPr>
                      <w:rFonts w:hint="default" w:ascii="Times New Roman" w:hAnsi="Times New Roman" w:eastAsia="宋体" w:cs="Times New Roman"/>
                      <w:bCs w:val="0"/>
                      <w:i w:val="0"/>
                      <w:caps w:val="0"/>
                      <w:color w:val="auto"/>
                      <w:spacing w:val="0"/>
                      <w:kern w:val="2"/>
                      <w:sz w:val="21"/>
                      <w:szCs w:val="21"/>
                      <w:shd w:val="clear" w:color="auto" w:fill="FFFFFF"/>
                      <w:lang w:val="en-US" w:eastAsia="zh-CN" w:bidi="ar-SA"/>
                    </w:rPr>
                    <w:t>选用低噪音设备，采取基础减震、厂房隔音、设备消声器等措施</w:t>
                  </w:r>
                  <w:r>
                    <w:rPr>
                      <w:rFonts w:hint="eastAsia" w:ascii="Times New Roman" w:hAnsi="Times New Roman" w:eastAsia="宋体" w:cs="Times New Roman"/>
                      <w:bCs w:val="0"/>
                      <w:i w:val="0"/>
                      <w:caps w:val="0"/>
                      <w:color w:val="auto"/>
                      <w:spacing w:val="0"/>
                      <w:kern w:val="2"/>
                      <w:sz w:val="21"/>
                      <w:szCs w:val="21"/>
                      <w:shd w:val="clear" w:color="auto" w:fill="FFFFFF"/>
                      <w:lang w:val="en-US" w:eastAsia="zh-CN" w:bidi="ar-SA"/>
                    </w:rPr>
                    <w:t>；</w:t>
                  </w:r>
                </w:p>
                <w:p w14:paraId="141967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bCs w:val="0"/>
                      <w:i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Cs w:val="0"/>
                      <w:i w:val="0"/>
                      <w:caps w:val="0"/>
                      <w:color w:val="auto"/>
                      <w:spacing w:val="0"/>
                      <w:kern w:val="2"/>
                      <w:sz w:val="21"/>
                      <w:szCs w:val="21"/>
                      <w:shd w:val="clear" w:color="auto" w:fill="FFFFFF"/>
                      <w:lang w:val="en-US" w:eastAsia="zh-CN" w:bidi="ar-SA"/>
                    </w:rPr>
                    <w:t>土壤及地下水：防渗重点措施</w:t>
                  </w:r>
                </w:p>
              </w:tc>
              <w:tc>
                <w:tcPr>
                  <w:tcW w:w="908" w:type="pct"/>
                  <w:noWrap w:val="0"/>
                  <w:vAlign w:val="center"/>
                </w:tcPr>
                <w:p w14:paraId="0232F8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Cs w:val="0"/>
                      <w:i w:val="0"/>
                      <w:caps w:val="0"/>
                      <w:color w:val="auto"/>
                      <w:spacing w:val="0"/>
                      <w:kern w:val="2"/>
                      <w:sz w:val="21"/>
                      <w:szCs w:val="21"/>
                      <w:shd w:val="clear" w:color="auto" w:fill="FFFFFF"/>
                      <w:lang w:val="en-US" w:eastAsia="zh-CN" w:bidi="ar-SA"/>
                    </w:rPr>
                  </w:pPr>
                  <w:r>
                    <w:rPr>
                      <w:rFonts w:hint="default" w:ascii="Times New Roman" w:hAnsi="Times New Roman" w:eastAsia="宋体" w:cs="Times New Roman"/>
                      <w:i w:val="0"/>
                      <w:caps w:val="0"/>
                      <w:color w:val="auto"/>
                      <w:spacing w:val="0"/>
                      <w:sz w:val="21"/>
                      <w:szCs w:val="21"/>
                      <w:shd w:val="clear" w:color="auto" w:fill="FFFFFF"/>
                    </w:rPr>
                    <w:t>噪声、土壤或地下水污染防治措施变化</w:t>
                  </w:r>
                  <w:r>
                    <w:rPr>
                      <w:rFonts w:hint="eastAsia" w:ascii="Times New Roman" w:hAnsi="Times New Roman" w:eastAsia="宋体" w:cs="Times New Roman"/>
                      <w:i w:val="0"/>
                      <w:caps w:val="0"/>
                      <w:color w:val="auto"/>
                      <w:spacing w:val="0"/>
                      <w:sz w:val="21"/>
                      <w:szCs w:val="21"/>
                      <w:shd w:val="clear" w:color="auto" w:fill="FFFFFF"/>
                      <w:lang w:val="en-US" w:eastAsia="zh-CN"/>
                    </w:rPr>
                    <w:t>未</w:t>
                  </w:r>
                  <w:r>
                    <w:rPr>
                      <w:rFonts w:hint="default" w:ascii="Times New Roman" w:hAnsi="Times New Roman" w:eastAsia="宋体" w:cs="Times New Roman"/>
                      <w:i w:val="0"/>
                      <w:caps w:val="0"/>
                      <w:color w:val="auto"/>
                      <w:spacing w:val="0"/>
                      <w:sz w:val="21"/>
                      <w:szCs w:val="21"/>
                      <w:shd w:val="clear" w:color="auto" w:fill="FFFFFF"/>
                    </w:rPr>
                    <w:t>导致不利环境影响加重</w:t>
                  </w:r>
                  <w:r>
                    <w:rPr>
                      <w:rFonts w:hint="eastAsia" w:ascii="Times New Roman" w:hAnsi="Times New Roman"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不属于重大变更</w:t>
                  </w:r>
                </w:p>
              </w:tc>
            </w:tr>
            <w:tr w14:paraId="3E85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Merge w:val="continue"/>
                  <w:noWrap w:val="0"/>
                  <w:vAlign w:val="center"/>
                </w:tcPr>
                <w:p w14:paraId="0BA197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p>
              </w:tc>
              <w:tc>
                <w:tcPr>
                  <w:tcW w:w="1811" w:type="pct"/>
                  <w:noWrap w:val="0"/>
                  <w:vAlign w:val="center"/>
                </w:tcPr>
                <w:p w14:paraId="566F90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固体废物利用处置方式由委托外单位利用处置改为自行利用处置的（自行利用处置设施单独开展环境影响评价的除外）；固体废物自行处置方式变化，导致不利环境影响加重的</w:t>
                  </w:r>
                </w:p>
              </w:tc>
              <w:tc>
                <w:tcPr>
                  <w:tcW w:w="927" w:type="pct"/>
                  <w:noWrap w:val="0"/>
                  <w:vAlign w:val="center"/>
                </w:tcPr>
                <w:p w14:paraId="156516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lang w:val="en-US" w:eastAsia="zh-CN"/>
                    </w:rPr>
                    <w:t>项目产生的一般固废回用或者委托处理；危险废物委托有资质单位处理</w:t>
                  </w:r>
                </w:p>
              </w:tc>
              <w:tc>
                <w:tcPr>
                  <w:tcW w:w="1061" w:type="pct"/>
                  <w:noWrap w:val="0"/>
                  <w:vAlign w:val="center"/>
                </w:tcPr>
                <w:p w14:paraId="1EDCED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lang w:val="en-US" w:eastAsia="zh-CN"/>
                    </w:rPr>
                    <w:t>项目产生的一般固废回用或者委托处理；危险废物委托有资质单位处理</w:t>
                  </w:r>
                </w:p>
              </w:tc>
              <w:tc>
                <w:tcPr>
                  <w:tcW w:w="908" w:type="pct"/>
                  <w:noWrap w:val="0"/>
                  <w:vAlign w:val="center"/>
                </w:tcPr>
                <w:p w14:paraId="0F5C62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宋体" w:eastAsia="宋体"/>
                      <w:color w:val="auto"/>
                      <w:sz w:val="21"/>
                      <w:szCs w:val="21"/>
                      <w:highlight w:val="none"/>
                      <w:lang w:val="en-US" w:eastAsia="zh-CN"/>
                    </w:rPr>
                    <w:t>一般固废和危险废物处理方式未发生变化，不属于重大变更</w:t>
                  </w:r>
                </w:p>
              </w:tc>
            </w:tr>
            <w:tr w14:paraId="63BB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Merge w:val="continue"/>
                  <w:noWrap w:val="0"/>
                  <w:vAlign w:val="center"/>
                </w:tcPr>
                <w:p w14:paraId="415F98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p>
              </w:tc>
              <w:tc>
                <w:tcPr>
                  <w:tcW w:w="1811" w:type="pct"/>
                  <w:noWrap w:val="0"/>
                  <w:vAlign w:val="center"/>
                </w:tcPr>
                <w:p w14:paraId="701938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both"/>
                    <w:textAlignment w:val="auto"/>
                    <w:outlineLvl w:val="9"/>
                    <w:rPr>
                      <w:rFonts w:hint="default" w:ascii="Times New Roman" w:hAnsi="Times New Roman" w:eastAsia="宋体" w:cs="Times New Roman"/>
                      <w:i w:val="0"/>
                      <w:caps w:val="0"/>
                      <w:color w:val="auto"/>
                      <w:spacing w:val="0"/>
                      <w:sz w:val="21"/>
                      <w:szCs w:val="21"/>
                      <w:shd w:val="clear" w:color="auto" w:fill="FFFFFF"/>
                    </w:rPr>
                  </w:pPr>
                  <w:r>
                    <w:rPr>
                      <w:rFonts w:hint="default" w:ascii="Times New Roman" w:hAnsi="Times New Roman" w:eastAsia="宋体" w:cs="Times New Roman"/>
                      <w:i w:val="0"/>
                      <w:caps w:val="0"/>
                      <w:color w:val="auto"/>
                      <w:spacing w:val="0"/>
                      <w:sz w:val="21"/>
                      <w:szCs w:val="21"/>
                      <w:shd w:val="clear" w:color="auto" w:fill="FFFFFF"/>
                    </w:rPr>
                    <w:t>事故废水暂存能力或拦截设施变化，导致环境风险防范能力弱化或降低的</w:t>
                  </w:r>
                </w:p>
              </w:tc>
              <w:tc>
                <w:tcPr>
                  <w:tcW w:w="927" w:type="pct"/>
                  <w:noWrap w:val="0"/>
                  <w:vAlign w:val="center"/>
                </w:tcPr>
                <w:p w14:paraId="27278F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未设置</w:t>
                  </w:r>
                  <w:r>
                    <w:rPr>
                      <w:rFonts w:hint="default" w:ascii="Times New Roman" w:hAnsi="Times New Roman" w:eastAsia="宋体" w:cs="宋体"/>
                      <w:color w:val="auto"/>
                      <w:sz w:val="21"/>
                      <w:szCs w:val="21"/>
                      <w:lang w:val="en-US" w:eastAsia="zh-CN"/>
                    </w:rPr>
                    <w:t>事故水池</w:t>
                  </w:r>
                  <w:r>
                    <w:rPr>
                      <w:rFonts w:hint="eastAsia" w:ascii="Times New Roman" w:hAnsi="Times New Roman" w:eastAsia="宋体" w:cs="宋体"/>
                      <w:color w:val="auto"/>
                      <w:sz w:val="21"/>
                      <w:szCs w:val="21"/>
                      <w:lang w:val="en-US" w:eastAsia="zh-CN"/>
                    </w:rPr>
                    <w:t>。</w:t>
                  </w:r>
                </w:p>
              </w:tc>
              <w:tc>
                <w:tcPr>
                  <w:tcW w:w="1061" w:type="pct"/>
                  <w:noWrap w:val="0"/>
                  <w:vAlign w:val="center"/>
                </w:tcPr>
                <w:p w14:paraId="180E47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both"/>
                    <w:textAlignment w:val="auto"/>
                    <w:outlineLvl w:val="9"/>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设置</w:t>
                  </w:r>
                  <w:r>
                    <w:rPr>
                      <w:rFonts w:hint="default" w:ascii="Times New Roman" w:hAnsi="Times New Roman" w:eastAsia="宋体" w:cs="宋体"/>
                      <w:color w:val="auto"/>
                      <w:sz w:val="21"/>
                      <w:szCs w:val="21"/>
                      <w:lang w:val="en-US" w:eastAsia="zh-CN"/>
                    </w:rPr>
                    <w:t>1座</w:t>
                  </w:r>
                  <w:r>
                    <w:rPr>
                      <w:rFonts w:hint="eastAsia" w:ascii="Times New Roman" w:hAnsi="Times New Roman" w:eastAsia="宋体" w:cs="宋体"/>
                      <w:color w:val="auto"/>
                      <w:sz w:val="21"/>
                      <w:szCs w:val="21"/>
                      <w:lang w:val="en-US" w:eastAsia="zh-CN"/>
                    </w:rPr>
                    <w:t>容积</w:t>
                  </w:r>
                  <w:r>
                    <w:rPr>
                      <w:rFonts w:hint="eastAsia" w:cs="宋体"/>
                      <w:color w:val="auto"/>
                      <w:sz w:val="21"/>
                      <w:szCs w:val="21"/>
                      <w:lang w:val="en-US" w:eastAsia="zh-CN"/>
                    </w:rPr>
                    <w:t>3</w:t>
                  </w:r>
                  <w:r>
                    <w:rPr>
                      <w:rFonts w:hint="default" w:ascii="Times New Roman" w:hAnsi="Times New Roman" w:eastAsia="宋体" w:cs="宋体"/>
                      <w:color w:val="auto"/>
                      <w:sz w:val="21"/>
                      <w:szCs w:val="21"/>
                      <w:lang w:val="en-US" w:eastAsia="zh-CN"/>
                    </w:rPr>
                    <w:t>0m³事故水池用于收集暂存事故废水</w:t>
                  </w:r>
                </w:p>
              </w:tc>
              <w:tc>
                <w:tcPr>
                  <w:tcW w:w="908" w:type="pct"/>
                  <w:noWrap w:val="0"/>
                  <w:vAlign w:val="center"/>
                </w:tcPr>
                <w:p w14:paraId="3E551F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86" w:rightChars="36"/>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宋体"/>
                      <w:bCs/>
                      <w:color w:val="auto"/>
                      <w:sz w:val="21"/>
                      <w:szCs w:val="21"/>
                      <w:highlight w:val="none"/>
                      <w:lang w:val="en-US" w:eastAsia="zh-CN"/>
                    </w:rPr>
                    <w:t>新增1座事故水池，加强</w:t>
                  </w:r>
                  <w:r>
                    <w:rPr>
                      <w:rFonts w:hint="default" w:ascii="Times New Roman" w:hAnsi="Times New Roman" w:eastAsia="宋体" w:cs="Times New Roman"/>
                      <w:i w:val="0"/>
                      <w:caps w:val="0"/>
                      <w:color w:val="auto"/>
                      <w:spacing w:val="0"/>
                      <w:sz w:val="21"/>
                      <w:szCs w:val="21"/>
                      <w:shd w:val="clear" w:color="auto" w:fill="FFFFFF"/>
                    </w:rPr>
                    <w:t>环境风险防范能力</w:t>
                  </w:r>
                  <w:r>
                    <w:rPr>
                      <w:rFonts w:hint="eastAsia" w:ascii="Times New Roman" w:hAnsi="Times New Roman" w:eastAsia="宋体" w:cs="Times New Roman"/>
                      <w:i w:val="0"/>
                      <w:caps w:val="0"/>
                      <w:color w:val="auto"/>
                      <w:spacing w:val="0"/>
                      <w:sz w:val="21"/>
                      <w:szCs w:val="21"/>
                      <w:shd w:val="clear" w:color="auto" w:fill="FFFFFF"/>
                      <w:lang w:eastAsia="zh-CN"/>
                    </w:rPr>
                    <w:t>，</w:t>
                  </w:r>
                  <w:r>
                    <w:rPr>
                      <w:rFonts w:hint="eastAsia" w:ascii="Times New Roman" w:hAnsi="Times New Roman" w:eastAsia="宋体" w:cs="Times New Roman"/>
                      <w:color w:val="auto"/>
                      <w:sz w:val="21"/>
                      <w:szCs w:val="21"/>
                      <w:highlight w:val="none"/>
                      <w:vertAlign w:val="baseline"/>
                      <w:lang w:val="en-US" w:eastAsia="zh-CN"/>
                    </w:rPr>
                    <w:t>不属于重大变更</w:t>
                  </w:r>
                </w:p>
              </w:tc>
            </w:tr>
          </w:tbl>
          <w:p w14:paraId="46662089">
            <w:pPr>
              <w:pStyle w:val="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pacing w:val="0"/>
                <w:kern w:val="0"/>
                <w:sz w:val="24"/>
                <w:szCs w:val="24"/>
                <w:lang w:val="en-US" w:eastAsia="zh-CN" w:bidi="ar-SA"/>
              </w:rPr>
              <w:t>根据《中华人民共和国环境影响评价法》、《建设项目环境保护管理条例》和《云南省建设项目环境保护管理规定》的规定，建设项目必须履行环境影响评价制度。</w:t>
            </w:r>
            <w:r>
              <w:rPr>
                <w:rFonts w:hint="eastAsia" w:ascii="Times New Roman" w:hAnsi="Times New Roman" w:eastAsia="宋体" w:cs="Times New Roman"/>
                <w:color w:val="auto"/>
                <w:spacing w:val="0"/>
                <w:kern w:val="0"/>
                <w:sz w:val="24"/>
                <w:szCs w:val="24"/>
                <w:lang w:val="en-US" w:eastAsia="zh-CN" w:bidi="ar-SA"/>
              </w:rPr>
              <w:t>根据《建设项目环境影响评价分类管理名录》（2021年版，2021年1月1日起施行），“二十七、非金属矿物制品业30-石墨及其他非金属矿物制品制造（309）-其他”需编制环境影响报告表。</w:t>
            </w:r>
            <w:r>
              <w:rPr>
                <w:rFonts w:hint="default"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w:t>
            </w:r>
            <w:r>
              <w:rPr>
                <w:rFonts w:hint="eastAsia" w:cs="Times New Roman"/>
                <w:color w:val="auto"/>
                <w:sz w:val="24"/>
                <w:lang w:val="en-US" w:eastAsia="zh-CN"/>
              </w:rPr>
              <w:t>11</w:t>
            </w:r>
            <w:r>
              <w:rPr>
                <w:rFonts w:hint="default" w:ascii="Times New Roman" w:hAnsi="Times New Roman" w:eastAsia="宋体" w:cs="Times New Roman"/>
                <w:color w:val="auto"/>
                <w:sz w:val="24"/>
              </w:rPr>
              <w:t>月</w:t>
            </w:r>
            <w:r>
              <w:rPr>
                <w:rFonts w:hint="eastAsia" w:cs="Times New Roman"/>
                <w:color w:val="auto"/>
                <w:sz w:val="24"/>
                <w:lang w:eastAsia="zh-CN"/>
              </w:rPr>
              <w:t>，我公司在</w:t>
            </w:r>
            <w:r>
              <w:rPr>
                <w:rFonts w:hint="default" w:ascii="Times New Roman" w:hAnsi="Times New Roman" w:eastAsia="宋体" w:cs="Times New Roman"/>
                <w:color w:val="auto"/>
                <w:sz w:val="24"/>
              </w:rPr>
              <w:t>接受建设单位委托后，公司派专职人员进行了现场踏勘及收集相关资料，在此基础上根据国家环保法律法规、标准和环境影响评价技术导则，</w:t>
            </w:r>
            <w:r>
              <w:rPr>
                <w:rFonts w:hint="eastAsia" w:cs="Times New Roman"/>
                <w:color w:val="auto"/>
                <w:sz w:val="24"/>
                <w:lang w:val="en-US" w:eastAsia="zh-CN"/>
              </w:rPr>
              <w:t>重新</w:t>
            </w:r>
            <w:r>
              <w:rPr>
                <w:rFonts w:hint="default" w:ascii="Times New Roman" w:hAnsi="Times New Roman" w:eastAsia="宋体" w:cs="Times New Roman"/>
                <w:color w:val="auto"/>
                <w:sz w:val="24"/>
              </w:rPr>
              <w:t>编制了</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rPr>
              <w:t>瑞丽市富康路桥工程有限公司新型墙材厂及沥青混凝土拌合站项目（一期）</w:t>
            </w:r>
            <w:r>
              <w:rPr>
                <w:rFonts w:hint="default" w:ascii="Times New Roman" w:hAnsi="Times New Roman" w:eastAsia="宋体" w:cs="Times New Roman"/>
                <w:color w:val="auto"/>
                <w:sz w:val="24"/>
                <w:szCs w:val="24"/>
              </w:rPr>
              <w:t>环境</w:t>
            </w:r>
            <w:r>
              <w:rPr>
                <w:rFonts w:hint="default" w:ascii="Times New Roman" w:hAnsi="Times New Roman" w:eastAsia="宋体" w:cs="Times New Roman"/>
                <w:color w:val="auto"/>
                <w:sz w:val="24"/>
              </w:rPr>
              <w:t>影响报告表</w:t>
            </w:r>
            <w:r>
              <w:rPr>
                <w:rFonts w:hint="default" w:ascii="Times New Roman" w:hAnsi="Times New Roman" w:eastAsia="宋体" w:cs="Times New Roman"/>
                <w:color w:val="auto"/>
                <w:sz w:val="24"/>
                <w:lang w:eastAsia="zh-CN"/>
              </w:rPr>
              <w:t>（送审稿）</w:t>
            </w:r>
            <w:r>
              <w:rPr>
                <w:rFonts w:hint="default" w:ascii="Times New Roman" w:hAnsi="Times New Roman" w:eastAsia="宋体" w:cs="Times New Roman"/>
                <w:color w:val="auto"/>
                <w:sz w:val="24"/>
              </w:rPr>
              <w:t>》，供建设单位上报审查。</w:t>
            </w:r>
          </w:p>
          <w:p w14:paraId="656BB700">
            <w:pPr>
              <w:ind w:firstLine="480"/>
              <w:rPr>
                <w:rFonts w:hint="default" w:eastAsia="宋体"/>
                <w:b/>
                <w:bCs/>
                <w:color w:val="auto"/>
                <w:highlight w:val="none"/>
                <w:lang w:val="en-US" w:eastAsia="zh-CN"/>
              </w:rPr>
            </w:pPr>
            <w:r>
              <w:rPr>
                <w:rFonts w:hint="eastAsia"/>
                <w:b/>
                <w:bCs/>
                <w:color w:val="auto"/>
                <w:highlight w:val="none"/>
                <w:lang w:val="en-US" w:eastAsia="zh-CN"/>
              </w:rPr>
              <w:t>2、建设内容</w:t>
            </w:r>
          </w:p>
          <w:p w14:paraId="4282706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项目名称：瑞丽市富康路桥工程有限公司新型墙材厂及沥青混凝土拌合站项目（一期）</w:t>
            </w:r>
          </w:p>
          <w:p w14:paraId="63DD01A5">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建设单位：瑞丽市富康路桥工程有限公司</w:t>
            </w:r>
          </w:p>
          <w:p w14:paraId="3183B0EA">
            <w:pPr>
              <w:adjustRightInd w:val="0"/>
              <w:snapToGrid w:val="0"/>
              <w:spacing w:line="360" w:lineRule="auto"/>
              <w:ind w:firstLine="480" w:firstLineChars="200"/>
              <w:rPr>
                <w:rFonts w:hint="eastAsia"/>
                <w:color w:val="auto"/>
                <w:szCs w:val="21"/>
                <w:lang w:val="en-US" w:eastAsia="zh-CN"/>
              </w:rPr>
            </w:pPr>
            <w:r>
              <w:rPr>
                <w:rFonts w:hint="default" w:ascii="Times New Roman" w:hAnsi="Times New Roman" w:cs="Times New Roman"/>
                <w:color w:val="auto"/>
                <w:sz w:val="24"/>
              </w:rPr>
              <w:t>建设地点：德宏州芒市帕底工业园区等岗组团</w:t>
            </w:r>
          </w:p>
          <w:p w14:paraId="5298AAB4">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建设性质：新建</w:t>
            </w:r>
          </w:p>
          <w:p w14:paraId="4B21BBE6">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eastAsia="宋体" w:cs="Times New Roman"/>
                <w:color w:val="auto"/>
                <w:sz w:val="24"/>
              </w:rPr>
              <w:t>建设规模：</w:t>
            </w:r>
            <w:r>
              <w:rPr>
                <w:rFonts w:hint="eastAsia" w:cs="Times New Roman"/>
                <w:color w:val="auto"/>
                <w:sz w:val="24"/>
                <w:lang w:val="en-US" w:eastAsia="zh-CN"/>
              </w:rPr>
              <w:t>一期</w:t>
            </w:r>
            <w:r>
              <w:rPr>
                <w:rFonts w:hint="default" w:ascii="Times New Roman" w:hAnsi="Times New Roman" w:cs="Times New Roman"/>
                <w:color w:val="auto"/>
                <w:sz w:val="24"/>
                <w:lang w:bidi="ar"/>
              </w:rPr>
              <w:t>建设2条沥青混凝土生产线，</w:t>
            </w:r>
            <w:r>
              <w:rPr>
                <w:rFonts w:hint="eastAsia" w:cs="Times New Roman"/>
                <w:color w:val="auto"/>
                <w:sz w:val="24"/>
                <w:lang w:val="en-US" w:eastAsia="zh-CN" w:bidi="ar"/>
              </w:rPr>
              <w:t>其中1#1000型混凝土生产线</w:t>
            </w:r>
            <w:r>
              <w:rPr>
                <w:rFonts w:hint="default" w:ascii="Times New Roman" w:hAnsi="Times New Roman" w:eastAsia="宋体" w:cs="Times New Roman"/>
                <w:color w:val="auto"/>
                <w:sz w:val="24"/>
              </w:rPr>
              <w:t>年产沥青混凝</w:t>
            </w:r>
            <w:r>
              <w:rPr>
                <w:rFonts w:hint="default" w:ascii="Times New Roman" w:hAnsi="Times New Roman" w:cs="Times New Roman"/>
                <w:color w:val="auto"/>
                <w:sz w:val="24"/>
                <w:lang w:bidi="ar"/>
              </w:rPr>
              <w:t>土</w:t>
            </w:r>
            <w:r>
              <w:rPr>
                <w:rFonts w:hint="eastAsia" w:cs="Times New Roman"/>
                <w:color w:val="auto"/>
                <w:sz w:val="24"/>
                <w:lang w:val="en-US" w:eastAsia="zh-CN" w:bidi="ar"/>
              </w:rPr>
              <w:t>9.6</w:t>
            </w:r>
            <w:r>
              <w:rPr>
                <w:rFonts w:hint="default" w:ascii="Times New Roman" w:hAnsi="Times New Roman" w:cs="Times New Roman"/>
                <w:color w:val="auto"/>
                <w:sz w:val="24"/>
                <w:lang w:bidi="ar"/>
              </w:rPr>
              <w:t>万t/a</w:t>
            </w:r>
            <w:r>
              <w:rPr>
                <w:rFonts w:hint="eastAsia" w:cs="Times New Roman"/>
                <w:color w:val="auto"/>
                <w:sz w:val="24"/>
                <w:lang w:val="en-US" w:eastAsia="zh-CN" w:bidi="ar"/>
              </w:rPr>
              <w:t>，2#4000型混凝土生产线</w:t>
            </w:r>
            <w:r>
              <w:rPr>
                <w:rFonts w:hint="default" w:ascii="Times New Roman" w:hAnsi="Times New Roman" w:eastAsia="宋体" w:cs="Times New Roman"/>
                <w:color w:val="auto"/>
                <w:sz w:val="24"/>
              </w:rPr>
              <w:t>年产沥青混凝</w:t>
            </w:r>
            <w:r>
              <w:rPr>
                <w:rFonts w:hint="default" w:ascii="Times New Roman" w:hAnsi="Times New Roman" w:cs="Times New Roman"/>
                <w:color w:val="auto"/>
                <w:sz w:val="24"/>
                <w:lang w:bidi="ar"/>
              </w:rPr>
              <w:t>土</w:t>
            </w:r>
            <w:r>
              <w:rPr>
                <w:rFonts w:hint="eastAsia" w:cs="Times New Roman"/>
                <w:color w:val="auto"/>
                <w:sz w:val="24"/>
                <w:lang w:val="en-US" w:eastAsia="zh-CN" w:bidi="ar"/>
              </w:rPr>
              <w:t>38.4</w:t>
            </w:r>
            <w:r>
              <w:rPr>
                <w:rFonts w:hint="default" w:ascii="Times New Roman" w:hAnsi="Times New Roman" w:cs="Times New Roman"/>
                <w:color w:val="auto"/>
                <w:sz w:val="24"/>
                <w:lang w:bidi="ar"/>
              </w:rPr>
              <w:t>万t/a</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整个厂区共计</w:t>
            </w:r>
            <w:r>
              <w:rPr>
                <w:rFonts w:hint="default" w:ascii="Times New Roman" w:hAnsi="Times New Roman" w:eastAsia="宋体" w:cs="Times New Roman"/>
                <w:color w:val="auto"/>
                <w:sz w:val="24"/>
              </w:rPr>
              <w:t>年产沥青混凝</w:t>
            </w:r>
            <w:r>
              <w:rPr>
                <w:rFonts w:hint="default" w:ascii="Times New Roman" w:hAnsi="Times New Roman" w:cs="Times New Roman"/>
                <w:color w:val="auto"/>
                <w:sz w:val="24"/>
                <w:lang w:bidi="ar"/>
              </w:rPr>
              <w:t>土</w:t>
            </w:r>
            <w:r>
              <w:rPr>
                <w:rFonts w:hint="eastAsia" w:cs="Times New Roman"/>
                <w:color w:val="auto"/>
                <w:sz w:val="24"/>
                <w:lang w:val="en-US" w:eastAsia="zh-CN" w:bidi="ar"/>
              </w:rPr>
              <w:t>48</w:t>
            </w:r>
            <w:r>
              <w:rPr>
                <w:rFonts w:hint="default" w:ascii="Times New Roman" w:hAnsi="Times New Roman" w:cs="Times New Roman"/>
                <w:color w:val="auto"/>
                <w:sz w:val="24"/>
                <w:lang w:bidi="ar"/>
              </w:rPr>
              <w:t>万t/a</w:t>
            </w:r>
            <w:r>
              <w:rPr>
                <w:rFonts w:hint="default" w:ascii="Times New Roman" w:hAnsi="Times New Roman" w:cs="Times New Roman"/>
                <w:color w:val="auto"/>
                <w:sz w:val="24"/>
              </w:rPr>
              <w:t>。</w:t>
            </w:r>
          </w:p>
          <w:p w14:paraId="5FE43A6E">
            <w:pPr>
              <w:autoSpaceDE w:val="0"/>
              <w:autoSpaceDN w:val="0"/>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项目投资情况：</w:t>
            </w:r>
            <w:r>
              <w:rPr>
                <w:rFonts w:hint="eastAsia" w:cs="Times New Roman"/>
                <w:color w:val="auto"/>
                <w:sz w:val="24"/>
                <w:lang w:val="en-US" w:eastAsia="zh-CN"/>
              </w:rPr>
              <w:t>本期</w:t>
            </w:r>
            <w:r>
              <w:rPr>
                <w:rFonts w:hint="default" w:ascii="Times New Roman" w:hAnsi="Times New Roman" w:cs="Times New Roman"/>
                <w:color w:val="auto"/>
                <w:sz w:val="24"/>
              </w:rPr>
              <w:t>总投资</w:t>
            </w:r>
            <w:r>
              <w:rPr>
                <w:rFonts w:hint="eastAsia" w:cs="Times New Roman"/>
                <w:color w:val="auto"/>
                <w:sz w:val="24"/>
                <w:lang w:val="en-US" w:eastAsia="zh-CN"/>
              </w:rPr>
              <w:t>3500</w:t>
            </w:r>
            <w:r>
              <w:rPr>
                <w:rFonts w:hint="default" w:ascii="Times New Roman" w:hAnsi="Times New Roman" w:cs="Times New Roman"/>
                <w:color w:val="auto"/>
                <w:sz w:val="24"/>
              </w:rPr>
              <w:t>万元，其中环保投资</w:t>
            </w:r>
            <w:r>
              <w:rPr>
                <w:rFonts w:hint="eastAsia" w:cs="Times New Roman"/>
                <w:color w:val="auto"/>
                <w:sz w:val="24"/>
                <w:lang w:val="en-US" w:eastAsia="zh-CN"/>
              </w:rPr>
              <w:t>169.3</w:t>
            </w:r>
            <w:r>
              <w:rPr>
                <w:rFonts w:hint="default" w:ascii="Times New Roman" w:hAnsi="Times New Roman" w:cs="Times New Roman"/>
                <w:color w:val="auto"/>
                <w:sz w:val="24"/>
              </w:rPr>
              <w:t>万元，占总投资的</w:t>
            </w:r>
            <w:r>
              <w:rPr>
                <w:rFonts w:hint="eastAsia" w:cs="Times New Roman"/>
                <w:color w:val="auto"/>
                <w:sz w:val="24"/>
                <w:lang w:val="en-US" w:eastAsia="zh-CN"/>
              </w:rPr>
              <w:t>4.84</w:t>
            </w:r>
            <w:r>
              <w:rPr>
                <w:rFonts w:hint="default" w:ascii="Times New Roman" w:hAnsi="Times New Roman" w:cs="Times New Roman"/>
                <w:color w:val="auto"/>
                <w:sz w:val="24"/>
              </w:rPr>
              <w:t>%。</w:t>
            </w:r>
          </w:p>
          <w:p w14:paraId="4EB80FC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eastAsia" w:cs="Times New Roman"/>
                <w:color w:val="auto"/>
                <w:sz w:val="24"/>
                <w:lang w:val="en-US" w:eastAsia="zh-CN"/>
              </w:rPr>
              <w:t>本期</w:t>
            </w:r>
            <w:r>
              <w:rPr>
                <w:rFonts w:hint="eastAsia" w:ascii="Times New Roman" w:hAnsi="Times New Roman" w:eastAsia="宋体" w:cs="Times New Roman"/>
                <w:color w:val="auto"/>
                <w:sz w:val="24"/>
                <w:lang w:val="en-US" w:eastAsia="zh-CN"/>
              </w:rPr>
              <w:t>规划用地面积</w:t>
            </w:r>
            <w:r>
              <w:rPr>
                <w:rFonts w:hint="eastAsia" w:cs="Times New Roman"/>
                <w:color w:val="auto"/>
                <w:sz w:val="24"/>
                <w:lang w:val="en-US" w:eastAsia="zh-CN"/>
              </w:rPr>
              <w:t>24206.47</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，总建筑面积</w:t>
            </w:r>
            <w:r>
              <w:rPr>
                <w:rFonts w:hint="default" w:ascii="Times New Roman" w:hAnsi="Times New Roman" w:cs="Times New Roman"/>
                <w:color w:val="auto"/>
                <w:sz w:val="24"/>
              </w:rPr>
              <w:t>9994.14</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。项目</w:t>
            </w:r>
            <w:r>
              <w:rPr>
                <w:rFonts w:hint="default" w:ascii="Times New Roman" w:hAnsi="Times New Roman" w:cs="Times New Roman"/>
                <w:color w:val="auto"/>
                <w:sz w:val="24"/>
                <w:lang w:bidi="ar"/>
              </w:rPr>
              <w:t>建设2条沥青混凝土生产线</w:t>
            </w:r>
            <w:r>
              <w:rPr>
                <w:rFonts w:hint="eastAsia" w:cs="Times New Roman"/>
                <w:color w:val="auto"/>
                <w:sz w:val="24"/>
                <w:lang w:eastAsia="zh-CN" w:bidi="ar"/>
              </w:rPr>
              <w:t>（</w:t>
            </w:r>
            <w:r>
              <w:rPr>
                <w:rFonts w:hint="eastAsia" w:cs="Times New Roman"/>
                <w:color w:val="auto"/>
                <w:sz w:val="24"/>
                <w:lang w:val="en-US" w:eastAsia="zh-CN" w:bidi="ar"/>
              </w:rPr>
              <w:t>1#1000型混凝土生产线和2#4000型混凝土生产线</w:t>
            </w:r>
            <w:r>
              <w:rPr>
                <w:rFonts w:hint="eastAsia" w:cs="Times New Roman"/>
                <w:color w:val="auto"/>
                <w:sz w:val="24"/>
                <w:lang w:eastAsia="zh-CN" w:bidi="ar"/>
              </w:rPr>
              <w:t>）</w:t>
            </w:r>
            <w:r>
              <w:rPr>
                <w:rFonts w:hint="eastAsia" w:ascii="Times New Roman" w:hAnsi="Times New Roman" w:cs="Times New Roman"/>
                <w:color w:val="auto"/>
                <w:sz w:val="24"/>
                <w:lang w:eastAsia="zh-CN" w:bidi="ar"/>
              </w:rPr>
              <w:t>，</w:t>
            </w:r>
            <w:r>
              <w:rPr>
                <w:rFonts w:hint="eastAsia" w:ascii="Times New Roman" w:hAnsi="Times New Roman" w:cs="Times New Roman"/>
                <w:color w:val="auto"/>
                <w:sz w:val="24"/>
                <w:lang w:val="en-US" w:eastAsia="zh-CN" w:bidi="ar"/>
              </w:rPr>
              <w:t>每条生产线分别</w:t>
            </w:r>
            <w:r>
              <w:rPr>
                <w:rFonts w:hint="eastAsia" w:cs="Times New Roman"/>
                <w:color w:val="auto"/>
                <w:sz w:val="24"/>
                <w:lang w:val="en-US" w:eastAsia="zh-CN"/>
              </w:rPr>
              <w:t>由</w:t>
            </w:r>
            <w:r>
              <w:rPr>
                <w:rFonts w:hint="default" w:ascii="Times New Roman" w:hAnsi="Times New Roman" w:eastAsia="宋体" w:cs="Times New Roman"/>
                <w:color w:val="auto"/>
                <w:sz w:val="24"/>
                <w:lang w:val="en-US" w:eastAsia="zh-CN"/>
              </w:rPr>
              <w:t>搅拌机组、冷骨料输送系统、骨料烘干加热系统、热骨料提升系统、热骨料筛分及贮存系统、粉料贮存及供给系统、称重计量系统</w:t>
            </w:r>
            <w:r>
              <w:rPr>
                <w:rFonts w:hint="eastAsia" w:ascii="Times New Roman" w:hAnsi="Times New Roman" w:eastAsia="宋体" w:cs="Times New Roman"/>
                <w:color w:val="auto"/>
                <w:sz w:val="24"/>
                <w:lang w:val="en-US" w:eastAsia="zh-CN"/>
              </w:rPr>
              <w:t>等生产设备，同时建设给排水、供电、道路等公用辅助设施，形成沥青混凝土</w:t>
            </w:r>
            <w:r>
              <w:rPr>
                <w:rFonts w:hint="eastAsia" w:cs="Times New Roman"/>
                <w:color w:val="auto"/>
                <w:sz w:val="24"/>
                <w:lang w:val="en-US" w:eastAsia="zh-CN" w:bidi="ar"/>
              </w:rPr>
              <w:t>48</w:t>
            </w:r>
            <w:r>
              <w:rPr>
                <w:rFonts w:hint="default" w:ascii="Times New Roman" w:hAnsi="Times New Roman" w:cs="Times New Roman"/>
                <w:color w:val="auto"/>
                <w:sz w:val="24"/>
                <w:lang w:bidi="ar"/>
              </w:rPr>
              <w:t>万t/a</w:t>
            </w:r>
            <w:r>
              <w:rPr>
                <w:rFonts w:hint="eastAsia" w:ascii="Times New Roman" w:hAnsi="Times New Roman" w:eastAsia="宋体" w:cs="Times New Roman"/>
                <w:color w:val="auto"/>
                <w:sz w:val="24"/>
                <w:lang w:val="en-US" w:eastAsia="zh-CN"/>
              </w:rPr>
              <w:t>生产加工规模。</w:t>
            </w:r>
          </w:p>
          <w:p w14:paraId="5448FB92">
            <w:pPr>
              <w:ind w:firstLine="480"/>
              <w:rPr>
                <w:rFonts w:hint="default" w:eastAsia="宋体"/>
                <w:color w:val="auto"/>
                <w:highlight w:val="none"/>
                <w:lang w:val="en-US" w:eastAsia="zh-CN"/>
              </w:rPr>
            </w:pPr>
            <w:r>
              <w:rPr>
                <w:rFonts w:hint="eastAsia"/>
                <w:color w:val="auto"/>
                <w:highlight w:val="none"/>
                <w:lang w:val="en-US" w:eastAsia="zh-CN"/>
              </w:rPr>
              <w:t>具体建设内容见下表。</w:t>
            </w:r>
          </w:p>
          <w:p w14:paraId="41C5EFE5">
            <w:pPr>
              <w:spacing w:line="240" w:lineRule="auto"/>
              <w:ind w:left="0" w:leftChars="0" w:firstLine="0" w:firstLineChars="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表2-2 项目建设内容一览表</w:t>
            </w:r>
          </w:p>
          <w:tbl>
            <w:tblPr>
              <w:tblStyle w:val="27"/>
              <w:tblW w:w="4918"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38"/>
              <w:gridCol w:w="572"/>
              <w:gridCol w:w="1090"/>
              <w:gridCol w:w="4439"/>
              <w:gridCol w:w="885"/>
            </w:tblGrid>
            <w:tr w14:paraId="1B76A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noWrap w:val="0"/>
                  <w:vAlign w:val="center"/>
                </w:tcPr>
                <w:p w14:paraId="31EE53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工程组成</w:t>
                  </w:r>
                </w:p>
              </w:tc>
              <w:tc>
                <w:tcPr>
                  <w:tcW w:w="3949" w:type="pct"/>
                  <w:gridSpan w:val="3"/>
                  <w:tcBorders>
                    <w:right w:val="single" w:color="auto" w:sz="4" w:space="0"/>
                  </w:tcBorders>
                  <w:noWrap w:val="0"/>
                  <w:vAlign w:val="center"/>
                </w:tcPr>
                <w:p w14:paraId="4777F90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建设内容</w:t>
                  </w:r>
                </w:p>
              </w:tc>
              <w:tc>
                <w:tcPr>
                  <w:tcW w:w="572" w:type="pct"/>
                  <w:tcBorders>
                    <w:left w:val="single" w:color="auto" w:sz="4" w:space="0"/>
                  </w:tcBorders>
                  <w:noWrap w:val="0"/>
                  <w:vAlign w:val="center"/>
                </w:tcPr>
                <w:p w14:paraId="32866DF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14:paraId="7C7C1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noWrap w:val="0"/>
                  <w:vAlign w:val="center"/>
                </w:tcPr>
                <w:p w14:paraId="60B34C1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主体工程</w:t>
                  </w:r>
                </w:p>
              </w:tc>
              <w:tc>
                <w:tcPr>
                  <w:tcW w:w="1075" w:type="pct"/>
                  <w:gridSpan w:val="2"/>
                  <w:noWrap w:val="0"/>
                  <w:vAlign w:val="center"/>
                </w:tcPr>
                <w:p w14:paraId="6FB3BA4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bCs/>
                      <w:color w:val="auto"/>
                      <w:sz w:val="21"/>
                      <w:szCs w:val="21"/>
                      <w:lang w:bidi="ar"/>
                    </w:rPr>
                    <w:t>沥青混凝土生产线</w:t>
                  </w:r>
                </w:p>
              </w:tc>
              <w:tc>
                <w:tcPr>
                  <w:tcW w:w="2874" w:type="pct"/>
                  <w:tcBorders>
                    <w:right w:val="single" w:color="auto" w:sz="4" w:space="0"/>
                  </w:tcBorders>
                  <w:noWrap w:val="0"/>
                  <w:vAlign w:val="center"/>
                </w:tcPr>
                <w:p w14:paraId="5FDC23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新</w:t>
                  </w:r>
                  <w:r>
                    <w:rPr>
                      <w:rFonts w:hint="default" w:ascii="Times New Roman" w:hAnsi="Times New Roman" w:cs="Times New Roman"/>
                      <w:bCs/>
                      <w:color w:val="auto"/>
                      <w:sz w:val="21"/>
                      <w:szCs w:val="21"/>
                      <w:lang w:bidi="ar"/>
                    </w:rPr>
                    <w:t>建</w:t>
                  </w:r>
                  <w:r>
                    <w:rPr>
                      <w:rFonts w:hint="eastAsia" w:cs="Times New Roman"/>
                      <w:bCs/>
                      <w:color w:val="auto"/>
                      <w:sz w:val="21"/>
                      <w:szCs w:val="21"/>
                      <w:lang w:val="en-US" w:eastAsia="zh-CN" w:bidi="ar"/>
                    </w:rPr>
                    <w:t>2</w:t>
                  </w:r>
                  <w:r>
                    <w:rPr>
                      <w:rFonts w:hint="default" w:ascii="Times New Roman" w:hAnsi="Times New Roman" w:cs="Times New Roman"/>
                      <w:bCs/>
                      <w:color w:val="auto"/>
                      <w:sz w:val="21"/>
                      <w:szCs w:val="21"/>
                      <w:lang w:bidi="ar"/>
                    </w:rPr>
                    <w:t>条沥青混凝土生产线</w:t>
                  </w:r>
                  <w:r>
                    <w:rPr>
                      <w:rFonts w:hint="eastAsia" w:cs="Times New Roman"/>
                      <w:color w:val="auto"/>
                      <w:sz w:val="21"/>
                      <w:szCs w:val="21"/>
                      <w:lang w:eastAsia="zh-CN" w:bidi="ar"/>
                    </w:rPr>
                    <w:t>（</w:t>
                  </w:r>
                  <w:r>
                    <w:rPr>
                      <w:rFonts w:hint="eastAsia" w:cs="Times New Roman"/>
                      <w:color w:val="auto"/>
                      <w:sz w:val="21"/>
                      <w:szCs w:val="21"/>
                      <w:lang w:val="en-US" w:eastAsia="zh-CN" w:bidi="ar"/>
                    </w:rPr>
                    <w:t>1#1000型混凝土生产线和2#4000型混凝土生产线</w:t>
                  </w:r>
                  <w:r>
                    <w:rPr>
                      <w:rFonts w:hint="eastAsia" w:cs="Times New Roman"/>
                      <w:color w:val="auto"/>
                      <w:sz w:val="21"/>
                      <w:szCs w:val="21"/>
                      <w:lang w:eastAsia="zh-CN" w:bidi="ar"/>
                    </w:rPr>
                    <w:t>）</w:t>
                  </w:r>
                  <w:r>
                    <w:rPr>
                      <w:rFonts w:hint="eastAsia" w:ascii="Times New Roman" w:hAnsi="Times New Roman" w:cs="Times New Roman"/>
                      <w:bCs/>
                      <w:color w:val="auto"/>
                      <w:sz w:val="21"/>
                      <w:szCs w:val="21"/>
                      <w:lang w:eastAsia="zh-CN" w:bidi="ar"/>
                    </w:rPr>
                    <w:t>，</w:t>
                  </w:r>
                  <w:r>
                    <w:rPr>
                      <w:rFonts w:hint="default" w:ascii="Times New Roman" w:hAnsi="Times New Roman" w:cs="Times New Roman"/>
                      <w:color w:val="auto"/>
                      <w:sz w:val="21"/>
                      <w:szCs w:val="21"/>
                    </w:rPr>
                    <w:t>布置于项目区中侧</w:t>
                  </w:r>
                  <w:r>
                    <w:rPr>
                      <w:rFonts w:hint="default" w:ascii="Times New Roman" w:hAnsi="Times New Roman" w:cs="Times New Roman"/>
                      <w:bCs/>
                      <w:color w:val="auto"/>
                      <w:sz w:val="21"/>
                      <w:szCs w:val="21"/>
                      <w:lang w:bidi="ar"/>
                    </w:rPr>
                    <w:t>。</w:t>
                  </w:r>
                  <w:r>
                    <w:rPr>
                      <w:rFonts w:hint="eastAsia" w:ascii="Times New Roman" w:hAnsi="Times New Roman" w:eastAsia="宋体" w:cs="Times New Roman"/>
                      <w:color w:val="auto"/>
                      <w:sz w:val="21"/>
                      <w:szCs w:val="21"/>
                      <w:lang w:val="en-US" w:eastAsia="zh-CN"/>
                    </w:rPr>
                    <w:t>采用</w:t>
                  </w:r>
                  <w:r>
                    <w:rPr>
                      <w:rFonts w:hint="default" w:ascii="Times New Roman" w:hAnsi="Times New Roman" w:eastAsia="宋体" w:cs="Times New Roman"/>
                      <w:color w:val="auto"/>
                      <w:sz w:val="21"/>
                      <w:szCs w:val="21"/>
                    </w:rPr>
                    <w:t>封闭沥青</w:t>
                  </w:r>
                  <w:r>
                    <w:rPr>
                      <w:rFonts w:hint="eastAsia" w:ascii="Times New Roman" w:hAnsi="Times New Roman" w:eastAsia="宋体" w:cs="Times New Roman"/>
                      <w:color w:val="auto"/>
                      <w:sz w:val="21"/>
                      <w:szCs w:val="21"/>
                    </w:rPr>
                    <w:t>砼</w:t>
                  </w:r>
                  <w:r>
                    <w:rPr>
                      <w:rFonts w:hint="default" w:ascii="Times New Roman" w:hAnsi="Times New Roman" w:eastAsia="宋体" w:cs="Times New Roman"/>
                      <w:color w:val="auto"/>
                      <w:sz w:val="21"/>
                      <w:szCs w:val="21"/>
                    </w:rPr>
                    <w:t>搅拌楼及输送系统，包括搅拌机组、冷骨料及输送系统、骨料烘干加热系统、热骨料提升系统、热骨料筛分及贮存系统、粉料贮存及供给系统、称重计量系统和操作室</w:t>
                  </w:r>
                  <w:r>
                    <w:rPr>
                      <w:rFonts w:hint="eastAsia" w:ascii="Times New Roman" w:hAnsi="Times New Roman" w:eastAsia="宋体" w:cs="Times New Roman"/>
                      <w:color w:val="auto"/>
                      <w:sz w:val="21"/>
                      <w:szCs w:val="21"/>
                      <w:lang w:eastAsia="zh-CN"/>
                    </w:rPr>
                    <w:t>。</w:t>
                  </w:r>
                </w:p>
              </w:tc>
              <w:tc>
                <w:tcPr>
                  <w:tcW w:w="572" w:type="pct"/>
                  <w:tcBorders>
                    <w:left w:val="single" w:color="auto" w:sz="4" w:space="0"/>
                  </w:tcBorders>
                  <w:noWrap w:val="0"/>
                  <w:vAlign w:val="center"/>
                </w:tcPr>
                <w:p w14:paraId="1AAC3B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bidi="ar"/>
                    </w:rPr>
                    <w:t>1#生产线已建成，2#生产线为新建</w:t>
                  </w:r>
                </w:p>
              </w:tc>
            </w:tr>
            <w:tr w14:paraId="1D0EF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restart"/>
                  <w:noWrap w:val="0"/>
                  <w:vAlign w:val="center"/>
                </w:tcPr>
                <w:p w14:paraId="15C3985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储运工程</w:t>
                  </w:r>
                </w:p>
              </w:tc>
              <w:tc>
                <w:tcPr>
                  <w:tcW w:w="1075" w:type="pct"/>
                  <w:gridSpan w:val="2"/>
                  <w:tcBorders>
                    <w:top w:val="single" w:color="auto" w:sz="4" w:space="0"/>
                  </w:tcBorders>
                  <w:noWrap w:val="0"/>
                  <w:vAlign w:val="center"/>
                </w:tcPr>
                <w:p w14:paraId="2AE349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rPr>
                    <w:t>堆料仓</w:t>
                  </w:r>
                </w:p>
              </w:tc>
              <w:tc>
                <w:tcPr>
                  <w:tcW w:w="2874" w:type="pct"/>
                  <w:tcBorders>
                    <w:right w:val="single" w:color="auto" w:sz="4" w:space="0"/>
                  </w:tcBorders>
                  <w:noWrap w:val="0"/>
                  <w:vAlign w:val="center"/>
                </w:tcPr>
                <w:p w14:paraId="7AA8B8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lang w:bidi="ar"/>
                    </w:rPr>
                  </w:pPr>
                  <w:r>
                    <w:rPr>
                      <w:rFonts w:hint="eastAsia" w:ascii="Times New Roman" w:hAnsi="Times New Roman" w:cs="Times New Roman"/>
                      <w:color w:val="auto"/>
                      <w:sz w:val="21"/>
                      <w:szCs w:val="21"/>
                      <w:lang w:val="en-US" w:eastAsia="zh-CN"/>
                    </w:rPr>
                    <w:t>设置</w:t>
                  </w:r>
                  <w:r>
                    <w:rPr>
                      <w:rFonts w:hint="default" w:ascii="Times New Roman" w:hAnsi="Times New Roman" w:cs="Times New Roman"/>
                      <w:color w:val="auto"/>
                      <w:sz w:val="21"/>
                      <w:szCs w:val="21"/>
                    </w:rPr>
                    <w:t>1个堆料仓</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位于项目区东南侧</w:t>
                  </w:r>
                  <w:r>
                    <w:rPr>
                      <w:rFonts w:hint="default" w:ascii="Times New Roman" w:hAnsi="Times New Roman" w:cs="Times New Roman"/>
                      <w:color w:val="auto"/>
                      <w:sz w:val="21"/>
                      <w:szCs w:val="21"/>
                    </w:rPr>
                    <w:t>，占地面积</w:t>
                  </w:r>
                  <w:r>
                    <w:rPr>
                      <w:rFonts w:hint="eastAsia" w:cs="Times New Roman"/>
                      <w:color w:val="auto"/>
                      <w:sz w:val="21"/>
                      <w:szCs w:val="21"/>
                      <w:lang w:val="en-US" w:eastAsia="zh-CN"/>
                    </w:rPr>
                    <w:t>3819</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，采用三面封闭，顶部设顶棚，防治扬尘。</w:t>
                  </w:r>
                </w:p>
              </w:tc>
              <w:tc>
                <w:tcPr>
                  <w:tcW w:w="572" w:type="pct"/>
                  <w:tcBorders>
                    <w:left w:val="single" w:color="auto" w:sz="4" w:space="0"/>
                  </w:tcBorders>
                  <w:noWrap w:val="0"/>
                  <w:vAlign w:val="center"/>
                </w:tcPr>
                <w:p w14:paraId="498A37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val="en-US" w:eastAsia="zh-CN" w:bidi="ar"/>
                    </w:rPr>
                    <w:t>已建成</w:t>
                  </w:r>
                </w:p>
              </w:tc>
            </w:tr>
            <w:tr w14:paraId="1CA47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7FB69049">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1075" w:type="pct"/>
                  <w:gridSpan w:val="2"/>
                  <w:tcBorders>
                    <w:top w:val="single" w:color="auto" w:sz="4" w:space="0"/>
                  </w:tcBorders>
                  <w:noWrap w:val="0"/>
                  <w:vAlign w:val="center"/>
                </w:tcPr>
                <w:p w14:paraId="23BA3B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成品仓</w:t>
                  </w:r>
                </w:p>
              </w:tc>
              <w:tc>
                <w:tcPr>
                  <w:tcW w:w="2874" w:type="pct"/>
                  <w:tcBorders>
                    <w:right w:val="single" w:color="auto" w:sz="4" w:space="0"/>
                  </w:tcBorders>
                  <w:noWrap w:val="0"/>
                  <w:vAlign w:val="center"/>
                </w:tcPr>
                <w:p w14:paraId="455549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每个</w:t>
                  </w:r>
                  <w:r>
                    <w:rPr>
                      <w:rFonts w:hint="eastAsia" w:ascii="Times New Roman" w:hAnsi="Times New Roman" w:cs="Times New Roman"/>
                      <w:color w:val="auto"/>
                      <w:sz w:val="21"/>
                      <w:szCs w:val="21"/>
                      <w:lang w:val="en-US" w:eastAsia="zh-CN"/>
                    </w:rPr>
                    <w:t>搅拌楼配套</w:t>
                  </w:r>
                  <w:r>
                    <w:rPr>
                      <w:rFonts w:hint="default" w:ascii="Times New Roman" w:hAnsi="Times New Roman" w:cs="Times New Roman"/>
                      <w:color w:val="auto"/>
                      <w:sz w:val="21"/>
                      <w:szCs w:val="21"/>
                    </w:rPr>
                    <w:t>1个</w:t>
                  </w:r>
                  <w:r>
                    <w:rPr>
                      <w:rFonts w:hint="eastAsia" w:ascii="Times New Roman" w:hAnsi="Times New Roman" w:cs="Times New Roman"/>
                      <w:color w:val="auto"/>
                      <w:sz w:val="21"/>
                      <w:szCs w:val="21"/>
                      <w:lang w:val="en-US" w:eastAsia="zh-CN"/>
                    </w:rPr>
                    <w:t>成品</w:t>
                  </w:r>
                  <w:r>
                    <w:rPr>
                      <w:rFonts w:hint="default" w:ascii="Times New Roman" w:hAnsi="Times New Roman" w:cs="Times New Roman"/>
                      <w:color w:val="auto"/>
                      <w:sz w:val="21"/>
                      <w:szCs w:val="21"/>
                    </w:rPr>
                    <w:t>仓</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位于搅拌楼下侧</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容积</w:t>
                  </w:r>
                  <w:r>
                    <w:rPr>
                      <w:rFonts w:hint="eastAsia" w:cs="Times New Roman"/>
                      <w:color w:val="auto"/>
                      <w:sz w:val="21"/>
                      <w:szCs w:val="21"/>
                      <w:lang w:val="en-US" w:eastAsia="zh-CN"/>
                    </w:rPr>
                    <w:t>均</w:t>
                  </w:r>
                  <w:r>
                    <w:rPr>
                      <w:rFonts w:hint="eastAsia" w:ascii="Times New Roman" w:hAnsi="Times New Roman" w:cs="Times New Roman"/>
                      <w:color w:val="auto"/>
                      <w:sz w:val="21"/>
                      <w:szCs w:val="21"/>
                      <w:lang w:val="en-US" w:eastAsia="zh-CN"/>
                    </w:rPr>
                    <w:t>为20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，采用</w:t>
                  </w:r>
                  <w:r>
                    <w:rPr>
                      <w:rFonts w:hint="eastAsia" w:ascii="Times New Roman" w:hAnsi="Times New Roman" w:cs="Times New Roman"/>
                      <w:color w:val="auto"/>
                      <w:sz w:val="21"/>
                      <w:szCs w:val="21"/>
                      <w:lang w:val="en-US" w:eastAsia="zh-CN"/>
                    </w:rPr>
                    <w:t>全</w:t>
                  </w:r>
                  <w:r>
                    <w:rPr>
                      <w:rFonts w:hint="default" w:ascii="Times New Roman" w:hAnsi="Times New Roman" w:cs="Times New Roman"/>
                      <w:color w:val="auto"/>
                      <w:sz w:val="21"/>
                      <w:szCs w:val="21"/>
                    </w:rPr>
                    <w:t>封闭</w:t>
                  </w:r>
                  <w:r>
                    <w:rPr>
                      <w:rFonts w:hint="eastAsia" w:ascii="Times New Roman" w:hAnsi="Times New Roman" w:cs="Times New Roman"/>
                      <w:color w:val="auto"/>
                      <w:sz w:val="21"/>
                      <w:szCs w:val="21"/>
                      <w:lang w:val="en-US" w:eastAsia="zh-CN"/>
                    </w:rPr>
                    <w:t>仓</w:t>
                  </w:r>
                  <w:r>
                    <w:rPr>
                      <w:rFonts w:hint="default" w:ascii="Times New Roman" w:hAnsi="Times New Roman" w:cs="Times New Roman"/>
                      <w:color w:val="auto"/>
                      <w:sz w:val="21"/>
                      <w:szCs w:val="21"/>
                    </w:rPr>
                    <w:t>。</w:t>
                  </w:r>
                </w:p>
              </w:tc>
              <w:tc>
                <w:tcPr>
                  <w:tcW w:w="572" w:type="pct"/>
                  <w:tcBorders>
                    <w:left w:val="single" w:color="auto" w:sz="4" w:space="0"/>
                  </w:tcBorders>
                  <w:noWrap w:val="0"/>
                  <w:vAlign w:val="center"/>
                </w:tcPr>
                <w:p w14:paraId="5D0070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val="en-US" w:eastAsia="zh-CN" w:bidi="ar"/>
                    </w:rPr>
                    <w:t>已建成</w:t>
                  </w:r>
                </w:p>
              </w:tc>
            </w:tr>
            <w:tr w14:paraId="12404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062AB4AC">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cs="Times New Roman"/>
                      <w:color w:val="auto"/>
                      <w:sz w:val="21"/>
                      <w:szCs w:val="21"/>
                      <w:lang w:val="en-US" w:eastAsia="zh-CN"/>
                    </w:rPr>
                  </w:pPr>
                </w:p>
              </w:tc>
              <w:tc>
                <w:tcPr>
                  <w:tcW w:w="1075" w:type="pct"/>
                  <w:gridSpan w:val="2"/>
                  <w:tcBorders>
                    <w:top w:val="single" w:color="auto" w:sz="4" w:space="0"/>
                  </w:tcBorders>
                  <w:noWrap w:val="0"/>
                  <w:vAlign w:val="center"/>
                </w:tcPr>
                <w:p w14:paraId="6BA876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矿粉筒仓</w:t>
                  </w:r>
                </w:p>
              </w:tc>
              <w:tc>
                <w:tcPr>
                  <w:tcW w:w="2874" w:type="pct"/>
                  <w:tcBorders>
                    <w:right w:val="single" w:color="auto" w:sz="4" w:space="0"/>
                  </w:tcBorders>
                  <w:noWrap w:val="0"/>
                  <w:vAlign w:val="center"/>
                </w:tcPr>
                <w:p w14:paraId="297539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bidi="ar"/>
                    </w:rPr>
                    <w:t>4000型混凝土生产线</w:t>
                  </w:r>
                  <w:r>
                    <w:rPr>
                      <w:rFonts w:hint="default" w:ascii="Times New Roman" w:hAnsi="Times New Roman" w:eastAsia="宋体" w:cs="Times New Roman"/>
                      <w:color w:val="auto"/>
                      <w:sz w:val="21"/>
                      <w:szCs w:val="21"/>
                    </w:rPr>
                    <w:t>设置1个</w:t>
                  </w:r>
                  <w:r>
                    <w:rPr>
                      <w:rFonts w:hint="eastAsia" w:ascii="Times New Roman" w:hAnsi="Times New Roman" w:eastAsia="宋体" w:cs="Times New Roman"/>
                      <w:color w:val="auto"/>
                      <w:sz w:val="21"/>
                      <w:szCs w:val="21"/>
                      <w:lang w:val="en-US" w:eastAsia="zh-CN"/>
                    </w:rPr>
                    <w:t>容积为</w:t>
                  </w: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矿粉筒仓，高度</w:t>
                  </w:r>
                  <w:r>
                    <w:rPr>
                      <w:rFonts w:hint="eastAsia" w:cs="Times New Roman"/>
                      <w:color w:val="auto"/>
                      <w:sz w:val="21"/>
                      <w:szCs w:val="21"/>
                      <w:lang w:val="en-US" w:eastAsia="zh-CN"/>
                    </w:rPr>
                    <w:t>28</w:t>
                  </w:r>
                  <w:r>
                    <w:rPr>
                      <w:rFonts w:hint="default" w:ascii="Times New Roman" w:hAnsi="Times New Roman" w:eastAsia="宋体" w:cs="Times New Roman"/>
                      <w:color w:val="auto"/>
                      <w:sz w:val="21"/>
                      <w:szCs w:val="21"/>
                    </w:rPr>
                    <w:t>m，用于存储矿粉原料。</w:t>
                  </w:r>
                </w:p>
              </w:tc>
              <w:tc>
                <w:tcPr>
                  <w:tcW w:w="572" w:type="pct"/>
                  <w:tcBorders>
                    <w:left w:val="single" w:color="auto" w:sz="4" w:space="0"/>
                  </w:tcBorders>
                  <w:noWrap w:val="0"/>
                  <w:vAlign w:val="center"/>
                </w:tcPr>
                <w:p w14:paraId="4AA971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eastAsia="zh-CN" w:bidi="ar"/>
                    </w:rPr>
                    <w:t>新建</w:t>
                  </w:r>
                </w:p>
              </w:tc>
            </w:tr>
            <w:tr w14:paraId="158EC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3E956AA8">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tcBorders>
                    <w:top w:val="single" w:color="auto" w:sz="4" w:space="0"/>
                  </w:tcBorders>
                  <w:noWrap w:val="0"/>
                  <w:vAlign w:val="center"/>
                </w:tcPr>
                <w:p w14:paraId="0AF234B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沥青储罐</w:t>
                  </w:r>
                </w:p>
              </w:tc>
              <w:tc>
                <w:tcPr>
                  <w:tcW w:w="2874" w:type="pct"/>
                  <w:tcBorders>
                    <w:right w:val="single" w:color="auto" w:sz="4" w:space="0"/>
                  </w:tcBorders>
                  <w:noWrap w:val="0"/>
                  <w:vAlign w:val="center"/>
                </w:tcPr>
                <w:p w14:paraId="45BC4C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z w:val="21"/>
                      <w:szCs w:val="21"/>
                      <w:lang w:eastAsia="zh-CN" w:bidi="ar"/>
                    </w:rPr>
                  </w:pPr>
                  <w:r>
                    <w:rPr>
                      <w:rFonts w:hint="eastAsia" w:ascii="Times New Roman" w:hAnsi="Times New Roman" w:cs="Times New Roman"/>
                      <w:color w:val="auto"/>
                      <w:sz w:val="21"/>
                      <w:szCs w:val="21"/>
                      <w:lang w:val="en-US" w:eastAsia="zh-CN"/>
                    </w:rPr>
                    <w:t>设置</w:t>
                  </w:r>
                  <w:r>
                    <w:rPr>
                      <w:rFonts w:hint="default" w:ascii="Times New Roman" w:hAnsi="Times New Roman" w:cs="Times New Roman"/>
                      <w:color w:val="auto"/>
                      <w:sz w:val="21"/>
                      <w:szCs w:val="21"/>
                    </w:rPr>
                    <w:t>全封闭</w:t>
                  </w:r>
                  <w:r>
                    <w:rPr>
                      <w:rFonts w:hint="default" w:ascii="Times New Roman" w:hAnsi="Times New Roman" w:cs="Times New Roman"/>
                      <w:bCs/>
                      <w:color w:val="auto"/>
                      <w:sz w:val="21"/>
                      <w:szCs w:val="21"/>
                      <w:lang w:bidi="ar"/>
                    </w:rPr>
                    <w:t>沥青储罐3个</w:t>
                  </w:r>
                  <w:r>
                    <w:rPr>
                      <w:rFonts w:hint="default" w:ascii="Times New Roman" w:hAnsi="Times New Roman" w:cs="Times New Roman"/>
                      <w:color w:val="auto"/>
                      <w:sz w:val="21"/>
                      <w:szCs w:val="21"/>
                    </w:rPr>
                    <w:t>，</w:t>
                  </w:r>
                  <w:r>
                    <w:rPr>
                      <w:rFonts w:hint="eastAsia" w:cs="Times New Roman"/>
                      <w:color w:val="auto"/>
                      <w:sz w:val="21"/>
                      <w:szCs w:val="21"/>
                      <w:lang w:val="en-US" w:eastAsia="zh-CN"/>
                    </w:rPr>
                    <w:t>沥青储罐区占地面积</w:t>
                  </w:r>
                  <w:r>
                    <w:rPr>
                      <w:rFonts w:hint="eastAsia" w:ascii="Times New Roman" w:hAnsi="Times New Roman" w:cs="Times New Roman"/>
                      <w:color w:val="auto"/>
                      <w:sz w:val="21"/>
                      <w:szCs w:val="21"/>
                      <w:lang w:val="en-US" w:eastAsia="zh-CN"/>
                    </w:rPr>
                    <w:t>约</w:t>
                  </w:r>
                  <w:r>
                    <w:rPr>
                      <w:rFonts w:hint="eastAsia" w:cs="Times New Roman"/>
                      <w:color w:val="auto"/>
                      <w:sz w:val="21"/>
                      <w:szCs w:val="21"/>
                      <w:lang w:val="en-US" w:eastAsia="zh-CN"/>
                    </w:rPr>
                    <w:t>1200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cs="Times New Roman"/>
                      <w:color w:val="auto"/>
                      <w:sz w:val="21"/>
                      <w:szCs w:val="21"/>
                      <w:lang w:val="en-US" w:eastAsia="zh-CN"/>
                    </w:rPr>
                    <w:t>其中1#和2#</w:t>
                  </w:r>
                  <w:r>
                    <w:rPr>
                      <w:rFonts w:hint="default" w:ascii="Times New Roman" w:hAnsi="Times New Roman" w:cs="Times New Roman"/>
                      <w:bCs/>
                      <w:color w:val="auto"/>
                      <w:sz w:val="21"/>
                      <w:szCs w:val="21"/>
                      <w:lang w:bidi="ar"/>
                    </w:rPr>
                    <w:t>沥青储罐</w:t>
                  </w:r>
                  <w:r>
                    <w:rPr>
                      <w:rFonts w:hint="eastAsia" w:cs="Times New Roman"/>
                      <w:bCs/>
                      <w:color w:val="auto"/>
                      <w:sz w:val="21"/>
                      <w:szCs w:val="21"/>
                      <w:lang w:val="en-US" w:eastAsia="zh-CN" w:bidi="ar"/>
                    </w:rPr>
                    <w:t>位于拌合楼北侧，</w:t>
                  </w:r>
                  <w:r>
                    <w:rPr>
                      <w:rFonts w:hint="eastAsia" w:ascii="Times New Roman" w:hAnsi="Times New Roman" w:cs="Times New Roman"/>
                      <w:color w:val="auto"/>
                      <w:sz w:val="21"/>
                      <w:szCs w:val="21"/>
                      <w:lang w:val="en-US" w:eastAsia="zh-CN"/>
                    </w:rPr>
                    <w:t>容积</w:t>
                  </w:r>
                  <w:r>
                    <w:rPr>
                      <w:rFonts w:hint="eastAsia" w:cs="Times New Roman"/>
                      <w:color w:val="auto"/>
                      <w:sz w:val="21"/>
                      <w:szCs w:val="21"/>
                      <w:lang w:val="en-US" w:eastAsia="zh-CN"/>
                    </w:rPr>
                    <w:t>均</w:t>
                  </w:r>
                  <w:r>
                    <w:rPr>
                      <w:rFonts w:hint="default" w:ascii="Times New Roman" w:hAnsi="Times New Roman" w:cs="Times New Roman"/>
                      <w:color w:val="auto"/>
                      <w:sz w:val="21"/>
                      <w:szCs w:val="21"/>
                    </w:rPr>
                    <w:t>为</w:t>
                  </w:r>
                  <w:r>
                    <w:rPr>
                      <w:rFonts w:hint="eastAsia" w:cs="Times New Roman"/>
                      <w:color w:val="auto"/>
                      <w:sz w:val="21"/>
                      <w:szCs w:val="21"/>
                      <w:lang w:val="en-US" w:eastAsia="zh-CN"/>
                    </w:rPr>
                    <w:t>10</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eastAsia="zh-CN"/>
                    </w:rPr>
                    <w:t>；</w:t>
                  </w:r>
                  <w:r>
                    <w:rPr>
                      <w:rFonts w:hint="eastAsia" w:cs="Times New Roman"/>
                      <w:color w:val="auto"/>
                      <w:sz w:val="21"/>
                      <w:szCs w:val="21"/>
                      <w:lang w:val="en-US" w:eastAsia="zh-CN"/>
                    </w:rPr>
                    <w:t>3#</w:t>
                  </w:r>
                  <w:r>
                    <w:rPr>
                      <w:rFonts w:hint="default" w:ascii="Times New Roman" w:hAnsi="Times New Roman" w:cs="Times New Roman"/>
                      <w:bCs/>
                      <w:color w:val="auto"/>
                      <w:sz w:val="21"/>
                      <w:szCs w:val="21"/>
                      <w:lang w:bidi="ar"/>
                    </w:rPr>
                    <w:t>沥青储罐</w:t>
                  </w:r>
                  <w:r>
                    <w:rPr>
                      <w:rFonts w:hint="eastAsia" w:cs="Times New Roman"/>
                      <w:bCs/>
                      <w:color w:val="auto"/>
                      <w:sz w:val="21"/>
                      <w:szCs w:val="21"/>
                      <w:lang w:val="en-US" w:eastAsia="zh-CN" w:bidi="ar"/>
                    </w:rPr>
                    <w:t>位于拌合楼东侧，</w:t>
                  </w:r>
                  <w:r>
                    <w:rPr>
                      <w:rFonts w:hint="eastAsia" w:ascii="Times New Roman" w:hAnsi="Times New Roman" w:cs="Times New Roman"/>
                      <w:color w:val="auto"/>
                      <w:sz w:val="21"/>
                      <w:szCs w:val="21"/>
                      <w:lang w:val="en-US" w:eastAsia="zh-CN"/>
                    </w:rPr>
                    <w:t>容积</w:t>
                  </w:r>
                  <w:r>
                    <w:rPr>
                      <w:rFonts w:hint="default" w:ascii="Times New Roman" w:hAnsi="Times New Roman" w:cs="Times New Roman"/>
                      <w:color w:val="auto"/>
                      <w:sz w:val="21"/>
                      <w:szCs w:val="21"/>
                    </w:rPr>
                    <w:t>为</w:t>
                  </w:r>
                  <w:r>
                    <w:rPr>
                      <w:rFonts w:hint="eastAsia" w:cs="Times New Roman"/>
                      <w:color w:val="auto"/>
                      <w:sz w:val="21"/>
                      <w:szCs w:val="21"/>
                      <w:lang w:val="en-US" w:eastAsia="zh-CN"/>
                    </w:rPr>
                    <w:t>18</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沥青储罐为地面储罐，地坪采用</w:t>
                  </w:r>
                  <w:r>
                    <w:rPr>
                      <w:rFonts w:hint="eastAsia" w:cs="Times New Roman"/>
                      <w:color w:val="auto"/>
                      <w:sz w:val="21"/>
                      <w:szCs w:val="21"/>
                      <w:lang w:val="en-US" w:eastAsia="zh-CN"/>
                    </w:rPr>
                    <w:t>重点</w:t>
                  </w:r>
                  <w:r>
                    <w:rPr>
                      <w:rFonts w:hint="default" w:ascii="Times New Roman" w:hAnsi="Times New Roman" w:cs="Times New Roman"/>
                      <w:color w:val="auto"/>
                      <w:sz w:val="21"/>
                      <w:szCs w:val="21"/>
                    </w:rPr>
                    <w:t>防渗措施</w:t>
                  </w:r>
                  <w:r>
                    <w:rPr>
                      <w:rFonts w:hint="eastAsia" w:cs="Times New Roman"/>
                      <w:color w:val="auto"/>
                      <w:sz w:val="21"/>
                      <w:szCs w:val="21"/>
                      <w:lang w:eastAsia="zh-CN"/>
                    </w:rPr>
                    <w:t>（</w:t>
                  </w:r>
                  <w:r>
                    <w:rPr>
                      <w:rFonts w:ascii="Times New Roman" w:hAnsi="Times New Roman"/>
                      <w:bCs/>
                      <w:color w:val="auto"/>
                      <w:spacing w:val="0"/>
                      <w:sz w:val="21"/>
                      <w:szCs w:val="21"/>
                    </w:rPr>
                    <w:t>水泥+2mm厚HDPE膜+环氧树脂，渗透系数K≤1×10</w:t>
                  </w:r>
                  <w:r>
                    <w:rPr>
                      <w:rFonts w:ascii="Times New Roman" w:hAnsi="Times New Roman"/>
                      <w:bCs/>
                      <w:color w:val="auto"/>
                      <w:spacing w:val="0"/>
                      <w:sz w:val="21"/>
                      <w:szCs w:val="21"/>
                      <w:vertAlign w:val="superscript"/>
                    </w:rPr>
                    <w:t>-10</w:t>
                  </w:r>
                  <w:r>
                    <w:rPr>
                      <w:rFonts w:ascii="Times New Roman" w:hAnsi="Times New Roman"/>
                      <w:bCs/>
                      <w:color w:val="auto"/>
                      <w:spacing w:val="0"/>
                      <w:sz w:val="21"/>
                      <w:szCs w:val="21"/>
                    </w:rPr>
                    <w:t>cm/s</w:t>
                  </w:r>
                  <w:r>
                    <w:rPr>
                      <w:rFonts w:hint="eastAsia" w:cs="Times New Roman"/>
                      <w:color w:val="auto"/>
                      <w:sz w:val="21"/>
                      <w:szCs w:val="21"/>
                      <w:lang w:eastAsia="zh-CN"/>
                    </w:rPr>
                    <w:t>）</w:t>
                  </w:r>
                  <w:r>
                    <w:rPr>
                      <w:rFonts w:hint="default" w:ascii="Times New Roman" w:hAnsi="Times New Roman" w:cs="Times New Roman"/>
                      <w:color w:val="auto"/>
                      <w:sz w:val="21"/>
                      <w:szCs w:val="21"/>
                    </w:rPr>
                    <w:t>，储罐</w:t>
                  </w:r>
                  <w:r>
                    <w:rPr>
                      <w:rFonts w:hint="eastAsia" w:cs="Times New Roman"/>
                      <w:color w:val="auto"/>
                      <w:sz w:val="21"/>
                      <w:szCs w:val="21"/>
                      <w:lang w:val="en-US" w:eastAsia="zh-CN"/>
                    </w:rPr>
                    <w:t>周边</w:t>
                  </w:r>
                  <w:r>
                    <w:rPr>
                      <w:rFonts w:hint="default" w:ascii="Times New Roman" w:hAnsi="Times New Roman" w:cs="Times New Roman"/>
                      <w:color w:val="auto"/>
                      <w:sz w:val="21"/>
                      <w:szCs w:val="21"/>
                    </w:rPr>
                    <w:t>设置</w:t>
                  </w:r>
                  <w:r>
                    <w:rPr>
                      <w:rFonts w:hint="eastAsia" w:cs="Times New Roman"/>
                      <w:color w:val="auto"/>
                      <w:sz w:val="21"/>
                      <w:szCs w:val="21"/>
                      <w:lang w:val="en-US" w:eastAsia="zh-CN"/>
                    </w:rPr>
                    <w:t>围堰</w:t>
                  </w:r>
                  <w:r>
                    <w:rPr>
                      <w:rFonts w:hint="default" w:ascii="Times New Roman" w:hAnsi="Times New Roman" w:cs="Times New Roman"/>
                      <w:color w:val="auto"/>
                      <w:sz w:val="21"/>
                      <w:szCs w:val="21"/>
                    </w:rPr>
                    <w:t>。</w:t>
                  </w:r>
                  <w:r>
                    <w:rPr>
                      <w:rFonts w:ascii="Times New Roman" w:hAnsi="Times New Roman"/>
                      <w:bCs/>
                      <w:color w:val="auto"/>
                      <w:spacing w:val="0"/>
                      <w:sz w:val="21"/>
                      <w:szCs w:val="21"/>
                    </w:rPr>
                    <w:t>围堰</w:t>
                  </w:r>
                  <w:r>
                    <w:rPr>
                      <w:rFonts w:hint="eastAsia" w:ascii="Times New Roman" w:hAnsi="Times New Roman"/>
                      <w:bCs/>
                      <w:color w:val="auto"/>
                      <w:spacing w:val="0"/>
                      <w:sz w:val="21"/>
                      <w:szCs w:val="21"/>
                      <w:lang w:val="en-US" w:eastAsia="zh-CN"/>
                    </w:rPr>
                    <w:t>高度</w:t>
                  </w:r>
                  <w:r>
                    <w:rPr>
                      <w:rFonts w:ascii="Times New Roman" w:hAnsi="Times New Roman"/>
                      <w:bCs/>
                      <w:color w:val="auto"/>
                      <w:spacing w:val="0"/>
                      <w:sz w:val="21"/>
                      <w:szCs w:val="21"/>
                    </w:rPr>
                    <w:t>≥0.6m</w:t>
                  </w:r>
                  <w:r>
                    <w:rPr>
                      <w:rFonts w:hint="eastAsia"/>
                      <w:bCs/>
                      <w:color w:val="auto"/>
                      <w:spacing w:val="0"/>
                      <w:sz w:val="21"/>
                      <w:szCs w:val="21"/>
                      <w:lang w:eastAsia="zh-CN"/>
                    </w:rPr>
                    <w:t>，</w:t>
                  </w:r>
                  <w:r>
                    <w:rPr>
                      <w:rFonts w:hint="default" w:ascii="Times New Roman" w:hAnsi="Times New Roman" w:cs="Times New Roman"/>
                      <w:color w:val="auto"/>
                      <w:sz w:val="21"/>
                      <w:szCs w:val="21"/>
                    </w:rPr>
                    <w:t>顶部设顶棚</w:t>
                  </w:r>
                  <w:r>
                    <w:rPr>
                      <w:rFonts w:hint="eastAsia" w:cs="Times New Roman"/>
                      <w:color w:val="auto"/>
                      <w:sz w:val="21"/>
                      <w:szCs w:val="21"/>
                      <w:lang w:eastAsia="zh-CN"/>
                    </w:rPr>
                    <w:t>，</w:t>
                  </w:r>
                  <w:r>
                    <w:rPr>
                      <w:rFonts w:hint="eastAsia" w:cs="Times New Roman"/>
                      <w:color w:val="auto"/>
                      <w:sz w:val="21"/>
                      <w:szCs w:val="21"/>
                      <w:lang w:val="en-US" w:eastAsia="zh-CN"/>
                    </w:rPr>
                    <w:t>1#和2#</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，3#</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180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w:t>
                  </w:r>
                </w:p>
              </w:tc>
              <w:tc>
                <w:tcPr>
                  <w:tcW w:w="572" w:type="pct"/>
                  <w:tcBorders>
                    <w:left w:val="single" w:color="auto" w:sz="4" w:space="0"/>
                  </w:tcBorders>
                  <w:noWrap w:val="0"/>
                  <w:vAlign w:val="center"/>
                </w:tcPr>
                <w:p w14:paraId="6FFF40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val="en-US" w:eastAsia="zh-CN"/>
                    </w:rPr>
                    <w:t>1#和2#</w:t>
                  </w:r>
                  <w:r>
                    <w:rPr>
                      <w:rFonts w:hint="default" w:ascii="Times New Roman" w:hAnsi="Times New Roman" w:cs="Times New Roman"/>
                      <w:bCs/>
                      <w:color w:val="auto"/>
                      <w:sz w:val="21"/>
                      <w:szCs w:val="21"/>
                      <w:lang w:bidi="ar"/>
                    </w:rPr>
                    <w:t>沥青储罐</w:t>
                  </w:r>
                  <w:r>
                    <w:rPr>
                      <w:rFonts w:hint="eastAsia" w:cs="Times New Roman"/>
                      <w:bCs/>
                      <w:color w:val="auto"/>
                      <w:sz w:val="21"/>
                      <w:szCs w:val="21"/>
                      <w:lang w:val="en-US" w:eastAsia="zh-CN" w:bidi="ar"/>
                    </w:rPr>
                    <w:t>已建成；</w:t>
                  </w:r>
                  <w:r>
                    <w:rPr>
                      <w:rFonts w:hint="eastAsia" w:cs="Times New Roman"/>
                      <w:color w:val="auto"/>
                      <w:sz w:val="21"/>
                      <w:szCs w:val="21"/>
                      <w:lang w:val="en-US" w:eastAsia="zh-CN"/>
                    </w:rPr>
                    <w:t>3#</w:t>
                  </w:r>
                  <w:r>
                    <w:rPr>
                      <w:rFonts w:hint="default" w:ascii="Times New Roman" w:hAnsi="Times New Roman" w:cs="Times New Roman"/>
                      <w:bCs/>
                      <w:color w:val="auto"/>
                      <w:sz w:val="21"/>
                      <w:szCs w:val="21"/>
                      <w:lang w:bidi="ar"/>
                    </w:rPr>
                    <w:t>沥青储罐</w:t>
                  </w:r>
                  <w:r>
                    <w:rPr>
                      <w:rFonts w:hint="eastAsia" w:cs="Times New Roman"/>
                      <w:bCs/>
                      <w:color w:val="auto"/>
                      <w:sz w:val="21"/>
                      <w:szCs w:val="21"/>
                      <w:lang w:val="en-US" w:eastAsia="zh-CN" w:bidi="ar"/>
                    </w:rPr>
                    <w:t>为</w:t>
                  </w:r>
                  <w:r>
                    <w:rPr>
                      <w:rFonts w:hint="eastAsia" w:cs="Times New Roman"/>
                      <w:color w:val="auto"/>
                      <w:sz w:val="21"/>
                      <w:szCs w:val="21"/>
                      <w:lang w:eastAsia="zh-CN" w:bidi="ar"/>
                    </w:rPr>
                    <w:t>新建</w:t>
                  </w:r>
                </w:p>
              </w:tc>
            </w:tr>
            <w:tr w14:paraId="5B66C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73E5B0EF">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tcBorders>
                    <w:top w:val="single" w:color="auto" w:sz="4" w:space="0"/>
                  </w:tcBorders>
                  <w:noWrap w:val="0"/>
                  <w:vAlign w:val="center"/>
                </w:tcPr>
                <w:p w14:paraId="107FB69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柴油</w:t>
                  </w:r>
                  <w:r>
                    <w:rPr>
                      <w:rFonts w:hint="eastAsia" w:cs="Times New Roman"/>
                      <w:color w:val="auto"/>
                      <w:sz w:val="21"/>
                      <w:szCs w:val="21"/>
                      <w:lang w:val="en-US" w:eastAsia="zh-CN" w:bidi="ar"/>
                    </w:rPr>
                    <w:t>撬装加油站</w:t>
                  </w:r>
                </w:p>
              </w:tc>
              <w:tc>
                <w:tcPr>
                  <w:tcW w:w="2874" w:type="pct"/>
                  <w:tcBorders>
                    <w:right w:val="single" w:color="auto" w:sz="4" w:space="0"/>
                  </w:tcBorders>
                  <w:noWrap w:val="0"/>
                  <w:vAlign w:val="center"/>
                </w:tcPr>
                <w:p w14:paraId="6AF47C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z w:val="21"/>
                      <w:szCs w:val="21"/>
                      <w:lang w:eastAsia="zh-CN" w:bidi="ar"/>
                    </w:rPr>
                  </w:pPr>
                  <w:r>
                    <w:rPr>
                      <w:rFonts w:hint="eastAsia" w:ascii="Times New Roman" w:hAnsi="Times New Roman" w:cs="Times New Roman"/>
                      <w:color w:val="auto"/>
                      <w:sz w:val="21"/>
                      <w:szCs w:val="21"/>
                      <w:lang w:val="en-US" w:eastAsia="zh-CN"/>
                    </w:rPr>
                    <w:t>设置</w:t>
                  </w:r>
                  <w:r>
                    <w:rPr>
                      <w:rFonts w:hint="default" w:ascii="Times New Roman" w:hAnsi="Times New Roman" w:cs="Times New Roman"/>
                      <w:color w:val="auto"/>
                      <w:sz w:val="21"/>
                      <w:szCs w:val="21"/>
                    </w:rPr>
                    <w:t>柴油储罐</w:t>
                  </w:r>
                  <w:r>
                    <w:rPr>
                      <w:rFonts w:hint="eastAsia" w:cs="Times New Roman"/>
                      <w:color w:val="auto"/>
                      <w:sz w:val="21"/>
                      <w:szCs w:val="21"/>
                      <w:lang w:val="en-US" w:eastAsia="zh-CN"/>
                    </w:rPr>
                    <w:t>1</w:t>
                  </w:r>
                  <w:r>
                    <w:rPr>
                      <w:rFonts w:hint="default" w:ascii="Times New Roman" w:hAnsi="Times New Roman" w:cs="Times New Roman"/>
                      <w:color w:val="auto"/>
                      <w:sz w:val="21"/>
                      <w:szCs w:val="21"/>
                    </w:rPr>
                    <w:t>个，</w:t>
                  </w:r>
                  <w:r>
                    <w:rPr>
                      <w:rFonts w:hint="eastAsia" w:cs="Times New Roman"/>
                      <w:color w:val="auto"/>
                      <w:sz w:val="21"/>
                      <w:szCs w:val="21"/>
                      <w:lang w:val="en-US" w:eastAsia="zh-CN"/>
                    </w:rPr>
                    <w:t>柴油储罐区占地面积</w:t>
                  </w:r>
                  <w:r>
                    <w:rPr>
                      <w:rFonts w:hint="eastAsia" w:ascii="Times New Roman" w:hAnsi="Times New Roman" w:cs="Times New Roman"/>
                      <w:color w:val="auto"/>
                      <w:sz w:val="21"/>
                      <w:szCs w:val="21"/>
                      <w:lang w:val="en-US" w:eastAsia="zh-CN"/>
                    </w:rPr>
                    <w:t>约50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位于项目区</w:t>
                  </w:r>
                  <w:r>
                    <w:rPr>
                      <w:rFonts w:hint="eastAsia" w:cs="Times New Roman"/>
                      <w:color w:val="auto"/>
                      <w:sz w:val="21"/>
                      <w:szCs w:val="21"/>
                      <w:lang w:val="en-US" w:eastAsia="zh-CN"/>
                    </w:rPr>
                    <w:t>北</w:t>
                  </w:r>
                  <w:r>
                    <w:rPr>
                      <w:rFonts w:hint="eastAsia" w:ascii="Times New Roman" w:hAnsi="Times New Roman" w:cs="Times New Roman"/>
                      <w:color w:val="auto"/>
                      <w:sz w:val="21"/>
                      <w:szCs w:val="21"/>
                      <w:lang w:val="en-US" w:eastAsia="zh-CN"/>
                    </w:rPr>
                    <w:t>侧，</w:t>
                  </w:r>
                  <w:r>
                    <w:rPr>
                      <w:rFonts w:hint="default" w:ascii="Times New Roman" w:hAnsi="Times New Roman" w:cs="Times New Roman"/>
                      <w:color w:val="auto"/>
                      <w:sz w:val="21"/>
                      <w:szCs w:val="21"/>
                    </w:rPr>
                    <w:t>柴油储罐容积为</w:t>
                  </w:r>
                  <w:r>
                    <w:rPr>
                      <w:rFonts w:hint="eastAsia" w:cs="Times New Roman"/>
                      <w:color w:val="auto"/>
                      <w:sz w:val="21"/>
                      <w:szCs w:val="21"/>
                      <w:lang w:val="en-US" w:eastAsia="zh-CN"/>
                    </w:rPr>
                    <w:t>5</w:t>
                  </w:r>
                  <w:r>
                    <w:rPr>
                      <w:rFonts w:hint="eastAsia" w:ascii="Times New Roman" w:hAnsi="Times New Roman"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。储罐为地面双层储罐，地坪采用</w:t>
                  </w:r>
                  <w:r>
                    <w:rPr>
                      <w:rFonts w:hint="eastAsia" w:cs="Times New Roman"/>
                      <w:color w:val="auto"/>
                      <w:sz w:val="21"/>
                      <w:szCs w:val="21"/>
                      <w:lang w:val="en-US" w:eastAsia="zh-CN"/>
                    </w:rPr>
                    <w:t>重点</w:t>
                  </w:r>
                  <w:r>
                    <w:rPr>
                      <w:rFonts w:hint="default" w:ascii="Times New Roman" w:hAnsi="Times New Roman" w:cs="Times New Roman"/>
                      <w:color w:val="auto"/>
                      <w:sz w:val="21"/>
                      <w:szCs w:val="21"/>
                    </w:rPr>
                    <w:t>防渗措施</w:t>
                  </w:r>
                  <w:r>
                    <w:rPr>
                      <w:rFonts w:hint="eastAsia" w:cs="Times New Roman"/>
                      <w:color w:val="auto"/>
                      <w:sz w:val="21"/>
                      <w:szCs w:val="21"/>
                      <w:lang w:eastAsia="zh-CN"/>
                    </w:rPr>
                    <w:t>（</w:t>
                  </w:r>
                  <w:r>
                    <w:rPr>
                      <w:rFonts w:ascii="Times New Roman" w:hAnsi="Times New Roman"/>
                      <w:bCs/>
                      <w:color w:val="auto"/>
                      <w:spacing w:val="0"/>
                      <w:sz w:val="21"/>
                      <w:szCs w:val="21"/>
                    </w:rPr>
                    <w:t>水泥+2mm厚HDPE膜+环氧树脂，渗透系数K≤1×10</w:t>
                  </w:r>
                  <w:r>
                    <w:rPr>
                      <w:rFonts w:ascii="Times New Roman" w:hAnsi="Times New Roman"/>
                      <w:bCs/>
                      <w:color w:val="auto"/>
                      <w:spacing w:val="0"/>
                      <w:sz w:val="21"/>
                      <w:szCs w:val="21"/>
                      <w:vertAlign w:val="superscript"/>
                    </w:rPr>
                    <w:t>-10</w:t>
                  </w:r>
                  <w:r>
                    <w:rPr>
                      <w:rFonts w:ascii="Times New Roman" w:hAnsi="Times New Roman"/>
                      <w:bCs/>
                      <w:color w:val="auto"/>
                      <w:spacing w:val="0"/>
                      <w:sz w:val="21"/>
                      <w:szCs w:val="21"/>
                    </w:rPr>
                    <w:t>cm/s</w:t>
                  </w:r>
                  <w:r>
                    <w:rPr>
                      <w:rFonts w:hint="eastAsia" w:cs="Times New Roman"/>
                      <w:color w:val="auto"/>
                      <w:sz w:val="21"/>
                      <w:szCs w:val="21"/>
                      <w:lang w:eastAsia="zh-CN"/>
                    </w:rPr>
                    <w:t>）</w:t>
                  </w:r>
                  <w:r>
                    <w:rPr>
                      <w:rFonts w:hint="default" w:ascii="Times New Roman" w:hAnsi="Times New Roman" w:cs="Times New Roman"/>
                      <w:color w:val="auto"/>
                      <w:sz w:val="21"/>
                      <w:szCs w:val="21"/>
                    </w:rPr>
                    <w:t>，储罐周围设置围堰。</w:t>
                  </w:r>
                  <w:r>
                    <w:rPr>
                      <w:rFonts w:ascii="Times New Roman" w:hAnsi="Times New Roman"/>
                      <w:bCs/>
                      <w:color w:val="auto"/>
                      <w:spacing w:val="0"/>
                      <w:sz w:val="21"/>
                      <w:szCs w:val="21"/>
                    </w:rPr>
                    <w:t>围堰</w:t>
                  </w:r>
                  <w:r>
                    <w:rPr>
                      <w:rFonts w:hint="eastAsia" w:ascii="Times New Roman" w:hAnsi="Times New Roman"/>
                      <w:bCs/>
                      <w:color w:val="auto"/>
                      <w:spacing w:val="0"/>
                      <w:sz w:val="21"/>
                      <w:szCs w:val="21"/>
                      <w:lang w:val="en-US" w:eastAsia="zh-CN"/>
                    </w:rPr>
                    <w:t>高度</w:t>
                  </w:r>
                  <w:r>
                    <w:rPr>
                      <w:rFonts w:ascii="Times New Roman" w:hAnsi="Times New Roman"/>
                      <w:bCs/>
                      <w:color w:val="auto"/>
                      <w:spacing w:val="0"/>
                      <w:sz w:val="21"/>
                      <w:szCs w:val="21"/>
                    </w:rPr>
                    <w:t>≥0.6m</w:t>
                  </w:r>
                  <w:r>
                    <w:rPr>
                      <w:rFonts w:hint="eastAsia"/>
                      <w:bCs/>
                      <w:color w:val="auto"/>
                      <w:spacing w:val="0"/>
                      <w:sz w:val="21"/>
                      <w:szCs w:val="21"/>
                      <w:lang w:eastAsia="zh-CN"/>
                    </w:rPr>
                    <w:t>，</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default" w:ascii="Times New Roman" w:hAnsi="Times New Roman" w:cs="Times New Roman"/>
                      <w:color w:val="auto"/>
                      <w:sz w:val="21"/>
                      <w:szCs w:val="21"/>
                    </w:rPr>
                    <w:t>顶部设顶棚</w:t>
                  </w:r>
                  <w:r>
                    <w:rPr>
                      <w:rFonts w:hint="eastAsia" w:ascii="Times New Roman" w:hAnsi="Times New Roman" w:cs="Times New Roman"/>
                      <w:color w:val="auto"/>
                      <w:sz w:val="21"/>
                      <w:szCs w:val="21"/>
                      <w:lang w:eastAsia="zh-CN"/>
                    </w:rPr>
                    <w:t>。</w:t>
                  </w:r>
                </w:p>
              </w:tc>
              <w:tc>
                <w:tcPr>
                  <w:tcW w:w="572" w:type="pct"/>
                  <w:tcBorders>
                    <w:left w:val="single" w:color="auto" w:sz="4" w:space="0"/>
                  </w:tcBorders>
                  <w:noWrap w:val="0"/>
                  <w:vAlign w:val="center"/>
                </w:tcPr>
                <w:p w14:paraId="784CA4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val="en-US" w:eastAsia="zh-CN" w:bidi="ar"/>
                    </w:rPr>
                    <w:t>已建成</w:t>
                  </w:r>
                </w:p>
              </w:tc>
            </w:tr>
            <w:tr w14:paraId="0414C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27E8FE2A">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tcBorders>
                    <w:top w:val="single" w:color="auto" w:sz="4" w:space="0"/>
                  </w:tcBorders>
                  <w:noWrap w:val="0"/>
                  <w:vAlign w:val="center"/>
                </w:tcPr>
                <w:p w14:paraId="6EE2DD7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bidi="ar"/>
                    </w:rPr>
                  </w:pPr>
                  <w:r>
                    <w:rPr>
                      <w:rFonts w:hint="eastAsia" w:cs="Times New Roman"/>
                      <w:color w:val="auto"/>
                      <w:sz w:val="21"/>
                      <w:szCs w:val="21"/>
                      <w:lang w:val="en-US" w:eastAsia="zh-CN" w:bidi="ar"/>
                    </w:rPr>
                    <w:t>轻质柴油储罐</w:t>
                  </w:r>
                </w:p>
              </w:tc>
              <w:tc>
                <w:tcPr>
                  <w:tcW w:w="2874" w:type="pct"/>
                  <w:tcBorders>
                    <w:right w:val="single" w:color="auto" w:sz="4" w:space="0"/>
                  </w:tcBorders>
                  <w:noWrap w:val="0"/>
                  <w:vAlign w:val="center"/>
                </w:tcPr>
                <w:p w14:paraId="3606D0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设置</w:t>
                  </w:r>
                  <w:r>
                    <w:rPr>
                      <w:rFonts w:hint="eastAsia" w:cs="Times New Roman"/>
                      <w:color w:val="auto"/>
                      <w:sz w:val="21"/>
                      <w:szCs w:val="21"/>
                      <w:lang w:val="en-US" w:eastAsia="zh-CN"/>
                    </w:rPr>
                    <w:t>轻质</w:t>
                  </w:r>
                  <w:r>
                    <w:rPr>
                      <w:rFonts w:hint="default" w:ascii="Times New Roman" w:hAnsi="Times New Roman" w:cs="Times New Roman"/>
                      <w:color w:val="auto"/>
                      <w:sz w:val="21"/>
                      <w:szCs w:val="21"/>
                    </w:rPr>
                    <w:t>柴油储罐</w:t>
                  </w:r>
                  <w:r>
                    <w:rPr>
                      <w:rFonts w:hint="eastAsia" w:cs="Times New Roman"/>
                      <w:color w:val="auto"/>
                      <w:sz w:val="21"/>
                      <w:szCs w:val="21"/>
                      <w:lang w:val="en-US" w:eastAsia="zh-CN"/>
                    </w:rPr>
                    <w:t>1</w:t>
                  </w:r>
                  <w:r>
                    <w:rPr>
                      <w:rFonts w:hint="default" w:ascii="Times New Roman" w:hAnsi="Times New Roman" w:cs="Times New Roman"/>
                      <w:color w:val="auto"/>
                      <w:sz w:val="21"/>
                      <w:szCs w:val="21"/>
                    </w:rPr>
                    <w:t>个，</w:t>
                  </w:r>
                  <w:r>
                    <w:rPr>
                      <w:rFonts w:hint="eastAsia" w:cs="Times New Roman"/>
                      <w:color w:val="auto"/>
                      <w:sz w:val="21"/>
                      <w:szCs w:val="21"/>
                      <w:lang w:val="en-US" w:eastAsia="zh-CN"/>
                    </w:rPr>
                    <w:t>柴油储罐区占地面积</w:t>
                  </w:r>
                  <w:r>
                    <w:rPr>
                      <w:rFonts w:hint="eastAsia" w:ascii="Times New Roman" w:hAnsi="Times New Roman" w:cs="Times New Roman"/>
                      <w:color w:val="auto"/>
                      <w:sz w:val="21"/>
                      <w:szCs w:val="21"/>
                      <w:lang w:val="en-US" w:eastAsia="zh-CN"/>
                    </w:rPr>
                    <w:t>约50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位于</w:t>
                  </w:r>
                  <w:r>
                    <w:rPr>
                      <w:rFonts w:hint="eastAsia" w:cs="Times New Roman"/>
                      <w:color w:val="auto"/>
                      <w:sz w:val="21"/>
                      <w:szCs w:val="21"/>
                      <w:lang w:val="en-US" w:eastAsia="zh-CN"/>
                    </w:rPr>
                    <w:t>1000型拌合站北</w:t>
                  </w:r>
                  <w:r>
                    <w:rPr>
                      <w:rFonts w:hint="eastAsia" w:ascii="Times New Roman" w:hAnsi="Times New Roman" w:cs="Times New Roman"/>
                      <w:color w:val="auto"/>
                      <w:sz w:val="21"/>
                      <w:szCs w:val="21"/>
                      <w:lang w:val="en-US" w:eastAsia="zh-CN"/>
                    </w:rPr>
                    <w:t>侧，</w:t>
                  </w:r>
                  <w:r>
                    <w:rPr>
                      <w:rFonts w:hint="eastAsia" w:cs="Times New Roman"/>
                      <w:color w:val="auto"/>
                      <w:sz w:val="21"/>
                      <w:szCs w:val="21"/>
                      <w:lang w:val="en-US" w:eastAsia="zh-CN"/>
                    </w:rPr>
                    <w:t>轻质</w:t>
                  </w:r>
                  <w:r>
                    <w:rPr>
                      <w:rFonts w:hint="default" w:ascii="Times New Roman" w:hAnsi="Times New Roman" w:cs="Times New Roman"/>
                      <w:color w:val="auto"/>
                      <w:sz w:val="21"/>
                      <w:szCs w:val="21"/>
                    </w:rPr>
                    <w:t>柴油储罐容积为</w:t>
                  </w:r>
                  <w:r>
                    <w:rPr>
                      <w:rFonts w:hint="eastAsia" w:cs="Times New Roman"/>
                      <w:color w:val="auto"/>
                      <w:sz w:val="21"/>
                      <w:szCs w:val="21"/>
                      <w:lang w:val="en-US" w:eastAsia="zh-CN"/>
                    </w:rPr>
                    <w:t>5</w:t>
                  </w:r>
                  <w:r>
                    <w:rPr>
                      <w:rFonts w:hint="eastAsia" w:ascii="Times New Roman" w:hAnsi="Times New Roman"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。储罐为地面双层储罐，地坪采用</w:t>
                  </w:r>
                  <w:r>
                    <w:rPr>
                      <w:rFonts w:hint="eastAsia" w:cs="Times New Roman"/>
                      <w:color w:val="auto"/>
                      <w:sz w:val="21"/>
                      <w:szCs w:val="21"/>
                      <w:lang w:val="en-US" w:eastAsia="zh-CN"/>
                    </w:rPr>
                    <w:t>重点</w:t>
                  </w:r>
                  <w:r>
                    <w:rPr>
                      <w:rFonts w:hint="default" w:ascii="Times New Roman" w:hAnsi="Times New Roman" w:cs="Times New Roman"/>
                      <w:color w:val="auto"/>
                      <w:sz w:val="21"/>
                      <w:szCs w:val="21"/>
                    </w:rPr>
                    <w:t>防渗措施</w:t>
                  </w:r>
                  <w:r>
                    <w:rPr>
                      <w:rFonts w:hint="eastAsia" w:cs="Times New Roman"/>
                      <w:color w:val="auto"/>
                      <w:sz w:val="21"/>
                      <w:szCs w:val="21"/>
                      <w:lang w:eastAsia="zh-CN"/>
                    </w:rPr>
                    <w:t>（</w:t>
                  </w:r>
                  <w:r>
                    <w:rPr>
                      <w:rFonts w:ascii="Times New Roman" w:hAnsi="Times New Roman"/>
                      <w:bCs/>
                      <w:color w:val="auto"/>
                      <w:spacing w:val="0"/>
                      <w:sz w:val="21"/>
                      <w:szCs w:val="21"/>
                    </w:rPr>
                    <w:t>水泥+2mm厚HDPE膜+环氧树脂，渗透系数K≤1×10</w:t>
                  </w:r>
                  <w:r>
                    <w:rPr>
                      <w:rFonts w:ascii="Times New Roman" w:hAnsi="Times New Roman"/>
                      <w:bCs/>
                      <w:color w:val="auto"/>
                      <w:spacing w:val="0"/>
                      <w:sz w:val="21"/>
                      <w:szCs w:val="21"/>
                      <w:vertAlign w:val="superscript"/>
                    </w:rPr>
                    <w:t>-10</w:t>
                  </w:r>
                  <w:r>
                    <w:rPr>
                      <w:rFonts w:ascii="Times New Roman" w:hAnsi="Times New Roman"/>
                      <w:bCs/>
                      <w:color w:val="auto"/>
                      <w:spacing w:val="0"/>
                      <w:sz w:val="21"/>
                      <w:szCs w:val="21"/>
                    </w:rPr>
                    <w:t>cm/s</w:t>
                  </w:r>
                  <w:r>
                    <w:rPr>
                      <w:rFonts w:hint="eastAsia" w:cs="Times New Roman"/>
                      <w:color w:val="auto"/>
                      <w:sz w:val="21"/>
                      <w:szCs w:val="21"/>
                      <w:lang w:eastAsia="zh-CN"/>
                    </w:rPr>
                    <w:t>）</w:t>
                  </w:r>
                  <w:r>
                    <w:rPr>
                      <w:rFonts w:hint="default" w:ascii="Times New Roman" w:hAnsi="Times New Roman" w:cs="Times New Roman"/>
                      <w:color w:val="auto"/>
                      <w:sz w:val="21"/>
                      <w:szCs w:val="21"/>
                    </w:rPr>
                    <w:t>，储罐周围设置围堰。</w:t>
                  </w:r>
                  <w:r>
                    <w:rPr>
                      <w:rFonts w:ascii="Times New Roman" w:hAnsi="Times New Roman"/>
                      <w:bCs/>
                      <w:color w:val="auto"/>
                      <w:spacing w:val="0"/>
                      <w:sz w:val="21"/>
                      <w:szCs w:val="21"/>
                    </w:rPr>
                    <w:t>围堰</w:t>
                  </w:r>
                  <w:r>
                    <w:rPr>
                      <w:rFonts w:hint="eastAsia" w:ascii="Times New Roman" w:hAnsi="Times New Roman"/>
                      <w:bCs/>
                      <w:color w:val="auto"/>
                      <w:spacing w:val="0"/>
                      <w:sz w:val="21"/>
                      <w:szCs w:val="21"/>
                      <w:lang w:val="en-US" w:eastAsia="zh-CN"/>
                    </w:rPr>
                    <w:t>高度</w:t>
                  </w:r>
                  <w:r>
                    <w:rPr>
                      <w:rFonts w:ascii="Times New Roman" w:hAnsi="Times New Roman"/>
                      <w:bCs/>
                      <w:color w:val="auto"/>
                      <w:spacing w:val="0"/>
                      <w:sz w:val="21"/>
                      <w:szCs w:val="21"/>
                    </w:rPr>
                    <w:t>≥0.6m</w:t>
                  </w:r>
                  <w:r>
                    <w:rPr>
                      <w:rFonts w:hint="eastAsia"/>
                      <w:bCs/>
                      <w:color w:val="auto"/>
                      <w:spacing w:val="0"/>
                      <w:sz w:val="21"/>
                      <w:szCs w:val="21"/>
                      <w:lang w:eastAsia="zh-CN"/>
                    </w:rPr>
                    <w:t>，</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default" w:ascii="Times New Roman" w:hAnsi="Times New Roman" w:cs="Times New Roman"/>
                      <w:color w:val="auto"/>
                      <w:sz w:val="21"/>
                      <w:szCs w:val="21"/>
                    </w:rPr>
                    <w:t>顶部设顶棚</w:t>
                  </w:r>
                  <w:r>
                    <w:rPr>
                      <w:rFonts w:hint="eastAsia" w:ascii="Times New Roman" w:hAnsi="Times New Roman" w:cs="Times New Roman"/>
                      <w:color w:val="auto"/>
                      <w:sz w:val="21"/>
                      <w:szCs w:val="21"/>
                      <w:lang w:eastAsia="zh-CN"/>
                    </w:rPr>
                    <w:t>。</w:t>
                  </w:r>
                </w:p>
              </w:tc>
              <w:tc>
                <w:tcPr>
                  <w:tcW w:w="572" w:type="pct"/>
                  <w:tcBorders>
                    <w:left w:val="single" w:color="auto" w:sz="4" w:space="0"/>
                  </w:tcBorders>
                  <w:noWrap w:val="0"/>
                  <w:vAlign w:val="center"/>
                </w:tcPr>
                <w:p w14:paraId="77895F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color w:val="auto"/>
                      <w:sz w:val="21"/>
                      <w:szCs w:val="21"/>
                      <w:lang w:eastAsia="zh-CN" w:bidi="ar"/>
                    </w:rPr>
                  </w:pPr>
                  <w:r>
                    <w:rPr>
                      <w:rFonts w:hint="eastAsia" w:cs="Times New Roman"/>
                      <w:color w:val="auto"/>
                      <w:sz w:val="21"/>
                      <w:szCs w:val="21"/>
                      <w:lang w:val="en-US" w:eastAsia="zh-CN" w:bidi="ar"/>
                    </w:rPr>
                    <w:t>已建成</w:t>
                  </w:r>
                </w:p>
              </w:tc>
            </w:tr>
            <w:tr w14:paraId="29742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9" w:hRule="atLeast"/>
              </w:trPr>
              <w:tc>
                <w:tcPr>
                  <w:tcW w:w="477" w:type="pct"/>
                  <w:vMerge w:val="restart"/>
                  <w:noWrap w:val="0"/>
                  <w:vAlign w:val="center"/>
                </w:tcPr>
                <w:p w14:paraId="433C623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辅助工程</w:t>
                  </w:r>
                </w:p>
              </w:tc>
              <w:tc>
                <w:tcPr>
                  <w:tcW w:w="1075" w:type="pct"/>
                  <w:gridSpan w:val="2"/>
                  <w:noWrap w:val="0"/>
                  <w:vAlign w:val="center"/>
                </w:tcPr>
                <w:p w14:paraId="60F100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机械堆放场</w:t>
                  </w:r>
                </w:p>
              </w:tc>
              <w:tc>
                <w:tcPr>
                  <w:tcW w:w="2874" w:type="pct"/>
                  <w:tcBorders>
                    <w:right w:val="single" w:color="auto" w:sz="4" w:space="0"/>
                  </w:tcBorders>
                  <w:noWrap w:val="0"/>
                  <w:vAlign w:val="center"/>
                </w:tcPr>
                <w:p w14:paraId="57D2C2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位于项目区西侧，</w:t>
                  </w:r>
                  <w:r>
                    <w:rPr>
                      <w:rFonts w:hint="eastAsia" w:cs="Times New Roman"/>
                      <w:color w:val="auto"/>
                      <w:sz w:val="21"/>
                      <w:szCs w:val="21"/>
                      <w:lang w:val="en-US" w:eastAsia="zh-CN"/>
                    </w:rPr>
                    <w:t>占地面积</w:t>
                  </w:r>
                  <w:r>
                    <w:rPr>
                      <w:rFonts w:hint="eastAsia" w:ascii="Times New Roman" w:hAnsi="Times New Roman" w:cs="Times New Roman"/>
                      <w:color w:val="auto"/>
                      <w:sz w:val="21"/>
                      <w:szCs w:val="21"/>
                      <w:lang w:val="en-US" w:eastAsia="zh-CN"/>
                    </w:rPr>
                    <w:t>约</w:t>
                  </w:r>
                  <w:r>
                    <w:rPr>
                      <w:rFonts w:hint="eastAsia" w:cs="Times New Roman"/>
                      <w:color w:val="auto"/>
                      <w:sz w:val="21"/>
                      <w:szCs w:val="21"/>
                      <w:lang w:val="en-US" w:eastAsia="zh-CN"/>
                    </w:rPr>
                    <w:t>5</w:t>
                  </w:r>
                  <w:r>
                    <w:rPr>
                      <w:rFonts w:hint="eastAsia" w:ascii="Times New Roman" w:hAnsi="Times New Roman" w:cs="Times New Roman"/>
                      <w:color w:val="auto"/>
                      <w:sz w:val="21"/>
                      <w:szCs w:val="21"/>
                      <w:lang w:val="en-US" w:eastAsia="zh-CN"/>
                    </w:rPr>
                    <w:t>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，用于停放</w:t>
                  </w:r>
                  <w:r>
                    <w:rPr>
                      <w:rFonts w:hint="eastAsia" w:cs="Times New Roman"/>
                      <w:color w:val="auto"/>
                      <w:sz w:val="21"/>
                      <w:szCs w:val="21"/>
                      <w:lang w:val="en-US" w:eastAsia="zh-CN"/>
                    </w:rPr>
                    <w:t>各类设备及</w:t>
                  </w:r>
                  <w:r>
                    <w:rPr>
                      <w:rFonts w:hint="default" w:ascii="Times New Roman" w:hAnsi="Times New Roman" w:cs="Times New Roman"/>
                      <w:color w:val="auto"/>
                      <w:sz w:val="21"/>
                      <w:szCs w:val="21"/>
                    </w:rPr>
                    <w:t>运输车辆。</w:t>
                  </w:r>
                </w:p>
              </w:tc>
              <w:tc>
                <w:tcPr>
                  <w:tcW w:w="572" w:type="pct"/>
                  <w:tcBorders>
                    <w:left w:val="single" w:color="auto" w:sz="4" w:space="0"/>
                  </w:tcBorders>
                  <w:noWrap w:val="0"/>
                  <w:vAlign w:val="center"/>
                </w:tcPr>
                <w:p w14:paraId="0820A4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bidi="ar"/>
                    </w:rPr>
                    <w:t>已建成</w:t>
                  </w:r>
                </w:p>
              </w:tc>
            </w:tr>
            <w:tr w14:paraId="2CF0A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7B6962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1075" w:type="pct"/>
                  <w:gridSpan w:val="2"/>
                  <w:noWrap w:val="0"/>
                  <w:vAlign w:val="center"/>
                </w:tcPr>
                <w:p w14:paraId="2D0B3C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bidi="ar"/>
                    </w:rPr>
                    <w:t>办公</w:t>
                  </w:r>
                  <w:r>
                    <w:rPr>
                      <w:rFonts w:hint="eastAsia" w:ascii="Times New Roman" w:hAnsi="Times New Roman" w:cs="Times New Roman"/>
                      <w:color w:val="auto"/>
                      <w:sz w:val="21"/>
                      <w:szCs w:val="21"/>
                      <w:lang w:val="en-US" w:eastAsia="zh-CN" w:bidi="ar"/>
                    </w:rPr>
                    <w:t>楼</w:t>
                  </w:r>
                </w:p>
              </w:tc>
              <w:tc>
                <w:tcPr>
                  <w:tcW w:w="2874" w:type="pct"/>
                  <w:tcBorders>
                    <w:right w:val="single" w:color="auto" w:sz="4" w:space="0"/>
                  </w:tcBorders>
                  <w:noWrap w:val="0"/>
                  <w:vAlign w:val="center"/>
                </w:tcPr>
                <w:p w14:paraId="2450F7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布置于项目区西侧，共三层，占地面积335m²，建筑面积1052m²。包括办公室、出单室等。</w:t>
                  </w:r>
                </w:p>
              </w:tc>
              <w:tc>
                <w:tcPr>
                  <w:tcW w:w="572" w:type="pct"/>
                  <w:tcBorders>
                    <w:left w:val="single" w:color="auto" w:sz="4" w:space="0"/>
                  </w:tcBorders>
                  <w:noWrap w:val="0"/>
                  <w:vAlign w:val="center"/>
                </w:tcPr>
                <w:p w14:paraId="30BBF8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bidi="ar"/>
                    </w:rPr>
                    <w:t>已建成</w:t>
                  </w:r>
                </w:p>
              </w:tc>
            </w:tr>
            <w:tr w14:paraId="7C655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042901F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1075" w:type="pct"/>
                  <w:gridSpan w:val="2"/>
                  <w:noWrap w:val="0"/>
                  <w:vAlign w:val="center"/>
                </w:tcPr>
                <w:p w14:paraId="743234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住宿</w:t>
                  </w:r>
                  <w:r>
                    <w:rPr>
                      <w:rFonts w:hint="eastAsia" w:ascii="Times New Roman" w:hAnsi="Times New Roman" w:cs="Times New Roman"/>
                      <w:color w:val="auto"/>
                      <w:sz w:val="21"/>
                      <w:szCs w:val="21"/>
                      <w:lang w:val="en-US" w:eastAsia="zh-CN" w:bidi="ar"/>
                    </w:rPr>
                    <w:t>楼</w:t>
                  </w:r>
                </w:p>
              </w:tc>
              <w:tc>
                <w:tcPr>
                  <w:tcW w:w="2874" w:type="pct"/>
                  <w:tcBorders>
                    <w:right w:val="single" w:color="auto" w:sz="4" w:space="0"/>
                  </w:tcBorders>
                  <w:noWrap w:val="0"/>
                  <w:vAlign w:val="center"/>
                </w:tcPr>
                <w:p w14:paraId="1C2FD2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布置于项目区西侧，共三层，占地面积309m²，建筑面积1033m²。包括职工宿舍、食堂等。</w:t>
                  </w:r>
                </w:p>
              </w:tc>
              <w:tc>
                <w:tcPr>
                  <w:tcW w:w="572" w:type="pct"/>
                  <w:tcBorders>
                    <w:left w:val="single" w:color="auto" w:sz="4" w:space="0"/>
                  </w:tcBorders>
                  <w:noWrap w:val="0"/>
                  <w:vAlign w:val="center"/>
                </w:tcPr>
                <w:p w14:paraId="623740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lang w:bidi="ar"/>
                    </w:rPr>
                  </w:pPr>
                  <w:r>
                    <w:rPr>
                      <w:rFonts w:hint="eastAsia" w:cs="Times New Roman"/>
                      <w:color w:val="auto"/>
                      <w:sz w:val="21"/>
                      <w:szCs w:val="21"/>
                      <w:lang w:val="en-US" w:eastAsia="zh-CN" w:bidi="ar"/>
                    </w:rPr>
                    <w:t>已建成</w:t>
                  </w:r>
                </w:p>
              </w:tc>
            </w:tr>
            <w:tr w14:paraId="7B5EE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001038AD">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noWrap w:val="0"/>
                  <w:vAlign w:val="center"/>
                </w:tcPr>
                <w:p w14:paraId="6CB768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地磅</w:t>
                  </w:r>
                </w:p>
              </w:tc>
              <w:tc>
                <w:tcPr>
                  <w:tcW w:w="2874" w:type="pct"/>
                  <w:tcBorders>
                    <w:right w:val="single" w:color="auto" w:sz="4" w:space="0"/>
                  </w:tcBorders>
                  <w:noWrap w:val="0"/>
                  <w:vAlign w:val="center"/>
                </w:tcPr>
                <w:p w14:paraId="2D9159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bidi="ar"/>
                    </w:rPr>
                    <w:t>设置1台地磅房。</w:t>
                  </w:r>
                </w:p>
              </w:tc>
              <w:tc>
                <w:tcPr>
                  <w:tcW w:w="572" w:type="pct"/>
                  <w:tcBorders>
                    <w:left w:val="single" w:color="auto" w:sz="4" w:space="0"/>
                  </w:tcBorders>
                  <w:noWrap w:val="0"/>
                  <w:vAlign w:val="center"/>
                </w:tcPr>
                <w:p w14:paraId="3B131D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eastAsia" w:cs="Times New Roman"/>
                      <w:color w:val="auto"/>
                      <w:sz w:val="21"/>
                      <w:szCs w:val="21"/>
                      <w:lang w:val="en-US" w:eastAsia="zh-CN" w:bidi="ar"/>
                    </w:rPr>
                    <w:t>已建成</w:t>
                  </w:r>
                </w:p>
              </w:tc>
            </w:tr>
            <w:tr w14:paraId="4E159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restart"/>
                  <w:noWrap w:val="0"/>
                  <w:vAlign w:val="center"/>
                </w:tcPr>
                <w:p w14:paraId="3463C1D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lang w:bidi="ar"/>
                    </w:rPr>
                    <w:t>公用工程</w:t>
                  </w:r>
                </w:p>
              </w:tc>
              <w:tc>
                <w:tcPr>
                  <w:tcW w:w="1075" w:type="pct"/>
                  <w:gridSpan w:val="2"/>
                  <w:noWrap w:val="0"/>
                  <w:vAlign w:val="center"/>
                </w:tcPr>
                <w:p w14:paraId="3B0FE8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给水系统</w:t>
                  </w:r>
                </w:p>
              </w:tc>
              <w:tc>
                <w:tcPr>
                  <w:tcW w:w="2874" w:type="pct"/>
                  <w:tcBorders>
                    <w:right w:val="single" w:color="auto" w:sz="4" w:space="0"/>
                  </w:tcBorders>
                  <w:noWrap w:val="0"/>
                  <w:vAlign w:val="center"/>
                </w:tcPr>
                <w:p w14:paraId="3A45DC74">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生活和生产水源从项目区自建深井。</w:t>
                  </w:r>
                </w:p>
              </w:tc>
              <w:tc>
                <w:tcPr>
                  <w:tcW w:w="572" w:type="pct"/>
                  <w:tcBorders>
                    <w:left w:val="single" w:color="auto" w:sz="4" w:space="0"/>
                  </w:tcBorders>
                  <w:noWrap w:val="0"/>
                  <w:vAlign w:val="center"/>
                </w:tcPr>
                <w:p w14:paraId="19B29A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val="en-US" w:eastAsia="zh-CN" w:bidi="ar"/>
                    </w:rPr>
                    <w:t>已建成</w:t>
                  </w:r>
                </w:p>
              </w:tc>
            </w:tr>
            <w:tr w14:paraId="0FC91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485BE17E">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noWrap w:val="0"/>
                  <w:vAlign w:val="center"/>
                </w:tcPr>
                <w:p w14:paraId="2CD8ADF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排水系统</w:t>
                  </w:r>
                </w:p>
              </w:tc>
              <w:tc>
                <w:tcPr>
                  <w:tcW w:w="2874" w:type="pct"/>
                  <w:tcBorders>
                    <w:right w:val="single" w:color="auto" w:sz="4" w:space="0"/>
                  </w:tcBorders>
                  <w:noWrap w:val="0"/>
                  <w:vAlign w:val="center"/>
                </w:tcPr>
                <w:p w14:paraId="3E3DDF1E">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项目排水系统采用雨污分流制。雨水沿着厂区雨水沟排出厂外，</w:t>
                  </w:r>
                  <w:r>
                    <w:rPr>
                      <w:rFonts w:ascii="Times New Roman" w:hAnsi="Times New Roman" w:eastAsia="宋体"/>
                      <w:color w:val="000000" w:themeColor="text1"/>
                      <w:sz w:val="21"/>
                      <w:szCs w:val="21"/>
                      <w14:textFill>
                        <w14:solidFill>
                          <w14:schemeClr w14:val="tx1"/>
                        </w14:solidFill>
                      </w14:textFill>
                    </w:rPr>
                    <w:t>本项目</w:t>
                  </w:r>
                  <w:r>
                    <w:rPr>
                      <w:rFonts w:hint="eastAsia" w:cs="Times New Roman"/>
                      <w:color w:val="auto"/>
                      <w:sz w:val="21"/>
                      <w:szCs w:val="21"/>
                      <w:lang w:val="en-US" w:eastAsia="zh-CN"/>
                    </w:rPr>
                    <w:t>产生的</w:t>
                  </w:r>
                  <w:r>
                    <w:rPr>
                      <w:rFonts w:hint="default" w:ascii="Times New Roman" w:hAnsi="Times New Roman" w:cs="Times New Roman"/>
                      <w:color w:val="auto"/>
                      <w:sz w:val="21"/>
                      <w:szCs w:val="21"/>
                    </w:rPr>
                    <w:t>初期雨水</w:t>
                  </w:r>
                  <w:r>
                    <w:rPr>
                      <w:rFonts w:hint="eastAsia" w:cs="Times New Roman"/>
                      <w:color w:val="auto"/>
                      <w:sz w:val="21"/>
                      <w:szCs w:val="21"/>
                      <w:lang w:eastAsia="zh-CN"/>
                    </w:rPr>
                    <w:t>、</w:t>
                  </w:r>
                  <w:r>
                    <w:rPr>
                      <w:rFonts w:hint="eastAsia" w:cs="Times New Roman"/>
                      <w:color w:val="auto"/>
                      <w:sz w:val="21"/>
                      <w:szCs w:val="21"/>
                      <w:lang w:val="en-US" w:eastAsia="zh-CN"/>
                    </w:rPr>
                    <w:t>车辆及设备冲洗废水、</w:t>
                  </w:r>
                  <w:r>
                    <w:rPr>
                      <w:rFonts w:hint="eastAsia" w:ascii="Times New Roman" w:hAnsi="Times New Roman" w:cs="Times New Roman"/>
                      <w:color w:val="auto"/>
                      <w:sz w:val="21"/>
                      <w:szCs w:val="21"/>
                      <w:lang w:val="en-US" w:eastAsia="zh-CN"/>
                    </w:rPr>
                    <w:t>场地冲洗废水</w:t>
                  </w:r>
                  <w:r>
                    <w:rPr>
                      <w:rFonts w:hint="default" w:ascii="Times New Roman" w:hAnsi="Times New Roman" w:cs="Times New Roman"/>
                      <w:color w:val="auto"/>
                      <w:sz w:val="21"/>
                      <w:szCs w:val="21"/>
                    </w:rPr>
                    <w:t>排入三级隔油沉淀池处理</w:t>
                  </w:r>
                  <w:r>
                    <w:rPr>
                      <w:rFonts w:hint="eastAsia" w:cs="Times New Roman"/>
                      <w:color w:val="auto"/>
                      <w:sz w:val="21"/>
                      <w:szCs w:val="21"/>
                      <w:lang w:val="en-US" w:eastAsia="zh-CN"/>
                    </w:rPr>
                    <w:t>后</w:t>
                  </w:r>
                  <w:r>
                    <w:rPr>
                      <w:rFonts w:hint="eastAsia" w:ascii="Times New Roman" w:hAnsi="Times New Roman" w:eastAsia="宋体" w:cs="Times New Roman"/>
                      <w:smallCaps w:val="0"/>
                      <w:color w:val="auto"/>
                      <w:sz w:val="21"/>
                      <w:szCs w:val="21"/>
                      <w:lang w:val="en-US" w:eastAsia="zh-CN"/>
                    </w:rPr>
                    <w:t>回</w:t>
                  </w:r>
                  <w:r>
                    <w:rPr>
                      <w:rFonts w:hint="default" w:ascii="Times New Roman" w:hAnsi="Times New Roman" w:eastAsia="宋体" w:cs="Times New Roman"/>
                      <w:smallCaps w:val="0"/>
                      <w:color w:val="auto"/>
                      <w:sz w:val="21"/>
                      <w:szCs w:val="21"/>
                      <w:lang w:val="en-US" w:eastAsia="zh-CN"/>
                    </w:rPr>
                    <w:t>用于</w:t>
                  </w:r>
                  <w:r>
                    <w:rPr>
                      <w:rFonts w:hint="eastAsia" w:ascii="Times New Roman" w:hAnsi="Times New Roman" w:eastAsia="宋体" w:cs="Times New Roman"/>
                      <w:smallCaps w:val="0"/>
                      <w:color w:val="auto"/>
                      <w:sz w:val="21"/>
                      <w:szCs w:val="21"/>
                      <w:lang w:val="en-US" w:eastAsia="zh-CN"/>
                    </w:rPr>
                    <w:t>厂区</w:t>
                  </w:r>
                  <w:r>
                    <w:rPr>
                      <w:rFonts w:hint="default" w:ascii="Times New Roman" w:hAnsi="Times New Roman" w:eastAsia="宋体" w:cs="Times New Roman"/>
                      <w:smallCaps w:val="0"/>
                      <w:color w:val="auto"/>
                      <w:sz w:val="21"/>
                      <w:szCs w:val="21"/>
                      <w:lang w:val="en-US" w:eastAsia="zh-CN"/>
                    </w:rPr>
                    <w:t>搅拌工作区地面冲洗</w:t>
                  </w:r>
                  <w:r>
                    <w:rPr>
                      <w:rFonts w:hint="eastAsia" w:ascii="Times New Roman" w:hAnsi="Times New Roman" w:eastAsia="宋体" w:cs="Times New Roman"/>
                      <w:smallCaps w:val="0"/>
                      <w:color w:val="auto"/>
                      <w:sz w:val="21"/>
                      <w:szCs w:val="21"/>
                      <w:lang w:val="en-US" w:eastAsia="zh-CN"/>
                    </w:rPr>
                    <w:t>及洒水降尘</w:t>
                  </w:r>
                  <w:r>
                    <w:rPr>
                      <w:rFonts w:hint="default" w:ascii="Times New Roman" w:hAnsi="Times New Roman" w:cs="Times New Roman"/>
                      <w:color w:val="auto"/>
                      <w:sz w:val="21"/>
                      <w:szCs w:val="21"/>
                    </w:rPr>
                    <w:t>；</w:t>
                  </w:r>
                  <w:r>
                    <w:rPr>
                      <w:rFonts w:hint="eastAsia" w:ascii="Times New Roman" w:hAnsi="Times New Roman" w:eastAsia="宋体" w:cs="Times New Roman"/>
                      <w:color w:val="auto"/>
                      <w:sz w:val="21"/>
                      <w:szCs w:val="21"/>
                      <w:lang w:val="en-US" w:eastAsia="zh-CN"/>
                    </w:rPr>
                    <w:t>生活污水</w:t>
                  </w:r>
                  <w:r>
                    <w:rPr>
                      <w:rFonts w:hint="default" w:ascii="Times New Roman" w:hAnsi="Times New Roman" w:eastAsia="宋体" w:cs="Times New Roman"/>
                      <w:color w:val="auto"/>
                      <w:sz w:val="21"/>
                      <w:szCs w:val="21"/>
                      <w:lang w:val="en-US" w:eastAsia="zh-CN"/>
                    </w:rPr>
                    <w:t>经</w:t>
                  </w:r>
                  <w:r>
                    <w:rPr>
                      <w:rFonts w:hint="eastAsia" w:ascii="Times New Roman" w:hAnsi="Times New Roman" w:eastAsia="宋体" w:cs="Times New Roman"/>
                      <w:color w:val="auto"/>
                      <w:sz w:val="21"/>
                      <w:szCs w:val="21"/>
                      <w:lang w:val="en-US" w:eastAsia="zh-CN"/>
                    </w:rPr>
                    <w:t>化粪池及</w:t>
                  </w:r>
                  <w:r>
                    <w:rPr>
                      <w:rFonts w:hint="default" w:ascii="Times New Roman" w:hAnsi="Times New Roman" w:eastAsia="宋体" w:cs="Times New Roman"/>
                      <w:color w:val="auto"/>
                      <w:sz w:val="21"/>
                      <w:szCs w:val="21"/>
                      <w:lang w:val="en-US" w:eastAsia="zh-CN"/>
                    </w:rPr>
                    <w:t>污水处理站处理后近期</w:t>
                  </w:r>
                  <w:r>
                    <w:rPr>
                      <w:rFonts w:hint="eastAsia" w:ascii="Times New Roman" w:hAnsi="Times New Roman" w:eastAsia="宋体" w:cs="Times New Roman"/>
                      <w:color w:val="auto"/>
                      <w:sz w:val="21"/>
                      <w:szCs w:val="21"/>
                      <w:lang w:val="en-US" w:eastAsia="zh-CN"/>
                    </w:rPr>
                    <w:t>用于厂区绿化，</w:t>
                  </w:r>
                  <w:r>
                    <w:rPr>
                      <w:rFonts w:hint="default" w:ascii="Times New Roman" w:hAnsi="Times New Roman" w:eastAsia="宋体" w:cs="Times New Roman"/>
                      <w:color w:val="auto"/>
                      <w:sz w:val="21"/>
                      <w:szCs w:val="21"/>
                      <w:lang w:val="en-US" w:eastAsia="zh-CN"/>
                    </w:rPr>
                    <w:t>远期进入帕底工业园区污水处理厂</w:t>
                  </w:r>
                  <w:r>
                    <w:rPr>
                      <w:rFonts w:hint="eastAsia" w:ascii="Times New Roman" w:hAnsi="Times New Roman" w:eastAsia="宋体" w:cs="Times New Roman"/>
                      <w:color w:val="auto"/>
                      <w:sz w:val="21"/>
                      <w:szCs w:val="21"/>
                      <w:lang w:val="en-US" w:eastAsia="zh-CN"/>
                    </w:rPr>
                    <w:t>。</w:t>
                  </w:r>
                </w:p>
              </w:tc>
              <w:tc>
                <w:tcPr>
                  <w:tcW w:w="572" w:type="pct"/>
                  <w:tcBorders>
                    <w:left w:val="single" w:color="auto" w:sz="4" w:space="0"/>
                  </w:tcBorders>
                  <w:noWrap w:val="0"/>
                  <w:vAlign w:val="center"/>
                </w:tcPr>
                <w:p w14:paraId="24B281F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cs="Times New Roman"/>
                      <w:color w:val="auto"/>
                      <w:sz w:val="21"/>
                      <w:szCs w:val="21"/>
                      <w:lang w:val="en-US" w:eastAsia="zh-CN" w:bidi="ar"/>
                    </w:rPr>
                    <w:t>已建成</w:t>
                  </w:r>
                </w:p>
              </w:tc>
            </w:tr>
            <w:tr w14:paraId="5976F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5998AC84">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noWrap w:val="0"/>
                  <w:vAlign w:val="center"/>
                </w:tcPr>
                <w:p w14:paraId="3707C6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rPr>
                    <w:t>供电系统</w:t>
                  </w:r>
                </w:p>
              </w:tc>
              <w:tc>
                <w:tcPr>
                  <w:tcW w:w="2874" w:type="pct"/>
                  <w:tcBorders>
                    <w:right w:val="single" w:color="auto" w:sz="4" w:space="0"/>
                  </w:tcBorders>
                  <w:noWrap w:val="0"/>
                  <w:vAlign w:val="center"/>
                </w:tcPr>
                <w:p w14:paraId="6B9D82AC">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rPr>
                    <w:t>由</w:t>
                  </w:r>
                  <w:r>
                    <w:rPr>
                      <w:rFonts w:hint="default" w:ascii="Times New Roman" w:hAnsi="Times New Roman" w:cs="Times New Roman"/>
                      <w:color w:val="auto"/>
                      <w:sz w:val="21"/>
                      <w:szCs w:val="21"/>
                      <w:lang w:bidi="ar"/>
                    </w:rPr>
                    <w:t>当地电力公司</w:t>
                  </w:r>
                  <w:r>
                    <w:rPr>
                      <w:rFonts w:hint="default" w:ascii="Times New Roman" w:hAnsi="Times New Roman" w:cs="Times New Roman"/>
                      <w:color w:val="auto"/>
                      <w:sz w:val="21"/>
                      <w:szCs w:val="21"/>
                    </w:rPr>
                    <w:t>电网接入，在项目区设1个配电室，</w:t>
                  </w:r>
                  <w:r>
                    <w:rPr>
                      <w:rFonts w:hint="default" w:ascii="Times New Roman" w:hAnsi="Times New Roman" w:cs="Times New Roman"/>
                      <w:color w:val="auto"/>
                      <w:kern w:val="0"/>
                      <w:sz w:val="21"/>
                      <w:szCs w:val="21"/>
                      <w:lang w:bidi="ar"/>
                    </w:rPr>
                    <w:t>布置于厂区西侧</w:t>
                  </w:r>
                  <w:r>
                    <w:rPr>
                      <w:rFonts w:hint="default" w:ascii="Times New Roman" w:hAnsi="Times New Roman" w:cs="Times New Roman"/>
                      <w:color w:val="auto"/>
                      <w:sz w:val="21"/>
                      <w:szCs w:val="21"/>
                    </w:rPr>
                    <w:t>。</w:t>
                  </w:r>
                </w:p>
              </w:tc>
              <w:tc>
                <w:tcPr>
                  <w:tcW w:w="572" w:type="pct"/>
                  <w:tcBorders>
                    <w:left w:val="single" w:color="auto" w:sz="4" w:space="0"/>
                  </w:tcBorders>
                  <w:noWrap w:val="0"/>
                  <w:vAlign w:val="center"/>
                </w:tcPr>
                <w:p w14:paraId="5C06853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eastAsia" w:cs="Times New Roman"/>
                      <w:color w:val="auto"/>
                      <w:sz w:val="21"/>
                      <w:szCs w:val="21"/>
                      <w:lang w:val="en-US" w:eastAsia="zh-CN" w:bidi="ar"/>
                    </w:rPr>
                    <w:t>已建成</w:t>
                  </w:r>
                </w:p>
              </w:tc>
            </w:tr>
            <w:tr w14:paraId="2D28F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642245BE">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vMerge w:val="restart"/>
                  <w:noWrap w:val="0"/>
                  <w:vAlign w:val="center"/>
                </w:tcPr>
                <w:p w14:paraId="127A065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供热</w:t>
                  </w:r>
                </w:p>
              </w:tc>
              <w:tc>
                <w:tcPr>
                  <w:tcW w:w="2874" w:type="pct"/>
                  <w:tcBorders>
                    <w:right w:val="single" w:color="auto" w:sz="4" w:space="0"/>
                  </w:tcBorders>
                  <w:noWrap w:val="0"/>
                  <w:vAlign w:val="center"/>
                </w:tcPr>
                <w:p w14:paraId="1883003B">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rPr>
                  </w:pPr>
                  <w:r>
                    <w:rPr>
                      <w:rFonts w:hint="eastAsia" w:cs="Times New Roman"/>
                      <w:color w:val="auto"/>
                      <w:sz w:val="21"/>
                      <w:szCs w:val="21"/>
                      <w:lang w:val="en-US" w:eastAsia="zh-CN" w:bidi="ar"/>
                    </w:rPr>
                    <w:t>设置2套</w:t>
                  </w:r>
                  <w:r>
                    <w:rPr>
                      <w:rFonts w:hint="default" w:ascii="Times New Roman" w:hAnsi="Times New Roman" w:cs="Times New Roman"/>
                      <w:color w:val="auto"/>
                      <w:sz w:val="21"/>
                      <w:szCs w:val="21"/>
                      <w:lang w:bidi="ar"/>
                    </w:rPr>
                    <w:t>导热油炉为沥青加热设备，使用</w:t>
                  </w:r>
                  <w:r>
                    <w:rPr>
                      <w:rFonts w:hint="eastAsia" w:cs="Times New Roman"/>
                      <w:color w:val="auto"/>
                      <w:sz w:val="21"/>
                      <w:szCs w:val="21"/>
                      <w:lang w:val="en-US" w:eastAsia="zh-CN" w:bidi="ar"/>
                    </w:rPr>
                    <w:t>轻质柴油</w:t>
                  </w:r>
                  <w:r>
                    <w:rPr>
                      <w:rFonts w:hint="default" w:ascii="Times New Roman" w:hAnsi="Times New Roman" w:cs="Times New Roman"/>
                      <w:color w:val="auto"/>
                      <w:sz w:val="21"/>
                      <w:szCs w:val="21"/>
                    </w:rPr>
                    <w:t>对导热油</w:t>
                  </w:r>
                  <w:r>
                    <w:rPr>
                      <w:rFonts w:hint="default" w:ascii="Times New Roman" w:hAnsi="Times New Roman" w:cs="Times New Roman"/>
                      <w:color w:val="auto"/>
                      <w:sz w:val="21"/>
                      <w:szCs w:val="21"/>
                      <w:lang w:bidi="ar"/>
                    </w:rPr>
                    <w:t>进行加热。导热油炉</w:t>
                  </w:r>
                  <w:r>
                    <w:rPr>
                      <w:rFonts w:hint="default" w:ascii="Times New Roman" w:hAnsi="Times New Roman" w:cs="Times New Roman"/>
                      <w:color w:val="auto"/>
                      <w:sz w:val="21"/>
                      <w:szCs w:val="21"/>
                    </w:rPr>
                    <w:t>含输送泵、加热器，</w:t>
                  </w:r>
                  <w:r>
                    <w:rPr>
                      <w:rFonts w:hint="eastAsia"/>
                      <w:color w:val="auto"/>
                      <w:sz w:val="21"/>
                      <w:szCs w:val="21"/>
                    </w:rPr>
                    <w:t>使用导热油炉将沥青加热至</w:t>
                  </w:r>
                  <w:r>
                    <w:rPr>
                      <w:color w:val="auto"/>
                      <w:sz w:val="21"/>
                      <w:szCs w:val="21"/>
                    </w:rPr>
                    <w:t>150</w:t>
                  </w:r>
                  <w:r>
                    <w:rPr>
                      <w:rFonts w:hint="eastAsia"/>
                      <w:color w:val="auto"/>
                      <w:sz w:val="21"/>
                      <w:szCs w:val="21"/>
                    </w:rPr>
                    <w:t>～180℃。加热方式为间接加热。</w:t>
                  </w:r>
                </w:p>
              </w:tc>
              <w:tc>
                <w:tcPr>
                  <w:tcW w:w="572" w:type="pct"/>
                  <w:tcBorders>
                    <w:left w:val="single" w:color="auto" w:sz="4" w:space="0"/>
                  </w:tcBorders>
                  <w:noWrap w:val="0"/>
                  <w:vAlign w:val="center"/>
                </w:tcPr>
                <w:p w14:paraId="6D2B69F3">
                  <w:pPr>
                    <w:pStyle w:val="60"/>
                    <w:keepNext w:val="0"/>
                    <w:keepLines w:val="0"/>
                    <w:pageBreakBefore w:val="0"/>
                    <w:kinsoku/>
                    <w:wordWrap/>
                    <w:overflowPunct/>
                    <w:topLinePunct w:val="0"/>
                    <w:autoSpaceDE/>
                    <w:autoSpaceDN/>
                    <w:bidi w:val="0"/>
                    <w:spacing w:before="0" w:beforeLines="0" w:after="0" w:afterLines="0"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bidi="ar"/>
                    </w:rPr>
                    <w:t>1#生产线导热油炉已建成，2#生产线导热油炉为新建</w:t>
                  </w:r>
                </w:p>
              </w:tc>
            </w:tr>
            <w:tr w14:paraId="3FD30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49F8D75C">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vMerge w:val="continue"/>
                  <w:noWrap w:val="0"/>
                  <w:vAlign w:val="center"/>
                </w:tcPr>
                <w:p w14:paraId="2255B0D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874" w:type="pct"/>
                  <w:tcBorders>
                    <w:right w:val="single" w:color="auto" w:sz="4" w:space="0"/>
                  </w:tcBorders>
                  <w:noWrap w:val="0"/>
                  <w:vAlign w:val="center"/>
                </w:tcPr>
                <w:p w14:paraId="0D26F4C0">
                  <w:pPr>
                    <w:pStyle w:val="60"/>
                    <w:keepNext w:val="0"/>
                    <w:keepLines w:val="0"/>
                    <w:pageBreakBefore w:val="0"/>
                    <w:kinsoku/>
                    <w:wordWrap/>
                    <w:overflowPunct/>
                    <w:topLinePunct w:val="0"/>
                    <w:autoSpaceDE/>
                    <w:autoSpaceDN/>
                    <w:bidi w:val="0"/>
                    <w:spacing w:before="0" w:beforeLines="0" w:after="0" w:afterLines="0"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沥青生产线冷料加热采用烘干滚筒，烘干滚筒配备燃油燃烧器。</w:t>
                  </w:r>
                </w:p>
              </w:tc>
              <w:tc>
                <w:tcPr>
                  <w:tcW w:w="572" w:type="pct"/>
                  <w:tcBorders>
                    <w:left w:val="single" w:color="auto" w:sz="4" w:space="0"/>
                  </w:tcBorders>
                  <w:noWrap w:val="0"/>
                  <w:vAlign w:val="center"/>
                </w:tcPr>
                <w:p w14:paraId="6E86E06E">
                  <w:pPr>
                    <w:pStyle w:val="60"/>
                    <w:keepNext w:val="0"/>
                    <w:keepLines w:val="0"/>
                    <w:pageBreakBefore w:val="0"/>
                    <w:kinsoku/>
                    <w:wordWrap/>
                    <w:overflowPunct/>
                    <w:topLinePunct w:val="0"/>
                    <w:autoSpaceDE/>
                    <w:autoSpaceDN/>
                    <w:bidi w:val="0"/>
                    <w:spacing w:before="0" w:beforeLines="0" w:after="0" w:afterLines="0"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bidi="ar"/>
                    </w:rPr>
                    <w:t>1#生产线燃烧器已建成，2#生产线燃烧器为新建</w:t>
                  </w:r>
                </w:p>
              </w:tc>
            </w:tr>
            <w:tr w14:paraId="67BAF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7A7825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p>
              </w:tc>
              <w:tc>
                <w:tcPr>
                  <w:tcW w:w="1075" w:type="pct"/>
                  <w:gridSpan w:val="2"/>
                  <w:noWrap w:val="0"/>
                  <w:vAlign w:val="center"/>
                </w:tcPr>
                <w:p w14:paraId="04E59D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消防</w:t>
                  </w:r>
                </w:p>
              </w:tc>
              <w:tc>
                <w:tcPr>
                  <w:tcW w:w="2874" w:type="pct"/>
                  <w:tcBorders>
                    <w:right w:val="single" w:color="auto" w:sz="4" w:space="0"/>
                  </w:tcBorders>
                  <w:noWrap w:val="0"/>
                  <w:vAlign w:val="center"/>
                </w:tcPr>
                <w:p w14:paraId="072826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项目区南侧设置1座容积为</w:t>
                  </w:r>
                  <w:r>
                    <w:rPr>
                      <w:rFonts w:hint="eastAsia" w:cs="Times New Roman"/>
                      <w:bCs/>
                      <w:color w:val="auto"/>
                      <w:sz w:val="21"/>
                      <w:szCs w:val="21"/>
                      <w:lang w:val="en-US" w:eastAsia="zh-CN" w:bidi="ar"/>
                    </w:rPr>
                    <w:t>20</w:t>
                  </w:r>
                  <w:r>
                    <w:rPr>
                      <w:rFonts w:hint="default" w:ascii="Times New Roman" w:hAnsi="Times New Roman" w:cs="Times New Roman"/>
                      <w:bCs/>
                      <w:color w:val="auto"/>
                      <w:sz w:val="21"/>
                      <w:szCs w:val="21"/>
                      <w:lang w:bidi="ar"/>
                    </w:rPr>
                    <w:t>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的消防水池。</w:t>
                  </w:r>
                </w:p>
              </w:tc>
              <w:tc>
                <w:tcPr>
                  <w:tcW w:w="572" w:type="pct"/>
                  <w:tcBorders>
                    <w:left w:val="single" w:color="auto" w:sz="4" w:space="0"/>
                  </w:tcBorders>
                  <w:noWrap w:val="0"/>
                  <w:vAlign w:val="center"/>
                </w:tcPr>
                <w:p w14:paraId="7A8AF9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rPr>
                  </w:pPr>
                  <w:r>
                    <w:rPr>
                      <w:rFonts w:hint="eastAsia" w:cs="Times New Roman"/>
                      <w:bCs/>
                      <w:color w:val="auto"/>
                      <w:sz w:val="21"/>
                      <w:szCs w:val="21"/>
                      <w:lang w:val="en-US" w:eastAsia="zh-CN" w:bidi="ar"/>
                    </w:rPr>
                    <w:t>已建成</w:t>
                  </w:r>
                </w:p>
              </w:tc>
            </w:tr>
            <w:tr w14:paraId="0A2D4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restart"/>
                  <w:noWrap w:val="0"/>
                  <w:vAlign w:val="center"/>
                </w:tcPr>
                <w:p w14:paraId="6BC0A8D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环保</w:t>
                  </w:r>
                </w:p>
                <w:p w14:paraId="1A6FE29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工程</w:t>
                  </w:r>
                </w:p>
              </w:tc>
              <w:tc>
                <w:tcPr>
                  <w:tcW w:w="370" w:type="pct"/>
                  <w:vMerge w:val="restart"/>
                  <w:tcBorders>
                    <w:right w:val="single" w:color="auto" w:sz="4" w:space="0"/>
                  </w:tcBorders>
                  <w:noWrap w:val="0"/>
                  <w:vAlign w:val="center"/>
                </w:tcPr>
                <w:p w14:paraId="4DB324E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bidi="ar"/>
                    </w:rPr>
                    <w:t>废气</w:t>
                  </w:r>
                  <w:r>
                    <w:rPr>
                      <w:rFonts w:hint="eastAsia" w:cs="Times New Roman"/>
                      <w:color w:val="auto"/>
                      <w:sz w:val="21"/>
                      <w:szCs w:val="21"/>
                      <w:lang w:val="en-US" w:eastAsia="zh-CN" w:bidi="ar"/>
                    </w:rPr>
                    <w:t>治理</w:t>
                  </w:r>
                </w:p>
              </w:tc>
              <w:tc>
                <w:tcPr>
                  <w:tcW w:w="705" w:type="pct"/>
                  <w:tcBorders>
                    <w:left w:val="single" w:color="auto" w:sz="4" w:space="0"/>
                  </w:tcBorders>
                  <w:noWrap w:val="0"/>
                  <w:vAlign w:val="center"/>
                </w:tcPr>
                <w:p w14:paraId="699D55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1#生产线</w:t>
                  </w:r>
                  <w:r>
                    <w:rPr>
                      <w:rFonts w:hint="eastAsia" w:ascii="Times New Roman" w:hAnsi="Times New Roman" w:cs="Times New Roman"/>
                      <w:color w:val="auto"/>
                      <w:sz w:val="21"/>
                      <w:szCs w:val="21"/>
                      <w:lang w:val="en-US" w:eastAsia="zh-CN" w:bidi="ar"/>
                    </w:rPr>
                    <w:t>上料粉尘</w:t>
                  </w:r>
                </w:p>
              </w:tc>
              <w:tc>
                <w:tcPr>
                  <w:tcW w:w="2874" w:type="pct"/>
                  <w:tcBorders>
                    <w:right w:val="single" w:color="auto" w:sz="4" w:space="0"/>
                  </w:tcBorders>
                  <w:noWrap w:val="0"/>
                  <w:vAlign w:val="center"/>
                </w:tcPr>
                <w:p w14:paraId="689CF5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bCs/>
                      <w:color w:val="auto"/>
                      <w:sz w:val="21"/>
                      <w:szCs w:val="21"/>
                      <w:lang w:bidi="ar"/>
                    </w:rPr>
                  </w:pPr>
                  <w:r>
                    <w:rPr>
                      <w:rFonts w:hint="eastAsia"/>
                      <w:color w:val="auto"/>
                      <w:sz w:val="21"/>
                      <w:szCs w:val="21"/>
                      <w:lang w:val="en-US" w:eastAsia="zh-CN" w:bidi="ar"/>
                    </w:rPr>
                    <w:t>集气罩</w:t>
                  </w:r>
                  <w:r>
                    <w:rPr>
                      <w:rFonts w:ascii="Times New Roman" w:hAnsi="Times New Roman"/>
                      <w:color w:val="auto"/>
                      <w:sz w:val="21"/>
                      <w:szCs w:val="21"/>
                      <w:lang w:bidi="ar"/>
                    </w:rPr>
                    <w:t>收集后</w:t>
                  </w:r>
                  <w:r>
                    <w:rPr>
                      <w:rFonts w:hint="eastAsia"/>
                      <w:color w:val="auto"/>
                      <w:sz w:val="21"/>
                      <w:szCs w:val="21"/>
                      <w:lang w:val="en-US" w:eastAsia="zh-CN" w:bidi="ar"/>
                    </w:rPr>
                    <w:t>（</w:t>
                  </w:r>
                  <w:r>
                    <w:rPr>
                      <w:rFonts w:hint="eastAsia" w:ascii="Times New Roman" w:hAnsi="Times New Roman" w:eastAsia="宋体" w:cs="Times New Roman"/>
                      <w:bCs/>
                      <w:color w:val="auto"/>
                      <w:sz w:val="21"/>
                      <w:szCs w:val="21"/>
                      <w:lang w:val="en-US" w:eastAsia="zh-CN"/>
                    </w:rPr>
                    <w:t>收集效率90%</w:t>
                  </w:r>
                  <w:r>
                    <w:rPr>
                      <w:rFonts w:hint="eastAsia" w:cs="Times New Roman"/>
                      <w:bCs/>
                      <w:color w:val="auto"/>
                      <w:sz w:val="21"/>
                      <w:szCs w:val="21"/>
                      <w:lang w:val="en-US" w:eastAsia="zh-CN"/>
                    </w:rPr>
                    <w:t>，</w:t>
                  </w:r>
                  <w:r>
                    <w:rPr>
                      <w:rFonts w:hint="eastAsia"/>
                      <w:color w:val="auto"/>
                      <w:sz w:val="21"/>
                      <w:szCs w:val="21"/>
                      <w:lang w:val="en-US" w:eastAsia="zh-CN" w:bidi="ar"/>
                    </w:rPr>
                    <w:t>引风机风量20000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）经</w:t>
                  </w:r>
                  <w:r>
                    <w:rPr>
                      <w:rFonts w:hint="eastAsia" w:ascii="Times New Roman" w:hAnsi="Times New Roman"/>
                      <w:color w:val="auto"/>
                      <w:sz w:val="21"/>
                      <w:szCs w:val="21"/>
                      <w:lang w:bidi="ar"/>
                    </w:rPr>
                    <w:t>一套</w:t>
                  </w:r>
                  <w:r>
                    <w:rPr>
                      <w:rFonts w:ascii="Times New Roman" w:hAnsi="Times New Roman"/>
                      <w:color w:val="auto"/>
                      <w:sz w:val="21"/>
                      <w:szCs w:val="21"/>
                    </w:rPr>
                    <w:t>布袋除</w:t>
                  </w:r>
                  <w:r>
                    <w:rPr>
                      <w:rFonts w:ascii="Times New Roman" w:hAnsi="Times New Roman" w:eastAsia="宋体" w:cs="Times New Roman"/>
                      <w:color w:val="auto"/>
                      <w:sz w:val="21"/>
                      <w:szCs w:val="21"/>
                      <w:lang w:bidi="ar"/>
                    </w:rPr>
                    <w:t>尘</w:t>
                  </w:r>
                  <w:r>
                    <w:rPr>
                      <w:rFonts w:hint="eastAsia" w:ascii="Times New Roman" w:hAnsi="Times New Roman" w:eastAsia="宋体" w:cs="Times New Roman"/>
                      <w:color w:val="auto"/>
                      <w:sz w:val="21"/>
                      <w:szCs w:val="21"/>
                      <w:lang w:val="en-US" w:eastAsia="zh-CN" w:bidi="ar"/>
                    </w:rPr>
                    <w:t>器</w:t>
                  </w:r>
                  <w:r>
                    <w:rPr>
                      <w:rFonts w:ascii="Times New Roman" w:hAnsi="Times New Roman" w:eastAsia="宋体" w:cs="Times New Roman"/>
                      <w:color w:val="auto"/>
                      <w:sz w:val="21"/>
                      <w:szCs w:val="21"/>
                      <w:lang w:bidi="ar"/>
                    </w:rPr>
                    <w:t>处</w:t>
                  </w:r>
                  <w:r>
                    <w:rPr>
                      <w:rFonts w:ascii="Times New Roman" w:hAnsi="Times New Roman"/>
                      <w:color w:val="auto"/>
                      <w:sz w:val="21"/>
                      <w:szCs w:val="21"/>
                    </w:rPr>
                    <w:t>理后经1根15m高的</w:t>
                  </w:r>
                  <w:r>
                    <w:rPr>
                      <w:rFonts w:hint="eastAsia" w:ascii="Times New Roman" w:hAnsi="Times New Roman"/>
                      <w:color w:val="auto"/>
                      <w:sz w:val="21"/>
                      <w:szCs w:val="21"/>
                      <w:lang w:val="en-US" w:eastAsia="zh-CN"/>
                    </w:rPr>
                    <w:t>DA001</w:t>
                  </w:r>
                  <w:r>
                    <w:rPr>
                      <w:rFonts w:ascii="Times New Roman" w:hAnsi="Times New Roman"/>
                      <w:color w:val="auto"/>
                      <w:sz w:val="21"/>
                      <w:szCs w:val="21"/>
                    </w:rPr>
                    <w:t>排气筒排放。</w:t>
                  </w:r>
                </w:p>
              </w:tc>
              <w:tc>
                <w:tcPr>
                  <w:tcW w:w="572" w:type="pct"/>
                  <w:tcBorders>
                    <w:left w:val="single" w:color="auto" w:sz="4" w:space="0"/>
                  </w:tcBorders>
                  <w:noWrap w:val="0"/>
                  <w:vAlign w:val="center"/>
                </w:tcPr>
                <w:p w14:paraId="676888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eastAsia" w:cs="Times New Roman"/>
                      <w:bCs/>
                      <w:color w:val="auto"/>
                      <w:sz w:val="21"/>
                      <w:szCs w:val="21"/>
                      <w:lang w:val="en-US" w:eastAsia="zh-CN" w:bidi="ar"/>
                    </w:rPr>
                    <w:t>已建成</w:t>
                  </w:r>
                </w:p>
              </w:tc>
            </w:tr>
            <w:tr w14:paraId="1207E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186EEF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p>
              </w:tc>
              <w:tc>
                <w:tcPr>
                  <w:tcW w:w="370" w:type="pct"/>
                  <w:vMerge w:val="continue"/>
                  <w:tcBorders>
                    <w:right w:val="single" w:color="auto" w:sz="4" w:space="0"/>
                  </w:tcBorders>
                  <w:noWrap w:val="0"/>
                  <w:vAlign w:val="center"/>
                </w:tcPr>
                <w:p w14:paraId="0E61433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705" w:type="pct"/>
                  <w:tcBorders>
                    <w:left w:val="single" w:color="auto" w:sz="4" w:space="0"/>
                  </w:tcBorders>
                  <w:noWrap w:val="0"/>
                  <w:vAlign w:val="center"/>
                </w:tcPr>
                <w:p w14:paraId="46622A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1#</w:t>
                  </w:r>
                  <w:r>
                    <w:rPr>
                      <w:rFonts w:hint="default" w:ascii="Times New Roman" w:hAnsi="Times New Roman" w:cs="Times New Roman"/>
                      <w:color w:val="auto"/>
                      <w:sz w:val="21"/>
                      <w:szCs w:val="21"/>
                      <w:lang w:bidi="ar"/>
                    </w:rPr>
                    <w:t>烘干滚筒</w:t>
                  </w:r>
                  <w:r>
                    <w:rPr>
                      <w:rFonts w:hint="eastAsia" w:cs="Times New Roman"/>
                      <w:color w:val="auto"/>
                      <w:sz w:val="21"/>
                      <w:szCs w:val="21"/>
                      <w:lang w:eastAsia="zh-CN" w:bidi="ar"/>
                    </w:rPr>
                    <w:t>、</w:t>
                  </w:r>
                  <w:r>
                    <w:rPr>
                      <w:rFonts w:hint="eastAsia" w:cs="Times New Roman"/>
                      <w:color w:val="auto"/>
                      <w:sz w:val="21"/>
                      <w:szCs w:val="21"/>
                      <w:lang w:val="en-US" w:eastAsia="zh-CN" w:bidi="ar"/>
                    </w:rPr>
                    <w:t>筛分过程、热骨料仓粉尘、</w:t>
                  </w:r>
                  <w:r>
                    <w:rPr>
                      <w:rFonts w:hint="default" w:ascii="Times New Roman" w:hAnsi="Times New Roman" w:cs="Times New Roman"/>
                      <w:color w:val="auto"/>
                      <w:sz w:val="21"/>
                      <w:szCs w:val="21"/>
                      <w:lang w:bidi="ar"/>
                    </w:rPr>
                    <w:t>燃烧器废气</w:t>
                  </w:r>
                  <w:r>
                    <w:rPr>
                      <w:rFonts w:hint="eastAsia" w:cs="Times New Roman"/>
                      <w:color w:val="auto"/>
                      <w:sz w:val="21"/>
                      <w:szCs w:val="21"/>
                      <w:lang w:val="en-US" w:eastAsia="zh-CN" w:bidi="ar"/>
                    </w:rPr>
                    <w:t>及</w:t>
                  </w:r>
                  <w:r>
                    <w:rPr>
                      <w:rFonts w:ascii="Times New Roman" w:hAnsi="Times New Roman"/>
                      <w:bCs/>
                      <w:color w:val="auto"/>
                      <w:sz w:val="21"/>
                      <w:szCs w:val="21"/>
                    </w:rPr>
                    <w:t>沥青罐</w:t>
                  </w:r>
                  <w:r>
                    <w:rPr>
                      <w:rFonts w:hint="eastAsia"/>
                      <w:bCs/>
                      <w:color w:val="auto"/>
                      <w:sz w:val="21"/>
                      <w:szCs w:val="21"/>
                      <w:lang w:val="en-US" w:eastAsia="zh-CN"/>
                    </w:rPr>
                    <w:t>加热</w:t>
                  </w:r>
                  <w:r>
                    <w:rPr>
                      <w:rFonts w:ascii="Times New Roman" w:hAnsi="Times New Roman"/>
                      <w:bCs/>
                      <w:color w:val="auto"/>
                      <w:sz w:val="21"/>
                      <w:szCs w:val="21"/>
                    </w:rPr>
                    <w:t>、搅拌机、成品仓</w:t>
                  </w:r>
                  <w:r>
                    <w:rPr>
                      <w:rFonts w:hint="eastAsia" w:ascii="Times New Roman" w:hAnsi="Times New Roman"/>
                      <w:bCs/>
                      <w:color w:val="auto"/>
                      <w:sz w:val="21"/>
                      <w:szCs w:val="21"/>
                      <w:lang w:val="en-US" w:eastAsia="zh-CN"/>
                    </w:rPr>
                    <w:t>沥青</w:t>
                  </w:r>
                  <w:r>
                    <w:rPr>
                      <w:rFonts w:hint="default" w:ascii="Times New Roman" w:hAnsi="Times New Roman" w:cs="Times New Roman"/>
                      <w:color w:val="auto"/>
                      <w:sz w:val="21"/>
                      <w:szCs w:val="21"/>
                      <w:lang w:bidi="ar"/>
                    </w:rPr>
                    <w:t>烟气</w:t>
                  </w:r>
                </w:p>
              </w:tc>
              <w:tc>
                <w:tcPr>
                  <w:tcW w:w="2874" w:type="pct"/>
                  <w:tcBorders>
                    <w:right w:val="single" w:color="auto" w:sz="4" w:space="0"/>
                  </w:tcBorders>
                  <w:noWrap w:val="0"/>
                  <w:vAlign w:val="center"/>
                </w:tcPr>
                <w:p w14:paraId="4B89F4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ascii="Times New Roman" w:hAnsi="Times New Roman"/>
                      <w:color w:val="auto"/>
                      <w:sz w:val="21"/>
                      <w:szCs w:val="21"/>
                      <w:lang w:bidi="ar"/>
                    </w:rPr>
                  </w:pPr>
                  <w:r>
                    <w:rPr>
                      <w:rFonts w:hint="eastAsia"/>
                      <w:color w:val="auto"/>
                      <w:sz w:val="21"/>
                      <w:szCs w:val="21"/>
                      <w:lang w:val="en-US" w:eastAsia="zh-CN" w:bidi="ar"/>
                    </w:rPr>
                    <w:t>统一</w:t>
                  </w:r>
                  <w:r>
                    <w:rPr>
                      <w:rFonts w:ascii="Times New Roman" w:hAnsi="Times New Roman"/>
                      <w:color w:val="auto"/>
                      <w:sz w:val="21"/>
                      <w:szCs w:val="21"/>
                      <w:lang w:bidi="ar"/>
                    </w:rPr>
                    <w:t>收集后</w:t>
                  </w:r>
                  <w:r>
                    <w:rPr>
                      <w:rFonts w:hint="eastAsia"/>
                      <w:color w:val="auto"/>
                      <w:sz w:val="21"/>
                      <w:szCs w:val="21"/>
                      <w:lang w:val="en-US" w:eastAsia="zh-CN" w:bidi="ar"/>
                    </w:rPr>
                    <w:t>（其中</w:t>
                  </w:r>
                  <w:r>
                    <w:rPr>
                      <w:rFonts w:ascii="Times New Roman" w:hAnsi="Times New Roman"/>
                      <w:bCs/>
                      <w:color w:val="auto"/>
                      <w:sz w:val="21"/>
                      <w:szCs w:val="21"/>
                    </w:rPr>
                    <w:t>青罐</w:t>
                  </w:r>
                  <w:r>
                    <w:rPr>
                      <w:rFonts w:hint="eastAsia"/>
                      <w:bCs/>
                      <w:color w:val="auto"/>
                      <w:sz w:val="21"/>
                      <w:szCs w:val="21"/>
                      <w:lang w:val="en-US" w:eastAsia="zh-CN"/>
                    </w:rPr>
                    <w:t>加热</w:t>
                  </w:r>
                  <w:r>
                    <w:rPr>
                      <w:rFonts w:ascii="Times New Roman" w:hAnsi="Times New Roman"/>
                      <w:bCs/>
                      <w:color w:val="auto"/>
                      <w:sz w:val="21"/>
                      <w:szCs w:val="21"/>
                    </w:rPr>
                    <w:t>、搅拌机、成品仓</w:t>
                  </w:r>
                  <w:r>
                    <w:rPr>
                      <w:rFonts w:hint="eastAsia" w:ascii="Times New Roman" w:hAnsi="Times New Roman"/>
                      <w:bCs/>
                      <w:color w:val="auto"/>
                      <w:sz w:val="21"/>
                      <w:szCs w:val="21"/>
                      <w:lang w:val="en-US" w:eastAsia="zh-CN"/>
                    </w:rPr>
                    <w:t>沥青</w:t>
                  </w:r>
                  <w:r>
                    <w:rPr>
                      <w:rFonts w:hint="default" w:ascii="Times New Roman" w:hAnsi="Times New Roman" w:cs="Times New Roman"/>
                      <w:color w:val="auto"/>
                      <w:sz w:val="21"/>
                      <w:szCs w:val="21"/>
                      <w:lang w:bidi="ar"/>
                    </w:rPr>
                    <w:t>烟气</w:t>
                  </w:r>
                  <w:r>
                    <w:rPr>
                      <w:rFonts w:hint="eastAsia"/>
                      <w:bCs/>
                      <w:color w:val="auto"/>
                      <w:sz w:val="21"/>
                      <w:szCs w:val="21"/>
                      <w:lang w:val="en-US" w:eastAsia="zh-CN"/>
                    </w:rPr>
                    <w:t>收集效率99%</w:t>
                  </w:r>
                  <w:r>
                    <w:rPr>
                      <w:rFonts w:hint="eastAsia"/>
                      <w:bCs/>
                      <w:color w:val="auto"/>
                      <w:sz w:val="21"/>
                      <w:szCs w:val="21"/>
                      <w:lang w:eastAsia="zh-CN"/>
                    </w:rPr>
                    <w:t>，</w:t>
                  </w:r>
                  <w:r>
                    <w:rPr>
                      <w:rFonts w:hint="eastAsia"/>
                      <w:bCs/>
                      <w:color w:val="auto"/>
                      <w:sz w:val="21"/>
                      <w:szCs w:val="21"/>
                      <w:lang w:val="en-US" w:eastAsia="zh-CN"/>
                    </w:rPr>
                    <w:t>其他的</w:t>
                  </w:r>
                  <w:r>
                    <w:rPr>
                      <w:rFonts w:hint="default" w:ascii="Times New Roman" w:hAnsi="Times New Roman" w:cs="Times New Roman"/>
                      <w:color w:val="auto"/>
                      <w:sz w:val="21"/>
                      <w:szCs w:val="21"/>
                      <w:lang w:bidi="ar"/>
                    </w:rPr>
                    <w:t>烘干滚筒</w:t>
                  </w:r>
                  <w:r>
                    <w:rPr>
                      <w:rFonts w:hint="eastAsia" w:cs="Times New Roman"/>
                      <w:color w:val="auto"/>
                      <w:sz w:val="21"/>
                      <w:szCs w:val="21"/>
                      <w:lang w:eastAsia="zh-CN" w:bidi="ar"/>
                    </w:rPr>
                    <w:t>、</w:t>
                  </w:r>
                  <w:r>
                    <w:rPr>
                      <w:rFonts w:hint="eastAsia" w:cs="Times New Roman"/>
                      <w:color w:val="auto"/>
                      <w:sz w:val="21"/>
                      <w:szCs w:val="21"/>
                      <w:lang w:val="en-US" w:eastAsia="zh-CN" w:bidi="ar"/>
                    </w:rPr>
                    <w:t>筛分过程、热骨料仓粉尘、</w:t>
                  </w:r>
                  <w:r>
                    <w:rPr>
                      <w:rFonts w:hint="default" w:ascii="Times New Roman" w:hAnsi="Times New Roman" w:cs="Times New Roman"/>
                      <w:color w:val="auto"/>
                      <w:sz w:val="21"/>
                      <w:szCs w:val="21"/>
                      <w:lang w:bidi="ar"/>
                    </w:rPr>
                    <w:t>燃烧器废气</w:t>
                  </w:r>
                  <w:r>
                    <w:rPr>
                      <w:rFonts w:hint="eastAsia"/>
                      <w:bCs/>
                      <w:color w:val="auto"/>
                      <w:sz w:val="21"/>
                      <w:szCs w:val="21"/>
                      <w:lang w:val="en-US" w:eastAsia="zh-CN"/>
                    </w:rPr>
                    <w:t>收集效率100%，总</w:t>
                  </w:r>
                  <w:r>
                    <w:rPr>
                      <w:rFonts w:hint="eastAsia"/>
                      <w:color w:val="auto"/>
                      <w:sz w:val="21"/>
                      <w:szCs w:val="21"/>
                      <w:lang w:val="en-US" w:eastAsia="zh-CN" w:bidi="ar"/>
                    </w:rPr>
                    <w:t>引风机风量30000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w:t>
                  </w:r>
                  <w:r>
                    <w:rPr>
                      <w:rFonts w:ascii="Times New Roman" w:hAnsi="Times New Roman"/>
                      <w:color w:val="auto"/>
                      <w:sz w:val="21"/>
                      <w:szCs w:val="21"/>
                      <w:lang w:bidi="ar"/>
                    </w:rPr>
                    <w:t>经</w:t>
                  </w:r>
                  <w:r>
                    <w:rPr>
                      <w:rFonts w:hint="eastAsia" w:ascii="Times New Roman" w:hAnsi="Times New Roman"/>
                      <w:color w:val="auto"/>
                      <w:sz w:val="21"/>
                      <w:szCs w:val="21"/>
                      <w:lang w:bidi="ar"/>
                    </w:rPr>
                    <w:t>一套</w:t>
                  </w:r>
                  <w:r>
                    <w:rPr>
                      <w:rFonts w:ascii="Times New Roman" w:hAnsi="Times New Roman"/>
                      <w:color w:val="auto"/>
                      <w:sz w:val="21"/>
                      <w:szCs w:val="21"/>
                    </w:rPr>
                    <w:t>布袋除</w:t>
                  </w:r>
                  <w:r>
                    <w:rPr>
                      <w:rFonts w:ascii="Times New Roman" w:hAnsi="Times New Roman" w:eastAsia="宋体" w:cs="Times New Roman"/>
                      <w:color w:val="auto"/>
                      <w:sz w:val="21"/>
                      <w:szCs w:val="21"/>
                      <w:lang w:bidi="ar"/>
                    </w:rPr>
                    <w:t>尘</w:t>
                  </w:r>
                  <w:r>
                    <w:rPr>
                      <w:rFonts w:hint="eastAsia" w:ascii="Times New Roman" w:hAnsi="Times New Roman" w:eastAsia="宋体" w:cs="Times New Roman"/>
                      <w:color w:val="auto"/>
                      <w:sz w:val="21"/>
                      <w:szCs w:val="21"/>
                      <w:lang w:val="en-US" w:eastAsia="zh-CN" w:bidi="ar"/>
                    </w:rPr>
                    <w:t>器</w:t>
                  </w:r>
                  <w:r>
                    <w:rPr>
                      <w:rFonts w:hint="eastAsia" w:cs="Times New Roman"/>
                      <w:color w:val="auto"/>
                      <w:sz w:val="21"/>
                      <w:szCs w:val="21"/>
                      <w:lang w:val="en-US" w:eastAsia="zh-CN" w:bidi="ar"/>
                    </w:rPr>
                    <w:t>+二级活性炭</w:t>
                  </w:r>
                  <w:r>
                    <w:rPr>
                      <w:rFonts w:ascii="Times New Roman" w:hAnsi="Times New Roman" w:eastAsia="宋体" w:cs="Times New Roman"/>
                      <w:color w:val="auto"/>
                      <w:sz w:val="21"/>
                      <w:szCs w:val="21"/>
                      <w:lang w:bidi="ar"/>
                    </w:rPr>
                    <w:t>处</w:t>
                  </w:r>
                  <w:r>
                    <w:rPr>
                      <w:rFonts w:ascii="Times New Roman" w:hAnsi="Times New Roman"/>
                      <w:color w:val="auto"/>
                      <w:sz w:val="21"/>
                      <w:szCs w:val="21"/>
                    </w:rPr>
                    <w:t>理后经1根</w:t>
                  </w:r>
                  <w:r>
                    <w:rPr>
                      <w:rFonts w:hint="eastAsia"/>
                      <w:color w:val="auto"/>
                      <w:sz w:val="21"/>
                      <w:szCs w:val="21"/>
                      <w:lang w:val="en-US" w:eastAsia="zh-CN"/>
                    </w:rPr>
                    <w:t>15</w:t>
                  </w:r>
                  <w:r>
                    <w:rPr>
                      <w:rFonts w:ascii="Times New Roman" w:hAnsi="Times New Roman"/>
                      <w:color w:val="auto"/>
                      <w:sz w:val="21"/>
                      <w:szCs w:val="21"/>
                    </w:rPr>
                    <w:t>m高的</w:t>
                  </w:r>
                  <w:r>
                    <w:rPr>
                      <w:rFonts w:hint="eastAsia" w:ascii="Times New Roman" w:hAnsi="Times New Roman"/>
                      <w:color w:val="auto"/>
                      <w:sz w:val="21"/>
                      <w:szCs w:val="21"/>
                      <w:lang w:val="en-US" w:eastAsia="zh-CN"/>
                    </w:rPr>
                    <w:t>DA002</w:t>
                  </w:r>
                  <w:r>
                    <w:rPr>
                      <w:rFonts w:ascii="Times New Roman" w:hAnsi="Times New Roman"/>
                      <w:color w:val="auto"/>
                      <w:sz w:val="21"/>
                      <w:szCs w:val="21"/>
                    </w:rPr>
                    <w:t>排气筒排放。</w:t>
                  </w:r>
                </w:p>
              </w:tc>
              <w:tc>
                <w:tcPr>
                  <w:tcW w:w="572" w:type="pct"/>
                  <w:tcBorders>
                    <w:left w:val="single" w:color="auto" w:sz="4" w:space="0"/>
                  </w:tcBorders>
                  <w:noWrap w:val="0"/>
                  <w:vAlign w:val="center"/>
                </w:tcPr>
                <w:p w14:paraId="2266A0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lang w:bidi="ar"/>
                    </w:rPr>
                  </w:pPr>
                  <w:r>
                    <w:rPr>
                      <w:rFonts w:hint="eastAsia" w:cs="Times New Roman"/>
                      <w:bCs/>
                      <w:color w:val="auto"/>
                      <w:sz w:val="21"/>
                      <w:szCs w:val="21"/>
                      <w:lang w:val="en-US" w:eastAsia="zh-CN" w:bidi="ar"/>
                    </w:rPr>
                    <w:t>已建成</w:t>
                  </w:r>
                </w:p>
              </w:tc>
            </w:tr>
            <w:tr w14:paraId="65CC4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335D72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p>
              </w:tc>
              <w:tc>
                <w:tcPr>
                  <w:tcW w:w="370" w:type="pct"/>
                  <w:vMerge w:val="continue"/>
                  <w:tcBorders>
                    <w:right w:val="single" w:color="auto" w:sz="4" w:space="0"/>
                  </w:tcBorders>
                  <w:noWrap w:val="0"/>
                  <w:vAlign w:val="center"/>
                </w:tcPr>
                <w:p w14:paraId="304632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705" w:type="pct"/>
                  <w:tcBorders>
                    <w:left w:val="single" w:color="auto" w:sz="4" w:space="0"/>
                  </w:tcBorders>
                  <w:noWrap w:val="0"/>
                  <w:vAlign w:val="center"/>
                </w:tcPr>
                <w:p w14:paraId="4362EE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val="en-US" w:bidi="ar"/>
                    </w:rPr>
                  </w:pPr>
                  <w:r>
                    <w:rPr>
                      <w:rFonts w:hint="eastAsia" w:cs="Times New Roman"/>
                      <w:color w:val="auto"/>
                      <w:sz w:val="21"/>
                      <w:szCs w:val="21"/>
                      <w:lang w:val="en-US" w:eastAsia="zh-CN" w:bidi="ar"/>
                    </w:rPr>
                    <w:t>1#导热油炉废气</w:t>
                  </w:r>
                </w:p>
              </w:tc>
              <w:tc>
                <w:tcPr>
                  <w:tcW w:w="2874" w:type="pct"/>
                  <w:tcBorders>
                    <w:right w:val="single" w:color="auto" w:sz="4" w:space="0"/>
                  </w:tcBorders>
                  <w:noWrap w:val="0"/>
                  <w:vAlign w:val="center"/>
                </w:tcPr>
                <w:p w14:paraId="0D888A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收集后</w:t>
                  </w:r>
                  <w:r>
                    <w:rPr>
                      <w:rFonts w:hint="eastAsia" w:cs="Times New Roman"/>
                      <w:color w:val="auto"/>
                      <w:sz w:val="21"/>
                      <w:szCs w:val="21"/>
                      <w:lang w:eastAsia="zh-CN" w:bidi="ar"/>
                    </w:rPr>
                    <w:t>（</w:t>
                  </w:r>
                  <w:r>
                    <w:rPr>
                      <w:rFonts w:hint="eastAsia"/>
                      <w:color w:val="auto"/>
                      <w:sz w:val="21"/>
                      <w:szCs w:val="21"/>
                      <w:lang w:val="en-US" w:eastAsia="zh-CN" w:bidi="ar"/>
                    </w:rPr>
                    <w:t>引风机风量5000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w:t>
                  </w:r>
                  <w:r>
                    <w:rPr>
                      <w:rFonts w:hint="eastAsia" w:cs="Times New Roman"/>
                      <w:color w:val="auto"/>
                      <w:sz w:val="21"/>
                      <w:szCs w:val="21"/>
                      <w:lang w:eastAsia="zh-CN" w:bidi="ar"/>
                    </w:rPr>
                    <w:t>）</w:t>
                  </w:r>
                  <w:r>
                    <w:rPr>
                      <w:rFonts w:hint="eastAsia" w:cs="Times New Roman"/>
                      <w:color w:val="auto"/>
                      <w:sz w:val="21"/>
                      <w:szCs w:val="21"/>
                      <w:lang w:val="en-US" w:eastAsia="zh-CN" w:bidi="ar"/>
                    </w:rPr>
                    <w:t>直接</w:t>
                  </w:r>
                  <w:r>
                    <w:rPr>
                      <w:rFonts w:hint="default" w:ascii="Times New Roman" w:hAnsi="Times New Roman" w:cs="Times New Roman"/>
                      <w:color w:val="auto"/>
                      <w:sz w:val="21"/>
                      <w:szCs w:val="21"/>
                    </w:rPr>
                    <w:t>经1根15m高的</w:t>
                  </w:r>
                  <w:r>
                    <w:rPr>
                      <w:rFonts w:hint="eastAsia" w:ascii="Times New Roman" w:hAnsi="Times New Roman"/>
                      <w:color w:val="auto"/>
                      <w:sz w:val="21"/>
                      <w:szCs w:val="21"/>
                      <w:lang w:val="en-US" w:eastAsia="zh-CN"/>
                    </w:rPr>
                    <w:t>DA003</w:t>
                  </w:r>
                  <w:r>
                    <w:rPr>
                      <w:rFonts w:hint="default" w:ascii="Times New Roman" w:hAnsi="Times New Roman" w:cs="Times New Roman"/>
                      <w:color w:val="auto"/>
                      <w:sz w:val="21"/>
                      <w:szCs w:val="21"/>
                    </w:rPr>
                    <w:t>排气筒排放。</w:t>
                  </w:r>
                </w:p>
              </w:tc>
              <w:tc>
                <w:tcPr>
                  <w:tcW w:w="572" w:type="pct"/>
                  <w:tcBorders>
                    <w:left w:val="single" w:color="auto" w:sz="4" w:space="0"/>
                  </w:tcBorders>
                  <w:noWrap w:val="0"/>
                  <w:vAlign w:val="center"/>
                </w:tcPr>
                <w:p w14:paraId="03AA8B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bidi="ar"/>
                    </w:rPr>
                  </w:pPr>
                  <w:r>
                    <w:rPr>
                      <w:rFonts w:hint="eastAsia" w:cs="Times New Roman"/>
                      <w:bCs/>
                      <w:color w:val="auto"/>
                      <w:sz w:val="21"/>
                      <w:szCs w:val="21"/>
                      <w:lang w:val="en-US" w:eastAsia="zh-CN" w:bidi="ar"/>
                    </w:rPr>
                    <w:t>已建成</w:t>
                  </w:r>
                </w:p>
              </w:tc>
            </w:tr>
            <w:tr w14:paraId="0B7EA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6F583C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p>
              </w:tc>
              <w:tc>
                <w:tcPr>
                  <w:tcW w:w="370" w:type="pct"/>
                  <w:vMerge w:val="continue"/>
                  <w:tcBorders>
                    <w:right w:val="single" w:color="auto" w:sz="4" w:space="0"/>
                  </w:tcBorders>
                  <w:noWrap w:val="0"/>
                  <w:vAlign w:val="center"/>
                </w:tcPr>
                <w:p w14:paraId="28C7461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705" w:type="pct"/>
                  <w:tcBorders>
                    <w:left w:val="single" w:color="auto" w:sz="4" w:space="0"/>
                  </w:tcBorders>
                  <w:noWrap w:val="0"/>
                  <w:vAlign w:val="center"/>
                </w:tcPr>
                <w:p w14:paraId="21B4AA3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lang w:val="en-US" w:eastAsia="zh-CN" w:bidi="ar"/>
                    </w:rPr>
                  </w:pPr>
                  <w:r>
                    <w:rPr>
                      <w:rFonts w:hint="eastAsia" w:cs="Times New Roman"/>
                      <w:color w:val="auto"/>
                      <w:sz w:val="21"/>
                      <w:szCs w:val="21"/>
                      <w:lang w:val="en-US" w:eastAsia="zh-CN" w:bidi="ar"/>
                    </w:rPr>
                    <w:t>2#导热油炉废气</w:t>
                  </w:r>
                </w:p>
              </w:tc>
              <w:tc>
                <w:tcPr>
                  <w:tcW w:w="2874" w:type="pct"/>
                  <w:tcBorders>
                    <w:right w:val="single" w:color="auto" w:sz="4" w:space="0"/>
                  </w:tcBorders>
                  <w:noWrap w:val="0"/>
                  <w:vAlign w:val="center"/>
                </w:tcPr>
                <w:p w14:paraId="3F0C46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收集后</w:t>
                  </w:r>
                  <w:r>
                    <w:rPr>
                      <w:rFonts w:hint="eastAsia" w:ascii="Times New Roman" w:hAnsi="Times New Roman" w:cs="Times New Roman"/>
                      <w:color w:val="auto"/>
                      <w:sz w:val="21"/>
                      <w:szCs w:val="21"/>
                      <w:lang w:eastAsia="zh-CN" w:bidi="ar"/>
                    </w:rPr>
                    <w:t>（</w:t>
                  </w:r>
                  <w:r>
                    <w:rPr>
                      <w:rFonts w:hint="eastAsia"/>
                      <w:color w:val="auto"/>
                      <w:sz w:val="21"/>
                      <w:szCs w:val="21"/>
                      <w:lang w:val="en-US" w:eastAsia="zh-CN" w:bidi="ar"/>
                    </w:rPr>
                    <w:t>引风机风量10000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w:t>
                  </w:r>
                  <w:r>
                    <w:rPr>
                      <w:rFonts w:hint="eastAsia" w:ascii="Times New Roman" w:hAnsi="Times New Roman" w:cs="Times New Roman"/>
                      <w:color w:val="auto"/>
                      <w:sz w:val="21"/>
                      <w:szCs w:val="21"/>
                      <w:lang w:eastAsia="zh-CN" w:bidi="ar"/>
                    </w:rPr>
                    <w:t>）</w:t>
                  </w:r>
                  <w:r>
                    <w:rPr>
                      <w:rFonts w:hint="eastAsia" w:cs="Times New Roman"/>
                      <w:color w:val="auto"/>
                      <w:sz w:val="21"/>
                      <w:szCs w:val="21"/>
                      <w:lang w:val="en-US" w:eastAsia="zh-CN" w:bidi="ar"/>
                    </w:rPr>
                    <w:t>直接</w:t>
                  </w:r>
                  <w:r>
                    <w:rPr>
                      <w:rFonts w:hint="default" w:ascii="Times New Roman" w:hAnsi="Times New Roman" w:cs="Times New Roman"/>
                      <w:color w:val="auto"/>
                      <w:sz w:val="21"/>
                      <w:szCs w:val="21"/>
                    </w:rPr>
                    <w:t>经1根15m高的</w:t>
                  </w:r>
                  <w:r>
                    <w:rPr>
                      <w:rFonts w:hint="eastAsia" w:ascii="Times New Roman" w:hAnsi="Times New Roman"/>
                      <w:color w:val="auto"/>
                      <w:sz w:val="21"/>
                      <w:szCs w:val="21"/>
                      <w:lang w:val="en-US" w:eastAsia="zh-CN"/>
                    </w:rPr>
                    <w:t>DA004</w:t>
                  </w:r>
                  <w:r>
                    <w:rPr>
                      <w:rFonts w:hint="default" w:ascii="Times New Roman" w:hAnsi="Times New Roman" w:cs="Times New Roman"/>
                      <w:color w:val="auto"/>
                      <w:sz w:val="21"/>
                      <w:szCs w:val="21"/>
                    </w:rPr>
                    <w:t>排气筒排放。</w:t>
                  </w:r>
                </w:p>
              </w:tc>
              <w:tc>
                <w:tcPr>
                  <w:tcW w:w="572" w:type="pct"/>
                  <w:tcBorders>
                    <w:left w:val="single" w:color="auto" w:sz="4" w:space="0"/>
                  </w:tcBorders>
                  <w:noWrap w:val="0"/>
                  <w:vAlign w:val="center"/>
                </w:tcPr>
                <w:p w14:paraId="4C04DB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新建</w:t>
                  </w:r>
                </w:p>
              </w:tc>
            </w:tr>
            <w:tr w14:paraId="56AF4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73E7B6C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p>
              </w:tc>
              <w:tc>
                <w:tcPr>
                  <w:tcW w:w="370" w:type="pct"/>
                  <w:vMerge w:val="continue"/>
                  <w:tcBorders>
                    <w:right w:val="single" w:color="auto" w:sz="4" w:space="0"/>
                  </w:tcBorders>
                  <w:noWrap w:val="0"/>
                  <w:vAlign w:val="center"/>
                </w:tcPr>
                <w:p w14:paraId="739CB77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705" w:type="pct"/>
                  <w:tcBorders>
                    <w:left w:val="single" w:color="auto" w:sz="4" w:space="0"/>
                  </w:tcBorders>
                  <w:noWrap w:val="0"/>
                  <w:vAlign w:val="center"/>
                </w:tcPr>
                <w:p w14:paraId="5DEFA9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lang w:val="en-US" w:eastAsia="zh-CN" w:bidi="ar"/>
                    </w:rPr>
                  </w:pPr>
                  <w:r>
                    <w:rPr>
                      <w:rFonts w:hint="eastAsia" w:cs="Times New Roman"/>
                      <w:color w:val="auto"/>
                      <w:sz w:val="21"/>
                      <w:szCs w:val="21"/>
                      <w:lang w:val="en-US" w:eastAsia="zh-CN" w:bidi="ar"/>
                    </w:rPr>
                    <w:t>2#</w:t>
                  </w:r>
                  <w:r>
                    <w:rPr>
                      <w:rFonts w:hint="default" w:ascii="Times New Roman" w:hAnsi="Times New Roman" w:cs="Times New Roman"/>
                      <w:color w:val="auto"/>
                      <w:sz w:val="21"/>
                      <w:szCs w:val="21"/>
                      <w:lang w:bidi="ar"/>
                    </w:rPr>
                    <w:t>烘干滚筒</w:t>
                  </w:r>
                  <w:r>
                    <w:rPr>
                      <w:rFonts w:hint="eastAsia" w:cs="Times New Roman"/>
                      <w:color w:val="auto"/>
                      <w:sz w:val="21"/>
                      <w:szCs w:val="21"/>
                      <w:lang w:eastAsia="zh-CN" w:bidi="ar"/>
                    </w:rPr>
                    <w:t>、</w:t>
                  </w:r>
                  <w:r>
                    <w:rPr>
                      <w:rFonts w:hint="eastAsia" w:cs="Times New Roman"/>
                      <w:color w:val="auto"/>
                      <w:sz w:val="21"/>
                      <w:szCs w:val="21"/>
                      <w:lang w:val="en-US" w:eastAsia="zh-CN" w:bidi="ar"/>
                    </w:rPr>
                    <w:t>筛分过程、热骨料仓粉尘、</w:t>
                  </w:r>
                  <w:r>
                    <w:rPr>
                      <w:rFonts w:hint="default" w:ascii="Times New Roman" w:hAnsi="Times New Roman" w:cs="Times New Roman"/>
                      <w:color w:val="auto"/>
                      <w:sz w:val="21"/>
                      <w:szCs w:val="21"/>
                      <w:lang w:bidi="ar"/>
                    </w:rPr>
                    <w:t>燃烧器废气</w:t>
                  </w:r>
                  <w:r>
                    <w:rPr>
                      <w:rFonts w:hint="eastAsia" w:cs="Times New Roman"/>
                      <w:color w:val="auto"/>
                      <w:sz w:val="21"/>
                      <w:szCs w:val="21"/>
                      <w:lang w:val="en-US" w:eastAsia="zh-CN" w:bidi="ar"/>
                    </w:rPr>
                    <w:t>及</w:t>
                  </w:r>
                  <w:r>
                    <w:rPr>
                      <w:rFonts w:ascii="Times New Roman" w:hAnsi="Times New Roman"/>
                      <w:bCs/>
                      <w:color w:val="auto"/>
                      <w:sz w:val="21"/>
                      <w:szCs w:val="21"/>
                    </w:rPr>
                    <w:t>沥青罐</w:t>
                  </w:r>
                  <w:r>
                    <w:rPr>
                      <w:rFonts w:hint="eastAsia"/>
                      <w:bCs/>
                      <w:color w:val="auto"/>
                      <w:sz w:val="21"/>
                      <w:szCs w:val="21"/>
                      <w:lang w:val="en-US" w:eastAsia="zh-CN"/>
                    </w:rPr>
                    <w:t>加热</w:t>
                  </w:r>
                  <w:r>
                    <w:rPr>
                      <w:rFonts w:ascii="Times New Roman" w:hAnsi="Times New Roman"/>
                      <w:bCs/>
                      <w:color w:val="auto"/>
                      <w:sz w:val="21"/>
                      <w:szCs w:val="21"/>
                    </w:rPr>
                    <w:t>、搅拌机、成品仓</w:t>
                  </w:r>
                  <w:r>
                    <w:rPr>
                      <w:rFonts w:hint="eastAsia" w:ascii="Times New Roman" w:hAnsi="Times New Roman"/>
                      <w:bCs/>
                      <w:color w:val="auto"/>
                      <w:sz w:val="21"/>
                      <w:szCs w:val="21"/>
                      <w:lang w:val="en-US" w:eastAsia="zh-CN"/>
                    </w:rPr>
                    <w:t>沥青</w:t>
                  </w:r>
                  <w:r>
                    <w:rPr>
                      <w:rFonts w:hint="default" w:ascii="Times New Roman" w:hAnsi="Times New Roman" w:cs="Times New Roman"/>
                      <w:color w:val="auto"/>
                      <w:sz w:val="21"/>
                      <w:szCs w:val="21"/>
                      <w:lang w:bidi="ar"/>
                    </w:rPr>
                    <w:t>烟气</w:t>
                  </w:r>
                </w:p>
              </w:tc>
              <w:tc>
                <w:tcPr>
                  <w:tcW w:w="2874" w:type="pct"/>
                  <w:tcBorders>
                    <w:right w:val="single" w:color="auto" w:sz="4" w:space="0"/>
                  </w:tcBorders>
                  <w:noWrap w:val="0"/>
                  <w:vAlign w:val="center"/>
                </w:tcPr>
                <w:p w14:paraId="5CF9AB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lang w:bidi="ar"/>
                    </w:rPr>
                  </w:pPr>
                  <w:r>
                    <w:rPr>
                      <w:rFonts w:hint="eastAsia"/>
                      <w:color w:val="auto"/>
                      <w:sz w:val="21"/>
                      <w:szCs w:val="21"/>
                      <w:lang w:val="en-US" w:eastAsia="zh-CN" w:bidi="ar"/>
                    </w:rPr>
                    <w:t>统一</w:t>
                  </w:r>
                  <w:r>
                    <w:rPr>
                      <w:rFonts w:ascii="Times New Roman" w:hAnsi="Times New Roman"/>
                      <w:color w:val="auto"/>
                      <w:sz w:val="21"/>
                      <w:szCs w:val="21"/>
                      <w:lang w:bidi="ar"/>
                    </w:rPr>
                    <w:t>收集后</w:t>
                  </w:r>
                  <w:r>
                    <w:rPr>
                      <w:rFonts w:hint="eastAsia"/>
                      <w:color w:val="auto"/>
                      <w:sz w:val="21"/>
                      <w:szCs w:val="21"/>
                      <w:lang w:val="en-US" w:eastAsia="zh-CN" w:bidi="ar"/>
                    </w:rPr>
                    <w:t>（其中</w:t>
                  </w:r>
                  <w:bookmarkStart w:id="8" w:name="_GoBack"/>
                  <w:bookmarkEnd w:id="8"/>
                  <w:r>
                    <w:rPr>
                      <w:rFonts w:ascii="Times New Roman" w:hAnsi="Times New Roman"/>
                      <w:bCs/>
                      <w:color w:val="auto"/>
                      <w:sz w:val="21"/>
                      <w:szCs w:val="21"/>
                    </w:rPr>
                    <w:t>青罐</w:t>
                  </w:r>
                  <w:r>
                    <w:rPr>
                      <w:rFonts w:hint="eastAsia"/>
                      <w:bCs/>
                      <w:color w:val="auto"/>
                      <w:sz w:val="21"/>
                      <w:szCs w:val="21"/>
                      <w:lang w:val="en-US" w:eastAsia="zh-CN"/>
                    </w:rPr>
                    <w:t>加热</w:t>
                  </w:r>
                  <w:r>
                    <w:rPr>
                      <w:rFonts w:ascii="Times New Roman" w:hAnsi="Times New Roman"/>
                      <w:bCs/>
                      <w:color w:val="auto"/>
                      <w:sz w:val="21"/>
                      <w:szCs w:val="21"/>
                    </w:rPr>
                    <w:t>、搅拌机、成品仓</w:t>
                  </w:r>
                  <w:r>
                    <w:rPr>
                      <w:rFonts w:hint="eastAsia" w:ascii="Times New Roman" w:hAnsi="Times New Roman"/>
                      <w:bCs/>
                      <w:color w:val="auto"/>
                      <w:sz w:val="21"/>
                      <w:szCs w:val="21"/>
                      <w:lang w:val="en-US" w:eastAsia="zh-CN"/>
                    </w:rPr>
                    <w:t>沥青</w:t>
                  </w:r>
                  <w:r>
                    <w:rPr>
                      <w:rFonts w:hint="default" w:ascii="Times New Roman" w:hAnsi="Times New Roman" w:cs="Times New Roman"/>
                      <w:color w:val="auto"/>
                      <w:sz w:val="21"/>
                      <w:szCs w:val="21"/>
                      <w:lang w:bidi="ar"/>
                    </w:rPr>
                    <w:t>烟气</w:t>
                  </w:r>
                  <w:r>
                    <w:rPr>
                      <w:rFonts w:hint="eastAsia"/>
                      <w:bCs/>
                      <w:color w:val="auto"/>
                      <w:sz w:val="21"/>
                      <w:szCs w:val="21"/>
                      <w:lang w:val="en-US" w:eastAsia="zh-CN"/>
                    </w:rPr>
                    <w:t>收集效率99%</w:t>
                  </w:r>
                  <w:r>
                    <w:rPr>
                      <w:rFonts w:hint="eastAsia"/>
                      <w:bCs/>
                      <w:color w:val="auto"/>
                      <w:sz w:val="21"/>
                      <w:szCs w:val="21"/>
                      <w:lang w:eastAsia="zh-CN"/>
                    </w:rPr>
                    <w:t>，</w:t>
                  </w:r>
                  <w:r>
                    <w:rPr>
                      <w:rFonts w:hint="eastAsia"/>
                      <w:bCs/>
                      <w:color w:val="auto"/>
                      <w:sz w:val="21"/>
                      <w:szCs w:val="21"/>
                      <w:lang w:val="en-US" w:eastAsia="zh-CN"/>
                    </w:rPr>
                    <w:t>其他的</w:t>
                  </w:r>
                  <w:r>
                    <w:rPr>
                      <w:rFonts w:hint="default" w:ascii="Times New Roman" w:hAnsi="Times New Roman" w:cs="Times New Roman"/>
                      <w:color w:val="auto"/>
                      <w:sz w:val="21"/>
                      <w:szCs w:val="21"/>
                      <w:lang w:bidi="ar"/>
                    </w:rPr>
                    <w:t>烘干滚筒</w:t>
                  </w:r>
                  <w:r>
                    <w:rPr>
                      <w:rFonts w:hint="eastAsia" w:cs="Times New Roman"/>
                      <w:color w:val="auto"/>
                      <w:sz w:val="21"/>
                      <w:szCs w:val="21"/>
                      <w:lang w:eastAsia="zh-CN" w:bidi="ar"/>
                    </w:rPr>
                    <w:t>、</w:t>
                  </w:r>
                  <w:r>
                    <w:rPr>
                      <w:rFonts w:hint="eastAsia" w:cs="Times New Roman"/>
                      <w:color w:val="auto"/>
                      <w:sz w:val="21"/>
                      <w:szCs w:val="21"/>
                      <w:lang w:val="en-US" w:eastAsia="zh-CN" w:bidi="ar"/>
                    </w:rPr>
                    <w:t>筛分过程、热骨料仓粉尘、</w:t>
                  </w:r>
                  <w:r>
                    <w:rPr>
                      <w:rFonts w:hint="default" w:ascii="Times New Roman" w:hAnsi="Times New Roman" w:cs="Times New Roman"/>
                      <w:color w:val="auto"/>
                      <w:sz w:val="21"/>
                      <w:szCs w:val="21"/>
                      <w:lang w:bidi="ar"/>
                    </w:rPr>
                    <w:t>燃烧器废气</w:t>
                  </w:r>
                  <w:r>
                    <w:rPr>
                      <w:rFonts w:hint="eastAsia"/>
                      <w:bCs/>
                      <w:color w:val="auto"/>
                      <w:sz w:val="21"/>
                      <w:szCs w:val="21"/>
                      <w:lang w:val="en-US" w:eastAsia="zh-CN"/>
                    </w:rPr>
                    <w:t>收集效率100%，总</w:t>
                  </w:r>
                  <w:r>
                    <w:rPr>
                      <w:rFonts w:hint="eastAsia"/>
                      <w:color w:val="auto"/>
                      <w:sz w:val="21"/>
                      <w:szCs w:val="21"/>
                      <w:lang w:val="en-US" w:eastAsia="zh-CN" w:bidi="ar"/>
                    </w:rPr>
                    <w:t>引风机风量80000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w:t>
                  </w:r>
                  <w:r>
                    <w:rPr>
                      <w:rFonts w:ascii="Times New Roman" w:hAnsi="Times New Roman"/>
                      <w:color w:val="auto"/>
                      <w:sz w:val="21"/>
                      <w:szCs w:val="21"/>
                      <w:lang w:bidi="ar"/>
                    </w:rPr>
                    <w:t>经</w:t>
                  </w:r>
                  <w:r>
                    <w:rPr>
                      <w:rFonts w:hint="eastAsia" w:ascii="Times New Roman" w:hAnsi="Times New Roman"/>
                      <w:color w:val="auto"/>
                      <w:sz w:val="21"/>
                      <w:szCs w:val="21"/>
                      <w:lang w:bidi="ar"/>
                    </w:rPr>
                    <w:t>一套</w:t>
                  </w:r>
                  <w:r>
                    <w:rPr>
                      <w:rFonts w:ascii="Times New Roman" w:hAnsi="Times New Roman"/>
                      <w:color w:val="auto"/>
                      <w:sz w:val="21"/>
                      <w:szCs w:val="21"/>
                    </w:rPr>
                    <w:t>布袋除</w:t>
                  </w:r>
                  <w:r>
                    <w:rPr>
                      <w:rFonts w:ascii="Times New Roman" w:hAnsi="Times New Roman" w:eastAsia="宋体" w:cs="Times New Roman"/>
                      <w:color w:val="auto"/>
                      <w:sz w:val="21"/>
                      <w:szCs w:val="21"/>
                      <w:lang w:bidi="ar"/>
                    </w:rPr>
                    <w:t>尘</w:t>
                  </w:r>
                  <w:r>
                    <w:rPr>
                      <w:rFonts w:hint="eastAsia" w:ascii="Times New Roman" w:hAnsi="Times New Roman" w:eastAsia="宋体" w:cs="Times New Roman"/>
                      <w:color w:val="auto"/>
                      <w:sz w:val="21"/>
                      <w:szCs w:val="21"/>
                      <w:lang w:val="en-US" w:eastAsia="zh-CN" w:bidi="ar"/>
                    </w:rPr>
                    <w:t>器</w:t>
                  </w:r>
                  <w:r>
                    <w:rPr>
                      <w:rFonts w:hint="eastAsia" w:cs="Times New Roman"/>
                      <w:color w:val="auto"/>
                      <w:sz w:val="21"/>
                      <w:szCs w:val="21"/>
                      <w:lang w:val="en-US" w:eastAsia="zh-CN" w:bidi="ar"/>
                    </w:rPr>
                    <w:t>+二级活性炭</w:t>
                  </w:r>
                  <w:r>
                    <w:rPr>
                      <w:rFonts w:ascii="Times New Roman" w:hAnsi="Times New Roman" w:eastAsia="宋体" w:cs="Times New Roman"/>
                      <w:color w:val="auto"/>
                      <w:sz w:val="21"/>
                      <w:szCs w:val="21"/>
                      <w:lang w:bidi="ar"/>
                    </w:rPr>
                    <w:t>处</w:t>
                  </w:r>
                  <w:r>
                    <w:rPr>
                      <w:rFonts w:ascii="Times New Roman" w:hAnsi="Times New Roman"/>
                      <w:color w:val="auto"/>
                      <w:sz w:val="21"/>
                      <w:szCs w:val="21"/>
                    </w:rPr>
                    <w:t>理后经1根</w:t>
                  </w:r>
                  <w:r>
                    <w:rPr>
                      <w:rFonts w:hint="eastAsia"/>
                      <w:color w:val="auto"/>
                      <w:sz w:val="21"/>
                      <w:szCs w:val="21"/>
                      <w:lang w:val="en-US" w:eastAsia="zh-CN"/>
                    </w:rPr>
                    <w:t>20</w:t>
                  </w:r>
                  <w:r>
                    <w:rPr>
                      <w:rFonts w:ascii="Times New Roman" w:hAnsi="Times New Roman"/>
                      <w:color w:val="auto"/>
                      <w:sz w:val="21"/>
                      <w:szCs w:val="21"/>
                    </w:rPr>
                    <w:t>m高的</w:t>
                  </w:r>
                  <w:r>
                    <w:rPr>
                      <w:rFonts w:hint="eastAsia" w:ascii="Times New Roman" w:hAnsi="Times New Roman"/>
                      <w:color w:val="auto"/>
                      <w:sz w:val="21"/>
                      <w:szCs w:val="21"/>
                      <w:lang w:val="en-US" w:eastAsia="zh-CN"/>
                    </w:rPr>
                    <w:t>DA005</w:t>
                  </w:r>
                  <w:r>
                    <w:rPr>
                      <w:rFonts w:ascii="Times New Roman" w:hAnsi="Times New Roman"/>
                      <w:color w:val="auto"/>
                      <w:sz w:val="21"/>
                      <w:szCs w:val="21"/>
                    </w:rPr>
                    <w:t>排气筒排放。</w:t>
                  </w:r>
                </w:p>
              </w:tc>
              <w:tc>
                <w:tcPr>
                  <w:tcW w:w="572" w:type="pct"/>
                  <w:tcBorders>
                    <w:left w:val="single" w:color="auto" w:sz="4" w:space="0"/>
                  </w:tcBorders>
                  <w:noWrap w:val="0"/>
                  <w:vAlign w:val="center"/>
                </w:tcPr>
                <w:p w14:paraId="17FAA6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lang w:bidi="ar"/>
                    </w:rPr>
                  </w:pPr>
                  <w:r>
                    <w:rPr>
                      <w:rFonts w:hint="default" w:ascii="Times New Roman" w:hAnsi="Times New Roman" w:cs="Times New Roman"/>
                      <w:bCs/>
                      <w:color w:val="auto"/>
                      <w:sz w:val="21"/>
                      <w:szCs w:val="21"/>
                      <w:lang w:bidi="ar"/>
                    </w:rPr>
                    <w:t>新建</w:t>
                  </w:r>
                </w:p>
              </w:tc>
            </w:tr>
            <w:tr w14:paraId="7DA68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0C1DFD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p>
              </w:tc>
              <w:tc>
                <w:tcPr>
                  <w:tcW w:w="370" w:type="pct"/>
                  <w:vMerge w:val="continue"/>
                  <w:tcBorders>
                    <w:right w:val="single" w:color="auto" w:sz="4" w:space="0"/>
                  </w:tcBorders>
                  <w:noWrap w:val="0"/>
                  <w:vAlign w:val="center"/>
                </w:tcPr>
                <w:p w14:paraId="438FC06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705" w:type="pct"/>
                  <w:tcBorders>
                    <w:left w:val="single" w:color="auto" w:sz="4" w:space="0"/>
                  </w:tcBorders>
                  <w:noWrap w:val="0"/>
                  <w:vAlign w:val="center"/>
                </w:tcPr>
                <w:p w14:paraId="382102C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2#</w:t>
                  </w:r>
                  <w:r>
                    <w:rPr>
                      <w:rFonts w:hint="eastAsia" w:ascii="Times New Roman" w:hAnsi="Times New Roman" w:cs="Times New Roman"/>
                      <w:color w:val="auto"/>
                      <w:sz w:val="21"/>
                      <w:szCs w:val="21"/>
                      <w:lang w:val="en-US" w:eastAsia="zh-CN" w:bidi="ar"/>
                    </w:rPr>
                    <w:t>矿粉筒仓废气</w:t>
                  </w:r>
                </w:p>
              </w:tc>
              <w:tc>
                <w:tcPr>
                  <w:tcW w:w="2874" w:type="pct"/>
                  <w:tcBorders>
                    <w:right w:val="single" w:color="auto" w:sz="4" w:space="0"/>
                  </w:tcBorders>
                  <w:noWrap w:val="0"/>
                  <w:vAlign w:val="center"/>
                </w:tcPr>
                <w:p w14:paraId="54CDE1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宋体" w:cs="Times New Roman"/>
                      <w:bCs/>
                      <w:color w:val="auto"/>
                      <w:sz w:val="21"/>
                      <w:szCs w:val="21"/>
                      <w:lang w:val="en-US" w:eastAsia="zh-CN" w:bidi="ar"/>
                    </w:rPr>
                  </w:pPr>
                  <w:r>
                    <w:rPr>
                      <w:rFonts w:hint="eastAsia" w:ascii="Times New Roman" w:hAnsi="Times New Roman" w:cs="Times New Roman"/>
                      <w:bCs/>
                      <w:color w:val="auto"/>
                      <w:sz w:val="21"/>
                      <w:szCs w:val="21"/>
                      <w:lang w:val="en-US" w:eastAsia="zh-CN" w:bidi="ar"/>
                    </w:rPr>
                    <w:t>仓顶配备1套脉冲袋式除尘器</w:t>
                  </w:r>
                  <w:r>
                    <w:rPr>
                      <w:rFonts w:hint="eastAsia"/>
                      <w:color w:val="auto"/>
                      <w:sz w:val="21"/>
                      <w:szCs w:val="21"/>
                      <w:lang w:val="en-US" w:eastAsia="zh-CN" w:bidi="ar"/>
                    </w:rPr>
                    <w:t>（引风机风量3000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w:t>
                  </w:r>
                  <w:r>
                    <w:rPr>
                      <w:rFonts w:hint="eastAsia" w:ascii="Times New Roman" w:hAnsi="Times New Roman" w:cs="Times New Roman"/>
                      <w:bCs/>
                      <w:color w:val="auto"/>
                      <w:sz w:val="21"/>
                      <w:szCs w:val="21"/>
                      <w:lang w:val="en-US" w:eastAsia="zh-CN" w:bidi="ar"/>
                    </w:rPr>
                    <w:t>处理后于</w:t>
                  </w: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val="en-US" w:eastAsia="zh-CN"/>
                    </w:rPr>
                    <w:t>离地</w:t>
                  </w:r>
                  <w:r>
                    <w:rPr>
                      <w:rFonts w:hint="eastAsia" w:cs="Times New Roman"/>
                      <w:color w:val="auto"/>
                      <w:sz w:val="21"/>
                      <w:szCs w:val="21"/>
                      <w:lang w:val="en-US" w:eastAsia="zh-CN"/>
                    </w:rPr>
                    <w:t>30</w:t>
                  </w:r>
                  <w:r>
                    <w:rPr>
                      <w:rFonts w:hint="default" w:ascii="Times New Roman" w:hAnsi="Times New Roman" w:cs="Times New Roman"/>
                      <w:color w:val="auto"/>
                      <w:sz w:val="21"/>
                      <w:szCs w:val="21"/>
                    </w:rPr>
                    <w:t>m高的</w:t>
                  </w:r>
                  <w:r>
                    <w:rPr>
                      <w:rFonts w:hint="eastAsia" w:ascii="Times New Roman" w:hAnsi="Times New Roman"/>
                      <w:color w:val="auto"/>
                      <w:sz w:val="21"/>
                      <w:szCs w:val="21"/>
                      <w:lang w:val="en-US" w:eastAsia="zh-CN"/>
                    </w:rPr>
                    <w:t>DA00</w:t>
                  </w:r>
                  <w:r>
                    <w:rPr>
                      <w:rFonts w:hint="eastAsia"/>
                      <w:color w:val="auto"/>
                      <w:sz w:val="21"/>
                      <w:szCs w:val="21"/>
                      <w:lang w:val="en-US" w:eastAsia="zh-CN"/>
                    </w:rPr>
                    <w:t>6</w:t>
                  </w:r>
                  <w:r>
                    <w:rPr>
                      <w:rFonts w:hint="eastAsia" w:ascii="Times New Roman" w:hAnsi="Times New Roman"/>
                      <w:color w:val="auto"/>
                      <w:sz w:val="21"/>
                      <w:szCs w:val="21"/>
                      <w:lang w:val="en-US" w:eastAsia="zh-CN"/>
                    </w:rPr>
                    <w:t>筒仓</w:t>
                  </w:r>
                  <w:r>
                    <w:rPr>
                      <w:rFonts w:hint="default" w:ascii="Times New Roman" w:hAnsi="Times New Roman" w:cs="Times New Roman"/>
                      <w:color w:val="auto"/>
                      <w:sz w:val="21"/>
                      <w:szCs w:val="21"/>
                    </w:rPr>
                    <w:t>排气筒排放。</w:t>
                  </w:r>
                </w:p>
              </w:tc>
              <w:tc>
                <w:tcPr>
                  <w:tcW w:w="572" w:type="pct"/>
                  <w:tcBorders>
                    <w:left w:val="single" w:color="auto" w:sz="4" w:space="0"/>
                  </w:tcBorders>
                  <w:noWrap w:val="0"/>
                  <w:vAlign w:val="center"/>
                </w:tcPr>
                <w:p w14:paraId="1B3190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新建</w:t>
                  </w:r>
                </w:p>
              </w:tc>
            </w:tr>
            <w:tr w14:paraId="2CF79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0CBA00C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p>
              </w:tc>
              <w:tc>
                <w:tcPr>
                  <w:tcW w:w="370" w:type="pct"/>
                  <w:vMerge w:val="continue"/>
                  <w:tcBorders>
                    <w:right w:val="single" w:color="auto" w:sz="4" w:space="0"/>
                  </w:tcBorders>
                  <w:noWrap w:val="0"/>
                  <w:vAlign w:val="center"/>
                </w:tcPr>
                <w:p w14:paraId="529079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705" w:type="pct"/>
                  <w:tcBorders>
                    <w:left w:val="single" w:color="auto" w:sz="4" w:space="0"/>
                  </w:tcBorders>
                  <w:noWrap w:val="0"/>
                  <w:vAlign w:val="center"/>
                </w:tcPr>
                <w:p w14:paraId="38CB0F2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eastAsia" w:cs="Times New Roman"/>
                      <w:color w:val="auto"/>
                      <w:sz w:val="21"/>
                      <w:szCs w:val="21"/>
                      <w:lang w:val="en-US" w:eastAsia="zh-CN" w:bidi="ar"/>
                    </w:rPr>
                    <w:t>场内</w:t>
                  </w:r>
                  <w:r>
                    <w:rPr>
                      <w:rFonts w:hint="default" w:ascii="Times New Roman" w:hAnsi="Times New Roman" w:cs="Times New Roman"/>
                      <w:color w:val="auto"/>
                      <w:sz w:val="21"/>
                      <w:szCs w:val="21"/>
                      <w:lang w:bidi="ar"/>
                    </w:rPr>
                    <w:t>粉尘</w:t>
                  </w:r>
                </w:p>
              </w:tc>
              <w:tc>
                <w:tcPr>
                  <w:tcW w:w="2874" w:type="pct"/>
                  <w:tcBorders>
                    <w:right w:val="single" w:color="auto" w:sz="4" w:space="0"/>
                  </w:tcBorders>
                  <w:noWrap w:val="0"/>
                  <w:vAlign w:val="center"/>
                </w:tcPr>
                <w:p w14:paraId="2297AEC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堆料棚区域设置三面围挡及彩钢瓦顶棚，仅留有运输车辆出入口，</w:t>
                  </w:r>
                  <w:r>
                    <w:rPr>
                      <w:rFonts w:hint="eastAsia" w:ascii="Times New Roman" w:hAnsi="Times New Roman" w:cs="Times New Roman"/>
                      <w:color w:val="auto"/>
                      <w:sz w:val="21"/>
                      <w:szCs w:val="21"/>
                      <w:lang w:bidi="ar"/>
                    </w:rPr>
                    <w:t>敞开一侧设置喷雾设施</w:t>
                  </w:r>
                  <w:r>
                    <w:rPr>
                      <w:rFonts w:hint="eastAsia" w:ascii="Times New Roman" w:hAnsi="Times New Roman" w:cs="Times New Roman"/>
                      <w:color w:val="auto"/>
                      <w:sz w:val="21"/>
                      <w:szCs w:val="21"/>
                      <w:lang w:eastAsia="zh-CN" w:bidi="ar"/>
                    </w:rPr>
                    <w:t>；</w:t>
                  </w:r>
                  <w:r>
                    <w:rPr>
                      <w:rFonts w:hint="default" w:ascii="Times New Roman" w:hAnsi="Times New Roman" w:cs="Times New Roman"/>
                      <w:color w:val="auto"/>
                      <w:sz w:val="21"/>
                      <w:szCs w:val="21"/>
                      <w:lang w:bidi="ar"/>
                    </w:rPr>
                    <w:t>进出车辆经过冲洗平台</w:t>
                  </w:r>
                  <w:r>
                    <w:rPr>
                      <w:rFonts w:hint="eastAsia" w:ascii="Times New Roman" w:hAnsi="Times New Roman" w:cs="Times New Roman"/>
                      <w:color w:val="auto"/>
                      <w:sz w:val="21"/>
                      <w:szCs w:val="21"/>
                      <w:lang w:val="en-US" w:eastAsia="zh-CN" w:bidi="ar"/>
                    </w:rPr>
                    <w:t>清洗</w:t>
                  </w:r>
                  <w:r>
                    <w:rPr>
                      <w:rFonts w:hint="eastAsia" w:ascii="Times New Roman" w:hAnsi="Times New Roman" w:cs="Times New Roman"/>
                      <w:color w:val="auto"/>
                      <w:sz w:val="21"/>
                      <w:szCs w:val="21"/>
                      <w:lang w:eastAsia="zh-CN" w:bidi="ar"/>
                    </w:rPr>
                    <w:t>；</w:t>
                  </w:r>
                  <w:r>
                    <w:rPr>
                      <w:rFonts w:hint="eastAsia" w:ascii="Times New Roman" w:hAnsi="Times New Roman" w:cs="Times New Roman"/>
                      <w:color w:val="auto"/>
                      <w:sz w:val="21"/>
                      <w:szCs w:val="21"/>
                      <w:lang w:bidi="ar"/>
                    </w:rPr>
                    <w:t>采用密闭式皮带输送系统将骨料输送至各生产线</w:t>
                  </w:r>
                  <w:r>
                    <w:rPr>
                      <w:rFonts w:hint="eastAsia" w:ascii="Times New Roman" w:hAnsi="Times New Roman" w:cs="Times New Roman"/>
                      <w:color w:val="auto"/>
                      <w:sz w:val="21"/>
                      <w:szCs w:val="21"/>
                      <w:lang w:eastAsia="zh-CN" w:bidi="ar"/>
                    </w:rPr>
                    <w:t>；</w:t>
                  </w:r>
                  <w:r>
                    <w:rPr>
                      <w:rFonts w:hint="eastAsia" w:ascii="Times New Roman" w:hAnsi="Times New Roman" w:cs="Times New Roman"/>
                      <w:color w:val="auto"/>
                      <w:sz w:val="21"/>
                      <w:szCs w:val="21"/>
                      <w:lang w:val="en-US" w:eastAsia="zh-CN" w:bidi="ar"/>
                    </w:rPr>
                    <w:t>2#生产线上料处设置密闭措施，杜绝上料废气溢出；厂内</w:t>
                  </w:r>
                  <w:r>
                    <w:rPr>
                      <w:rFonts w:hint="default" w:ascii="Times New Roman" w:hAnsi="Times New Roman" w:cs="Times New Roman"/>
                      <w:color w:val="auto"/>
                      <w:sz w:val="21"/>
                      <w:szCs w:val="21"/>
                      <w:lang w:bidi="ar"/>
                    </w:rPr>
                    <w:t>设置2个雾炮机进行洒水降尘。</w:t>
                  </w:r>
                </w:p>
              </w:tc>
              <w:tc>
                <w:tcPr>
                  <w:tcW w:w="572" w:type="pct"/>
                  <w:tcBorders>
                    <w:left w:val="single" w:color="auto" w:sz="4" w:space="0"/>
                  </w:tcBorders>
                  <w:noWrap w:val="0"/>
                  <w:vAlign w:val="center"/>
                </w:tcPr>
                <w:p w14:paraId="76A886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eastAsia="zh-CN" w:bidi="ar"/>
                    </w:rPr>
                    <w:t>新建</w:t>
                  </w:r>
                </w:p>
              </w:tc>
            </w:tr>
            <w:tr w14:paraId="4DEA8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477" w:type="pct"/>
                  <w:vMerge w:val="continue"/>
                  <w:noWrap w:val="0"/>
                  <w:vAlign w:val="center"/>
                </w:tcPr>
                <w:p w14:paraId="649B84E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p>
              </w:tc>
              <w:tc>
                <w:tcPr>
                  <w:tcW w:w="370" w:type="pct"/>
                  <w:vMerge w:val="continue"/>
                  <w:tcBorders>
                    <w:right w:val="single" w:color="auto" w:sz="4" w:space="0"/>
                  </w:tcBorders>
                  <w:noWrap w:val="0"/>
                  <w:vAlign w:val="center"/>
                </w:tcPr>
                <w:p w14:paraId="62A10DD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705" w:type="pct"/>
                  <w:noWrap w:val="0"/>
                  <w:vAlign w:val="center"/>
                </w:tcPr>
                <w:p w14:paraId="545ED67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食堂油烟</w:t>
                  </w:r>
                </w:p>
              </w:tc>
              <w:tc>
                <w:tcPr>
                  <w:tcW w:w="2874" w:type="pct"/>
                  <w:tcBorders>
                    <w:right w:val="single" w:color="auto" w:sz="4" w:space="0"/>
                  </w:tcBorders>
                  <w:noWrap w:val="0"/>
                  <w:vAlign w:val="center"/>
                </w:tcPr>
                <w:p w14:paraId="710D78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lang w:bidi="ar"/>
                    </w:rPr>
                  </w:pPr>
                  <w:r>
                    <w:rPr>
                      <w:rFonts w:ascii="Times New Roman" w:hAnsi="Times New Roman"/>
                      <w:bCs/>
                      <w:color w:val="auto"/>
                      <w:sz w:val="21"/>
                      <w:szCs w:val="21"/>
                    </w:rPr>
                    <w:t>食堂内设1个油烟净化器，食堂油烟经净化效率为60%的油烟净化器处理后，</w:t>
                  </w:r>
                  <w:r>
                    <w:rPr>
                      <w:rFonts w:hint="eastAsia"/>
                      <w:bCs/>
                      <w:color w:val="auto"/>
                      <w:sz w:val="21"/>
                      <w:szCs w:val="21"/>
                      <w:lang w:val="en-US" w:eastAsia="zh-CN"/>
                    </w:rPr>
                    <w:t>通过高出</w:t>
                  </w:r>
                  <w:r>
                    <w:rPr>
                      <w:rFonts w:ascii="Times New Roman" w:hAnsi="Times New Roman"/>
                      <w:bCs/>
                      <w:color w:val="auto"/>
                      <w:sz w:val="21"/>
                      <w:szCs w:val="21"/>
                    </w:rPr>
                    <w:t>食堂楼顶</w:t>
                  </w:r>
                  <w:r>
                    <w:rPr>
                      <w:rFonts w:hint="eastAsia"/>
                      <w:bCs/>
                      <w:color w:val="auto"/>
                      <w:sz w:val="21"/>
                      <w:szCs w:val="21"/>
                      <w:lang w:val="en-US" w:eastAsia="zh-CN"/>
                    </w:rPr>
                    <w:t>1.5m</w:t>
                  </w:r>
                  <w:r>
                    <w:rPr>
                      <w:rFonts w:ascii="Times New Roman" w:hAnsi="Times New Roman"/>
                      <w:bCs/>
                      <w:color w:val="auto"/>
                      <w:sz w:val="21"/>
                      <w:szCs w:val="21"/>
                    </w:rPr>
                    <w:t>烟囱外排。</w:t>
                  </w:r>
                </w:p>
              </w:tc>
              <w:tc>
                <w:tcPr>
                  <w:tcW w:w="572" w:type="pct"/>
                  <w:tcBorders>
                    <w:left w:val="single" w:color="auto" w:sz="4" w:space="0"/>
                  </w:tcBorders>
                  <w:noWrap w:val="0"/>
                  <w:vAlign w:val="center"/>
                </w:tcPr>
                <w:p w14:paraId="348839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val="en-US" w:eastAsia="zh-CN" w:bidi="ar"/>
                    </w:rPr>
                    <w:t>已建成</w:t>
                  </w:r>
                </w:p>
              </w:tc>
            </w:tr>
            <w:tr w14:paraId="00B8B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19" w:hRule="atLeast"/>
              </w:trPr>
              <w:tc>
                <w:tcPr>
                  <w:tcW w:w="477" w:type="pct"/>
                  <w:vMerge w:val="continue"/>
                  <w:noWrap w:val="0"/>
                  <w:vAlign w:val="center"/>
                </w:tcPr>
                <w:p w14:paraId="2C0D1C5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auto"/>
                      <w:sz w:val="21"/>
                      <w:szCs w:val="21"/>
                      <w:lang w:bidi="ar"/>
                    </w:rPr>
                  </w:pPr>
                </w:p>
              </w:tc>
              <w:tc>
                <w:tcPr>
                  <w:tcW w:w="370" w:type="pct"/>
                  <w:vMerge w:val="restart"/>
                  <w:noWrap w:val="0"/>
                  <w:vAlign w:val="center"/>
                </w:tcPr>
                <w:p w14:paraId="0FC812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bidi="ar"/>
                    </w:rPr>
                    <w:t>废水</w:t>
                  </w:r>
                  <w:r>
                    <w:rPr>
                      <w:rFonts w:hint="eastAsia" w:ascii="Times New Roman" w:hAnsi="Times New Roman" w:cs="Times New Roman"/>
                      <w:color w:val="auto"/>
                      <w:sz w:val="21"/>
                      <w:szCs w:val="21"/>
                      <w:lang w:val="en-US" w:eastAsia="zh-CN" w:bidi="ar"/>
                    </w:rPr>
                    <w:t>治理</w:t>
                  </w:r>
                </w:p>
              </w:tc>
              <w:tc>
                <w:tcPr>
                  <w:tcW w:w="705" w:type="pct"/>
                  <w:noWrap w:val="0"/>
                  <w:vAlign w:val="center"/>
                </w:tcPr>
                <w:p w14:paraId="652A4DD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rPr>
                    <w:t>地面冲洗废水</w:t>
                  </w:r>
                  <w:r>
                    <w:rPr>
                      <w:rFonts w:hint="eastAsia" w:cs="Times New Roman"/>
                      <w:color w:val="auto"/>
                      <w:sz w:val="21"/>
                      <w:szCs w:val="21"/>
                      <w:lang w:eastAsia="zh-CN"/>
                    </w:rPr>
                    <w:t>、</w:t>
                  </w:r>
                  <w:r>
                    <w:rPr>
                      <w:rFonts w:hint="default" w:ascii="Times New Roman" w:hAnsi="Times New Roman" w:cs="Times New Roman"/>
                      <w:color w:val="auto"/>
                      <w:sz w:val="21"/>
                      <w:szCs w:val="21"/>
                    </w:rPr>
                    <w:t>初期雨水</w:t>
                  </w:r>
                  <w:r>
                    <w:rPr>
                      <w:rFonts w:hint="eastAsia" w:cs="Times New Roman"/>
                      <w:color w:val="auto"/>
                      <w:sz w:val="21"/>
                      <w:szCs w:val="21"/>
                      <w:lang w:eastAsia="zh-CN"/>
                    </w:rPr>
                    <w:t>、</w:t>
                  </w:r>
                  <w:r>
                    <w:rPr>
                      <w:rFonts w:hint="eastAsia" w:cs="Times New Roman"/>
                      <w:color w:val="auto"/>
                      <w:sz w:val="21"/>
                      <w:szCs w:val="21"/>
                      <w:lang w:val="en-US" w:eastAsia="zh-CN"/>
                    </w:rPr>
                    <w:t>车辆和设备冲洗废水</w:t>
                  </w:r>
                </w:p>
              </w:tc>
              <w:tc>
                <w:tcPr>
                  <w:tcW w:w="2874" w:type="pct"/>
                  <w:tcBorders>
                    <w:right w:val="single" w:color="auto" w:sz="4" w:space="0"/>
                  </w:tcBorders>
                  <w:noWrap w:val="0"/>
                  <w:vAlign w:val="center"/>
                </w:tcPr>
                <w:p w14:paraId="118534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rPr>
                    <w:t>地面冲洗废水</w:t>
                  </w:r>
                  <w:r>
                    <w:rPr>
                      <w:rFonts w:hint="eastAsia" w:cs="Times New Roman"/>
                      <w:color w:val="auto"/>
                      <w:sz w:val="21"/>
                      <w:szCs w:val="21"/>
                      <w:lang w:eastAsia="zh-CN"/>
                    </w:rPr>
                    <w:t>、</w:t>
                  </w:r>
                  <w:r>
                    <w:rPr>
                      <w:rFonts w:hint="default" w:ascii="Times New Roman" w:hAnsi="Times New Roman" w:cs="Times New Roman"/>
                      <w:color w:val="auto"/>
                      <w:sz w:val="21"/>
                      <w:szCs w:val="21"/>
                    </w:rPr>
                    <w:t>初期雨水</w:t>
                  </w:r>
                  <w:r>
                    <w:rPr>
                      <w:rFonts w:hint="eastAsia" w:cs="Times New Roman"/>
                      <w:color w:val="auto"/>
                      <w:sz w:val="21"/>
                      <w:szCs w:val="21"/>
                      <w:lang w:eastAsia="zh-CN"/>
                    </w:rPr>
                    <w:t>、</w:t>
                  </w:r>
                  <w:r>
                    <w:rPr>
                      <w:rFonts w:hint="eastAsia" w:cs="Times New Roman"/>
                      <w:color w:val="auto"/>
                      <w:sz w:val="21"/>
                      <w:szCs w:val="21"/>
                      <w:lang w:val="en-US" w:eastAsia="zh-CN"/>
                    </w:rPr>
                    <w:t>车辆和设备冲洗废水</w:t>
                  </w:r>
                  <w:r>
                    <w:rPr>
                      <w:rFonts w:hint="default" w:ascii="Times New Roman" w:hAnsi="Times New Roman" w:cs="Times New Roman"/>
                      <w:color w:val="auto"/>
                      <w:sz w:val="21"/>
                      <w:szCs w:val="21"/>
                    </w:rPr>
                    <w:t>排入三级隔油沉淀池（容积为</w:t>
                  </w:r>
                  <w:r>
                    <w:rPr>
                      <w:rFonts w:hint="eastAsia" w:cs="Times New Roman"/>
                      <w:color w:val="auto"/>
                      <w:sz w:val="21"/>
                      <w:szCs w:val="21"/>
                      <w:lang w:val="en-US" w:eastAsia="zh-CN"/>
                    </w:rPr>
                    <w:t>50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）处理</w:t>
                  </w:r>
                  <w:r>
                    <w:rPr>
                      <w:rFonts w:hint="eastAsia" w:ascii="Times New Roman" w:hAnsi="Times New Roman" w:cs="Times New Roman"/>
                      <w:color w:val="auto"/>
                      <w:sz w:val="21"/>
                      <w:szCs w:val="21"/>
                      <w:lang w:val="en-US" w:eastAsia="zh-CN"/>
                    </w:rPr>
                    <w:t>后</w:t>
                  </w:r>
                  <w:r>
                    <w:rPr>
                      <w:rFonts w:hint="eastAsia" w:ascii="Times New Roman" w:hAnsi="Times New Roman" w:eastAsia="宋体" w:cs="Times New Roman"/>
                      <w:smallCaps w:val="0"/>
                      <w:color w:val="auto"/>
                      <w:sz w:val="21"/>
                      <w:szCs w:val="21"/>
                      <w:lang w:val="en-US" w:eastAsia="zh-CN"/>
                    </w:rPr>
                    <w:t>回</w:t>
                  </w:r>
                  <w:r>
                    <w:rPr>
                      <w:rFonts w:hint="default" w:ascii="Times New Roman" w:hAnsi="Times New Roman" w:eastAsia="宋体" w:cs="Times New Roman"/>
                      <w:smallCaps w:val="0"/>
                      <w:color w:val="auto"/>
                      <w:sz w:val="21"/>
                      <w:szCs w:val="21"/>
                      <w:lang w:val="en-US" w:eastAsia="zh-CN"/>
                    </w:rPr>
                    <w:t>用于</w:t>
                  </w:r>
                  <w:r>
                    <w:rPr>
                      <w:rFonts w:hint="eastAsia" w:ascii="Times New Roman" w:hAnsi="Times New Roman" w:eastAsia="宋体" w:cs="Times New Roman"/>
                      <w:smallCaps w:val="0"/>
                      <w:color w:val="auto"/>
                      <w:sz w:val="21"/>
                      <w:szCs w:val="21"/>
                      <w:lang w:val="en-US" w:eastAsia="zh-CN"/>
                    </w:rPr>
                    <w:t>厂区地面</w:t>
                  </w:r>
                  <w:r>
                    <w:rPr>
                      <w:rFonts w:hint="default" w:ascii="Times New Roman" w:hAnsi="Times New Roman" w:eastAsia="宋体" w:cs="Times New Roman"/>
                      <w:smallCaps w:val="0"/>
                      <w:color w:val="auto"/>
                      <w:sz w:val="21"/>
                      <w:szCs w:val="21"/>
                      <w:lang w:val="en-US" w:eastAsia="zh-CN"/>
                    </w:rPr>
                    <w:t>冲洗</w:t>
                  </w:r>
                  <w:r>
                    <w:rPr>
                      <w:rFonts w:hint="eastAsia" w:ascii="Times New Roman" w:hAnsi="Times New Roman" w:eastAsia="宋体" w:cs="Times New Roman"/>
                      <w:smallCaps w:val="0"/>
                      <w:color w:val="auto"/>
                      <w:sz w:val="21"/>
                      <w:szCs w:val="21"/>
                      <w:lang w:val="en-US" w:eastAsia="zh-CN"/>
                    </w:rPr>
                    <w:t>及洒水降尘。</w:t>
                  </w:r>
                </w:p>
              </w:tc>
              <w:tc>
                <w:tcPr>
                  <w:tcW w:w="572" w:type="pct"/>
                  <w:tcBorders>
                    <w:left w:val="single" w:color="auto" w:sz="4" w:space="0"/>
                  </w:tcBorders>
                  <w:noWrap w:val="0"/>
                  <w:vAlign w:val="center"/>
                </w:tcPr>
                <w:p w14:paraId="7B62B8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新建</w:t>
                  </w:r>
                </w:p>
              </w:tc>
            </w:tr>
            <w:tr w14:paraId="7DEDB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3A16D1C1">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370" w:type="pct"/>
                  <w:vMerge w:val="continue"/>
                  <w:noWrap w:val="0"/>
                  <w:vAlign w:val="center"/>
                </w:tcPr>
                <w:p w14:paraId="4AE2D70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705" w:type="pct"/>
                  <w:noWrap w:val="0"/>
                  <w:vAlign w:val="center"/>
                </w:tcPr>
                <w:p w14:paraId="0F81E90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生活污水</w:t>
                  </w:r>
                </w:p>
              </w:tc>
              <w:tc>
                <w:tcPr>
                  <w:tcW w:w="2874" w:type="pct"/>
                  <w:tcBorders>
                    <w:right w:val="single" w:color="auto" w:sz="4" w:space="0"/>
                  </w:tcBorders>
                  <w:noWrap w:val="0"/>
                  <w:vAlign w:val="center"/>
                </w:tcPr>
                <w:p w14:paraId="42FB02F8">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rPr>
                    <w:t>食堂废水先经</w:t>
                  </w:r>
                  <w:r>
                    <w:rPr>
                      <w:rFonts w:hint="eastAsia" w:cs="Times New Roman"/>
                      <w:color w:val="auto"/>
                      <w:sz w:val="21"/>
                      <w:szCs w:val="21"/>
                      <w:lang w:eastAsia="zh-CN"/>
                    </w:rPr>
                    <w:t>隔油池</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bidi="ar"/>
                    </w:rPr>
                    <w:t>1个</w:t>
                  </w:r>
                  <w:r>
                    <w:rPr>
                      <w:rFonts w:hint="eastAsia" w:ascii="Times New Roman" w:hAnsi="Times New Roman" w:cs="Times New Roman"/>
                      <w:color w:val="auto"/>
                      <w:sz w:val="21"/>
                      <w:szCs w:val="21"/>
                      <w:lang w:eastAsia="zh-CN" w:bidi="ar"/>
                    </w:rPr>
                    <w:t>，</w:t>
                  </w:r>
                  <w:r>
                    <w:rPr>
                      <w:rFonts w:hint="default" w:ascii="Times New Roman" w:hAnsi="Times New Roman" w:cs="Times New Roman"/>
                      <w:color w:val="auto"/>
                      <w:sz w:val="21"/>
                      <w:szCs w:val="21"/>
                      <w:lang w:bidi="ar"/>
                    </w:rPr>
                    <w:t>0.5m</w:t>
                  </w:r>
                  <w:r>
                    <w:rPr>
                      <w:rFonts w:hint="default" w:ascii="Times New Roman" w:hAnsi="Times New Roman" w:cs="Times New Roman"/>
                      <w:color w:val="auto"/>
                      <w:sz w:val="21"/>
                      <w:szCs w:val="21"/>
                      <w:vertAlign w:val="superscript"/>
                      <w:lang w:bidi="ar"/>
                    </w:rPr>
                    <w:t>3</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预处理后同其他生活污水一起排入化粪池（</w:t>
                  </w:r>
                  <w:r>
                    <w:rPr>
                      <w:rFonts w:hint="eastAsia" w:ascii="Times New Roman" w:hAnsi="Times New Roman" w:cs="Times New Roman"/>
                      <w:color w:val="auto"/>
                      <w:sz w:val="21"/>
                      <w:szCs w:val="21"/>
                      <w:lang w:val="en-US" w:eastAsia="zh-CN"/>
                    </w:rPr>
                    <w:t>1座，</w:t>
                  </w:r>
                  <w:r>
                    <w:rPr>
                      <w:rFonts w:hint="default" w:ascii="Times New Roman" w:hAnsi="Times New Roman" w:cs="Times New Roman"/>
                      <w:color w:val="auto"/>
                      <w:sz w:val="21"/>
                      <w:szCs w:val="21"/>
                    </w:rPr>
                    <w:t>容积为30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）进行处理，再排入自建污水处理站（</w:t>
                  </w:r>
                  <w:r>
                    <w:rPr>
                      <w:rFonts w:hint="eastAsia" w:ascii="Times New Roman" w:hAnsi="Times New Roman" w:cs="Times New Roman"/>
                      <w:color w:val="auto"/>
                      <w:sz w:val="21"/>
                      <w:szCs w:val="21"/>
                      <w:lang w:val="en-US" w:eastAsia="zh-CN"/>
                    </w:rPr>
                    <w:t>1座，</w:t>
                  </w:r>
                  <w:r>
                    <w:rPr>
                      <w:rFonts w:hint="default" w:ascii="Times New Roman" w:hAnsi="Times New Roman" w:cs="Times New Roman"/>
                      <w:color w:val="auto"/>
                      <w:kern w:val="0"/>
                      <w:sz w:val="21"/>
                      <w:szCs w:val="21"/>
                    </w:rPr>
                    <w:t>采用“厌氧+接触氧化+MBR生物膜反应器+消毒</w:t>
                  </w:r>
                  <w:r>
                    <w:rPr>
                      <w:rFonts w:hint="default" w:ascii="Times New Roman" w:hAnsi="Times New Roman" w:cs="Times New Roman"/>
                      <w:color w:val="auto"/>
                      <w:sz w:val="21"/>
                      <w:szCs w:val="21"/>
                    </w:rPr>
                    <w:t>”处理工艺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处理规模为</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/d</w:t>
                  </w:r>
                  <w:r>
                    <w:rPr>
                      <w:rFonts w:hint="default" w:ascii="Times New Roman" w:hAnsi="Times New Roman" w:cs="Times New Roman"/>
                      <w:color w:val="auto"/>
                      <w:sz w:val="21"/>
                      <w:szCs w:val="21"/>
                    </w:rPr>
                    <w:t>）处理。</w:t>
                  </w:r>
                </w:p>
              </w:tc>
              <w:tc>
                <w:tcPr>
                  <w:tcW w:w="572" w:type="pct"/>
                  <w:tcBorders>
                    <w:left w:val="single" w:color="auto" w:sz="4" w:space="0"/>
                  </w:tcBorders>
                  <w:noWrap w:val="0"/>
                  <w:vAlign w:val="center"/>
                </w:tcPr>
                <w:p w14:paraId="7FE254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eastAsia" w:cs="Times New Roman"/>
                      <w:color w:val="auto"/>
                      <w:sz w:val="21"/>
                      <w:szCs w:val="21"/>
                      <w:lang w:val="en-US" w:eastAsia="zh-CN" w:bidi="ar"/>
                    </w:rPr>
                    <w:t>已建成</w:t>
                  </w:r>
                </w:p>
              </w:tc>
            </w:tr>
            <w:tr w14:paraId="68C57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6E845344">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noWrap w:val="0"/>
                  <w:vAlign w:val="center"/>
                </w:tcPr>
                <w:p w14:paraId="5F8C8980">
                  <w:pPr>
                    <w:keepNext w:val="0"/>
                    <w:keepLines w:val="0"/>
                    <w:pageBreakBefore w:val="0"/>
                    <w:tabs>
                      <w:tab w:val="left" w:pos="3255"/>
                    </w:tabs>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噪声治理</w:t>
                  </w:r>
                </w:p>
              </w:tc>
              <w:tc>
                <w:tcPr>
                  <w:tcW w:w="2874" w:type="pct"/>
                  <w:tcBorders>
                    <w:right w:val="single" w:color="auto" w:sz="4" w:space="0"/>
                  </w:tcBorders>
                  <w:noWrap w:val="0"/>
                  <w:vAlign w:val="center"/>
                </w:tcPr>
                <w:p w14:paraId="03E064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选用低噪声设备，主要生产设备等安装隔震垫、利用厂房进行隔音等</w:t>
                  </w:r>
                  <w:r>
                    <w:rPr>
                      <w:rFonts w:hint="default" w:ascii="Times New Roman" w:hAnsi="Times New Roman" w:cs="Times New Roman"/>
                      <w:color w:val="auto"/>
                      <w:kern w:val="0"/>
                      <w:sz w:val="21"/>
                      <w:szCs w:val="21"/>
                      <w:lang w:bidi="ar"/>
                    </w:rPr>
                    <w:t>。</w:t>
                  </w:r>
                </w:p>
              </w:tc>
              <w:tc>
                <w:tcPr>
                  <w:tcW w:w="572" w:type="pct"/>
                  <w:tcBorders>
                    <w:left w:val="single" w:color="auto" w:sz="4" w:space="0"/>
                  </w:tcBorders>
                  <w:noWrap w:val="0"/>
                  <w:vAlign w:val="center"/>
                </w:tcPr>
                <w:p w14:paraId="1A8978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bidi="ar"/>
                    </w:rPr>
                    <w:t>新建</w:t>
                  </w:r>
                </w:p>
              </w:tc>
            </w:tr>
            <w:tr w14:paraId="03069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4B2FBD40">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noWrap w:val="0"/>
                  <w:vAlign w:val="center"/>
                </w:tcPr>
                <w:p w14:paraId="2EA889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固废处理</w:t>
                  </w:r>
                </w:p>
              </w:tc>
              <w:tc>
                <w:tcPr>
                  <w:tcW w:w="2874" w:type="pct"/>
                  <w:tcBorders>
                    <w:right w:val="single" w:color="auto" w:sz="4" w:space="0"/>
                  </w:tcBorders>
                  <w:noWrap w:val="0"/>
                  <w:vAlign w:val="center"/>
                </w:tcPr>
                <w:p w14:paraId="7C02D5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cs="Times New Roman"/>
                      <w:color w:val="auto"/>
                      <w:sz w:val="21"/>
                      <w:szCs w:val="21"/>
                      <w:lang w:val="en-US" w:eastAsia="zh-CN" w:bidi="ar"/>
                    </w:rPr>
                  </w:pPr>
                  <w:r>
                    <w:rPr>
                      <w:rFonts w:hint="default" w:ascii="Times New Roman" w:hAnsi="Times New Roman" w:cs="Times New Roman"/>
                      <w:color w:val="auto"/>
                      <w:sz w:val="21"/>
                      <w:szCs w:val="21"/>
                      <w:lang w:bidi="ar"/>
                    </w:rPr>
                    <w:t>布袋除尘收集的粉尘</w:t>
                  </w:r>
                  <w:r>
                    <w:rPr>
                      <w:rFonts w:hint="eastAsia" w:ascii="Times New Roman" w:hAnsi="Times New Roman" w:cs="Times New Roman"/>
                      <w:color w:val="auto"/>
                      <w:sz w:val="21"/>
                      <w:szCs w:val="21"/>
                      <w:lang w:val="en-US" w:eastAsia="zh-CN"/>
                    </w:rPr>
                    <w:t>回用于生产过程</w:t>
                  </w:r>
                  <w:r>
                    <w:rPr>
                      <w:rFonts w:hint="default" w:ascii="Times New Roman" w:hAnsi="Times New Roman" w:cs="Times New Roman"/>
                      <w:color w:val="auto"/>
                      <w:sz w:val="21"/>
                      <w:szCs w:val="21"/>
                      <w:lang w:bidi="ar"/>
                    </w:rPr>
                    <w:t>；生产废料返回生产线使用</w:t>
                  </w:r>
                  <w:r>
                    <w:rPr>
                      <w:rFonts w:hint="eastAsia" w:ascii="Times New Roman" w:hAnsi="Times New Roman" w:cs="Times New Roman"/>
                      <w:color w:val="auto"/>
                      <w:sz w:val="21"/>
                      <w:szCs w:val="21"/>
                      <w:lang w:eastAsia="zh-CN" w:bidi="ar"/>
                    </w:rPr>
                    <w:t>；</w:t>
                  </w:r>
                  <w:r>
                    <w:rPr>
                      <w:rFonts w:hint="eastAsia" w:cs="Times New Roman"/>
                      <w:color w:val="auto"/>
                      <w:sz w:val="21"/>
                      <w:szCs w:val="21"/>
                      <w:lang w:eastAsia="zh-CN" w:bidi="ar"/>
                    </w:rPr>
                    <w:t>化粪池及污水站污泥定期清掏用于周边农户农田施肥；</w:t>
                  </w:r>
                  <w:r>
                    <w:rPr>
                      <w:rFonts w:hint="default" w:ascii="Times New Roman" w:hAnsi="Times New Roman" w:cs="Times New Roman"/>
                      <w:color w:val="auto"/>
                      <w:sz w:val="21"/>
                      <w:szCs w:val="21"/>
                      <w:lang w:bidi="ar"/>
                    </w:rPr>
                    <w:t>生活垃圾、厨余垃圾及食堂</w:t>
                  </w:r>
                  <w:r>
                    <w:rPr>
                      <w:rFonts w:hint="eastAsia" w:cs="Times New Roman"/>
                      <w:color w:val="auto"/>
                      <w:sz w:val="21"/>
                      <w:szCs w:val="21"/>
                      <w:lang w:eastAsia="zh-CN" w:bidi="ar"/>
                    </w:rPr>
                    <w:t>隔油池</w:t>
                  </w:r>
                  <w:r>
                    <w:rPr>
                      <w:rFonts w:hint="default" w:ascii="Times New Roman" w:hAnsi="Times New Roman" w:cs="Times New Roman"/>
                      <w:color w:val="auto"/>
                      <w:sz w:val="21"/>
                      <w:szCs w:val="21"/>
                      <w:lang w:bidi="ar"/>
                    </w:rPr>
                    <w:t>废油统一收集在垃圾桶内</w:t>
                  </w:r>
                  <w:r>
                    <w:rPr>
                      <w:rFonts w:hint="eastAsia" w:cs="Times New Roman"/>
                      <w:color w:val="auto"/>
                      <w:sz w:val="21"/>
                      <w:szCs w:val="21"/>
                      <w:lang w:eastAsia="zh-CN" w:bidi="ar"/>
                    </w:rPr>
                    <w:t>（</w:t>
                  </w:r>
                  <w:r>
                    <w:rPr>
                      <w:rFonts w:hint="eastAsia" w:cs="Times New Roman"/>
                      <w:color w:val="auto"/>
                      <w:sz w:val="21"/>
                      <w:szCs w:val="21"/>
                      <w:lang w:val="en-US" w:eastAsia="zh-CN" w:bidi="ar"/>
                    </w:rPr>
                    <w:t>10个）</w:t>
                  </w:r>
                  <w:r>
                    <w:rPr>
                      <w:rFonts w:hint="default" w:ascii="Times New Roman" w:hAnsi="Times New Roman" w:cs="Times New Roman"/>
                      <w:color w:val="auto"/>
                      <w:sz w:val="21"/>
                      <w:szCs w:val="21"/>
                      <w:lang w:bidi="ar"/>
                    </w:rPr>
                    <w:t>，定期清运至</w:t>
                  </w:r>
                  <w:r>
                    <w:rPr>
                      <w:rFonts w:hint="eastAsia" w:ascii="Times New Roman" w:hAnsi="Times New Roman" w:cs="Times New Roman"/>
                      <w:color w:val="auto"/>
                      <w:sz w:val="21"/>
                      <w:szCs w:val="21"/>
                      <w:lang w:val="en-US" w:eastAsia="zh-CN" w:bidi="ar"/>
                    </w:rPr>
                    <w:t>附近的</w:t>
                  </w:r>
                  <w:r>
                    <w:rPr>
                      <w:rFonts w:hint="default" w:ascii="Times New Roman" w:hAnsi="Times New Roman" w:cs="Times New Roman"/>
                      <w:color w:val="auto"/>
                      <w:sz w:val="21"/>
                      <w:szCs w:val="21"/>
                      <w:lang w:bidi="ar"/>
                    </w:rPr>
                    <w:t>垃圾集中收集点；</w:t>
                  </w:r>
                  <w:r>
                    <w:rPr>
                      <w:rFonts w:hint="default" w:ascii="Times New Roman" w:hAnsi="Times New Roman" w:eastAsia="宋体" w:cs="Times New Roman"/>
                      <w:color w:val="auto"/>
                      <w:sz w:val="21"/>
                      <w:szCs w:val="21"/>
                      <w:lang w:bidi="ar"/>
                    </w:rPr>
                    <w:t>导热油炉内的导热油每五年更换一次，废导热油属于危险废物，产生后不在厂区暂存，直接委托有资质的单位处理</w:t>
                  </w:r>
                  <w:r>
                    <w:rPr>
                      <w:rFonts w:hint="eastAsia" w:ascii="Times New Roman" w:hAnsi="Times New Roman" w:eastAsia="宋体" w:cs="Times New Roman"/>
                      <w:color w:val="auto"/>
                      <w:sz w:val="21"/>
                      <w:szCs w:val="21"/>
                      <w:lang w:eastAsia="zh-CN" w:bidi="ar"/>
                    </w:rPr>
                    <w:t>；</w:t>
                  </w:r>
                  <w:r>
                    <w:rPr>
                      <w:rFonts w:hint="eastAsia" w:ascii="Times New Roman" w:hAnsi="Times New Roman" w:cs="Times New Roman"/>
                      <w:color w:val="auto"/>
                      <w:sz w:val="21"/>
                      <w:szCs w:val="21"/>
                      <w:lang w:bidi="ar"/>
                    </w:rPr>
                    <w:t>三级隔油沉淀池污泥</w:t>
                  </w:r>
                  <w:r>
                    <w:rPr>
                      <w:rFonts w:hint="eastAsia" w:ascii="Times New Roman" w:hAnsi="Times New Roman" w:cs="Times New Roman"/>
                      <w:color w:val="auto"/>
                      <w:sz w:val="21"/>
                      <w:szCs w:val="21"/>
                      <w:lang w:eastAsia="zh-CN" w:bidi="ar"/>
                    </w:rPr>
                    <w:t>、</w:t>
                  </w:r>
                  <w:r>
                    <w:rPr>
                      <w:rFonts w:hint="eastAsia"/>
                      <w:color w:val="auto"/>
                      <w:sz w:val="21"/>
                      <w:szCs w:val="21"/>
                      <w:lang w:val="en-US" w:eastAsia="zh-CN"/>
                    </w:rPr>
                    <w:t>含油抹布、</w:t>
                  </w:r>
                  <w:r>
                    <w:rPr>
                      <w:rFonts w:hint="default" w:ascii="Times New Roman" w:hAnsi="Times New Roman" w:cs="Times New Roman"/>
                      <w:color w:val="auto"/>
                      <w:sz w:val="21"/>
                      <w:szCs w:val="21"/>
                      <w:lang w:bidi="ar"/>
                    </w:rPr>
                    <w:t>废活性炭及设备检修废机油暂存于1间</w:t>
                  </w:r>
                  <w:r>
                    <w:rPr>
                      <w:rFonts w:hint="eastAsia" w:cs="Times New Roman"/>
                      <w:color w:val="auto"/>
                      <w:sz w:val="21"/>
                      <w:szCs w:val="21"/>
                      <w:lang w:val="en-US" w:eastAsia="zh-CN" w:bidi="ar"/>
                    </w:rPr>
                    <w:t>10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2</w:t>
                  </w:r>
                  <w:r>
                    <w:rPr>
                      <w:rFonts w:hint="default" w:ascii="Times New Roman" w:hAnsi="Times New Roman" w:cs="Times New Roman"/>
                      <w:color w:val="auto"/>
                      <w:sz w:val="21"/>
                      <w:szCs w:val="21"/>
                      <w:lang w:bidi="ar"/>
                    </w:rPr>
                    <w:t>危废暂存间</w:t>
                  </w:r>
                  <w:r>
                    <w:rPr>
                      <w:rFonts w:hint="eastAsia" w:cs="Times New Roman"/>
                      <w:color w:val="auto"/>
                      <w:sz w:val="21"/>
                      <w:szCs w:val="21"/>
                      <w:lang w:eastAsia="zh-CN" w:bidi="ar"/>
                    </w:rPr>
                    <w:t>。</w:t>
                  </w:r>
                  <w:r>
                    <w:rPr>
                      <w:rFonts w:hint="eastAsia" w:cs="Times New Roman"/>
                      <w:color w:val="auto"/>
                      <w:sz w:val="21"/>
                      <w:szCs w:val="21"/>
                      <w:lang w:val="en-US" w:eastAsia="zh-CN" w:bidi="ar"/>
                    </w:rPr>
                    <w:t xml:space="preserve"> </w:t>
                  </w:r>
                </w:p>
                <w:p w14:paraId="688A796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bidi="ar"/>
                    </w:rPr>
                    <w:t>危废暂存间按照《危险废物贮存污染控制标准》（GB18597-2023）要求建设，采取必要的防风、防晒、防雨、防漏、防渗、防腐措施，</w:t>
                  </w:r>
                  <w:r>
                    <w:rPr>
                      <w:rFonts w:hint="eastAsia" w:cs="Times New Roman"/>
                      <w:color w:val="auto"/>
                      <w:sz w:val="21"/>
                      <w:szCs w:val="21"/>
                      <w:lang w:val="en-US" w:eastAsia="zh-CN"/>
                    </w:rPr>
                    <w:t>做好重点防渗措施</w:t>
                  </w:r>
                  <w:r>
                    <w:rPr>
                      <w:rFonts w:hint="eastAsia" w:ascii="Times New Roman" w:hAnsi="Times New Roman" w:cs="Times New Roman"/>
                      <w:color w:val="auto"/>
                      <w:sz w:val="21"/>
                      <w:szCs w:val="21"/>
                      <w:lang w:val="en-US" w:eastAsia="zh-CN" w:bidi="ar"/>
                    </w:rPr>
                    <w:t>，</w:t>
                  </w:r>
                  <w:r>
                    <w:rPr>
                      <w:rFonts w:hint="eastAsia" w:cs="Times New Roman"/>
                      <w:color w:val="auto"/>
                      <w:sz w:val="21"/>
                      <w:szCs w:val="21"/>
                      <w:lang w:val="en-US" w:eastAsia="zh-CN" w:bidi="ar"/>
                    </w:rPr>
                    <w:t>各危险废物分区贮存，</w:t>
                  </w:r>
                  <w:r>
                    <w:rPr>
                      <w:rFonts w:hint="eastAsia" w:cs="Times New Roman"/>
                      <w:color w:val="auto"/>
                      <w:sz w:val="21"/>
                      <w:szCs w:val="21"/>
                      <w:lang w:val="en-US" w:eastAsia="zh-CN"/>
                    </w:rPr>
                    <w:t>设置台账记录、做好危险标识，和有资质单位签订危废处置协议。</w:t>
                  </w:r>
                </w:p>
              </w:tc>
              <w:tc>
                <w:tcPr>
                  <w:tcW w:w="572" w:type="pct"/>
                  <w:tcBorders>
                    <w:left w:val="single" w:color="auto" w:sz="4" w:space="0"/>
                  </w:tcBorders>
                  <w:noWrap w:val="0"/>
                  <w:vAlign w:val="center"/>
                </w:tcPr>
                <w:p w14:paraId="44FDA7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14:paraId="760EF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79DDF4D1">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noWrap w:val="0"/>
                  <w:vAlign w:val="center"/>
                </w:tcPr>
                <w:p w14:paraId="1670EF9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地下水和土壤</w:t>
                  </w:r>
                </w:p>
              </w:tc>
              <w:tc>
                <w:tcPr>
                  <w:tcW w:w="2874" w:type="pct"/>
                  <w:tcBorders>
                    <w:right w:val="single" w:color="auto" w:sz="4" w:space="0"/>
                  </w:tcBorders>
                  <w:noWrap w:val="0"/>
                  <w:vAlign w:val="center"/>
                </w:tcPr>
                <w:p w14:paraId="0393EC03">
                  <w:pPr>
                    <w:keepNext w:val="0"/>
                    <w:keepLines w:val="0"/>
                    <w:widowControl/>
                    <w:suppressLineNumbers w:val="0"/>
                    <w:spacing w:line="240" w:lineRule="auto"/>
                    <w:ind w:left="0" w:leftChars="0" w:firstLine="0" w:firstLineChars="0"/>
                    <w:jc w:val="left"/>
                    <w:rPr>
                      <w:rFonts w:hint="default" w:ascii="Times New Roman" w:hAnsi="Times New Roman" w:cs="Times New Roman"/>
                      <w:color w:val="auto"/>
                      <w:sz w:val="21"/>
                      <w:szCs w:val="21"/>
                    </w:rPr>
                  </w:pPr>
                  <w:r>
                    <w:rPr>
                      <w:rFonts w:hint="eastAsia"/>
                      <w:bCs/>
                      <w:color w:val="auto"/>
                      <w:sz w:val="21"/>
                      <w:szCs w:val="21"/>
                    </w:rPr>
                    <w:t>厂区</w:t>
                  </w:r>
                  <w:r>
                    <w:rPr>
                      <w:bCs/>
                      <w:color w:val="auto"/>
                      <w:sz w:val="21"/>
                      <w:szCs w:val="21"/>
                    </w:rPr>
                    <w:t>采取分区防渗，危废暂存间</w:t>
                  </w:r>
                  <w:r>
                    <w:rPr>
                      <w:rFonts w:hint="eastAsia"/>
                      <w:bCs/>
                      <w:color w:val="auto"/>
                      <w:sz w:val="21"/>
                      <w:szCs w:val="21"/>
                    </w:rPr>
                    <w:t>、</w:t>
                  </w:r>
                  <w:r>
                    <w:rPr>
                      <w:bCs/>
                      <w:color w:val="auto"/>
                      <w:sz w:val="21"/>
                      <w:szCs w:val="21"/>
                    </w:rPr>
                    <w:t>沥青储罐和柴油储罐区为重点防渗区</w:t>
                  </w:r>
                  <w:r>
                    <w:rPr>
                      <w:rFonts w:hint="eastAsia"/>
                      <w:bCs/>
                      <w:color w:val="auto"/>
                      <w:sz w:val="21"/>
                      <w:szCs w:val="21"/>
                      <w:lang w:eastAsia="zh-CN"/>
                    </w:rPr>
                    <w:t>。</w:t>
                  </w:r>
                  <w:r>
                    <w:rPr>
                      <w:rFonts w:hint="default" w:ascii="Times New Roman" w:hAnsi="Times New Roman" w:cs="Times New Roman"/>
                      <w:bCs/>
                      <w:color w:val="auto"/>
                      <w:sz w:val="21"/>
                      <w:szCs w:val="21"/>
                      <w:lang w:val="en-US" w:eastAsia="zh-CN"/>
                    </w:rPr>
                    <w:t>其中</w:t>
                  </w:r>
                  <w:r>
                    <w:rPr>
                      <w:rFonts w:hint="default" w:ascii="Times New Roman" w:hAnsi="Times New Roman" w:cs="Times New Roman"/>
                      <w:bCs/>
                      <w:color w:val="auto"/>
                      <w:sz w:val="21"/>
                      <w:szCs w:val="21"/>
                    </w:rPr>
                    <w:t>危废暂存间基础采取至少2mm厚的防渗人工材料，渗透系数应≤1×10</w:t>
                  </w:r>
                  <w:r>
                    <w:rPr>
                      <w:rFonts w:hint="default" w:ascii="Times New Roman" w:hAnsi="Times New Roman" w:cs="Times New Roman"/>
                      <w:bCs/>
                      <w:color w:val="auto"/>
                      <w:sz w:val="21"/>
                      <w:szCs w:val="21"/>
                      <w:vertAlign w:val="superscript"/>
                    </w:rPr>
                    <w:t>-10</w:t>
                  </w:r>
                  <w:r>
                    <w:rPr>
                      <w:rFonts w:hint="default" w:ascii="Times New Roman" w:hAnsi="Times New Roman" w:cs="Times New Roman"/>
                      <w:bCs/>
                      <w:color w:val="auto"/>
                      <w:sz w:val="21"/>
                      <w:szCs w:val="21"/>
                    </w:rPr>
                    <w:t>cm/s；沥青储罐和柴油储罐区</w:t>
                  </w:r>
                  <w:r>
                    <w:rPr>
                      <w:rFonts w:hint="default" w:ascii="Times New Roman" w:hAnsi="Times New Roman" w:cs="Times New Roman"/>
                      <w:color w:val="auto"/>
                      <w:sz w:val="21"/>
                      <w:szCs w:val="21"/>
                    </w:rPr>
                    <w:t>防渗层防渗要求为等效厚度≥6m，渗透系数≤1.0×10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r>
                    <w:rPr>
                      <w:rFonts w:hint="default" w:ascii="Times New Roman" w:hAnsi="Times New Roman" w:cs="Times New Roman"/>
                      <w:bCs/>
                      <w:color w:val="auto"/>
                      <w:sz w:val="21"/>
                      <w:szCs w:val="21"/>
                    </w:rPr>
                    <w:t>厂区其他地区为</w:t>
                  </w:r>
                  <w:r>
                    <w:rPr>
                      <w:rFonts w:hint="eastAsia" w:cs="Times New Roman"/>
                      <w:bCs/>
                      <w:color w:val="auto"/>
                      <w:sz w:val="21"/>
                      <w:szCs w:val="21"/>
                      <w:lang w:val="en-US" w:eastAsia="zh-CN"/>
                    </w:rPr>
                    <w:t>简单</w:t>
                  </w:r>
                  <w:r>
                    <w:rPr>
                      <w:rFonts w:hint="default" w:ascii="Times New Roman" w:hAnsi="Times New Roman" w:cs="Times New Roman"/>
                      <w:bCs/>
                      <w:color w:val="auto"/>
                      <w:sz w:val="21"/>
                      <w:szCs w:val="21"/>
                    </w:rPr>
                    <w:t>防渗区，</w:t>
                  </w:r>
                  <w:r>
                    <w:rPr>
                      <w:rFonts w:hint="default" w:ascii="Times New Roman" w:hAnsi="Times New Roman" w:eastAsia="宋体" w:cs="Times New Roman"/>
                      <w:color w:val="auto"/>
                      <w:sz w:val="21"/>
                      <w:szCs w:val="21"/>
                    </w:rPr>
                    <w:t>地面采用混凝土硬化</w:t>
                  </w:r>
                  <w:r>
                    <w:rPr>
                      <w:rFonts w:hint="default" w:ascii="Times New Roman" w:hAnsi="Times New Roman" w:cs="Times New Roman"/>
                      <w:bCs/>
                      <w:color w:val="auto"/>
                      <w:sz w:val="21"/>
                      <w:szCs w:val="21"/>
                    </w:rPr>
                    <w:t>。本项目应严格按本评价提出的防渗要求做好防渗，降低事故发生概率，且在</w:t>
                  </w:r>
                  <w:r>
                    <w:rPr>
                      <w:bCs/>
                      <w:color w:val="auto"/>
                      <w:sz w:val="21"/>
                      <w:szCs w:val="21"/>
                    </w:rPr>
                    <w:t>发生事故后及时清理污染土壤，可减弱污染事件对土壤的影响，进一步保护项目场地的土壤环境。</w:t>
                  </w:r>
                </w:p>
              </w:tc>
              <w:tc>
                <w:tcPr>
                  <w:tcW w:w="572" w:type="pct"/>
                  <w:tcBorders>
                    <w:left w:val="single" w:color="auto" w:sz="4" w:space="0"/>
                  </w:tcBorders>
                  <w:noWrap w:val="0"/>
                  <w:vAlign w:val="center"/>
                </w:tcPr>
                <w:p w14:paraId="13CB62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新建</w:t>
                  </w:r>
                </w:p>
              </w:tc>
            </w:tr>
            <w:tr w14:paraId="70B30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1004F5B0">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vMerge w:val="restart"/>
                  <w:noWrap w:val="0"/>
                  <w:vAlign w:val="center"/>
                </w:tcPr>
                <w:p w14:paraId="3548C78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环境风险</w:t>
                  </w:r>
                </w:p>
              </w:tc>
              <w:tc>
                <w:tcPr>
                  <w:tcW w:w="2874" w:type="pct"/>
                  <w:tcBorders>
                    <w:right w:val="single" w:color="auto" w:sz="4" w:space="0"/>
                  </w:tcBorders>
                  <w:noWrap w:val="0"/>
                  <w:vAlign w:val="center"/>
                </w:tcPr>
                <w:p w14:paraId="3881B9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rPr>
                    <w:t>沥青储罐</w:t>
                  </w:r>
                  <w:r>
                    <w:rPr>
                      <w:rFonts w:hint="eastAsia" w:ascii="Times New Roman" w:hAnsi="Times New Roman" w:cs="Times New Roman"/>
                      <w:color w:val="auto"/>
                      <w:sz w:val="21"/>
                      <w:szCs w:val="21"/>
                      <w:lang w:val="en-US" w:eastAsia="zh-CN"/>
                    </w:rPr>
                    <w:t>和</w:t>
                  </w:r>
                  <w:r>
                    <w:rPr>
                      <w:rFonts w:hint="default" w:ascii="Times New Roman" w:hAnsi="Times New Roman" w:cs="Times New Roman"/>
                      <w:color w:val="auto"/>
                      <w:sz w:val="21"/>
                      <w:szCs w:val="21"/>
                    </w:rPr>
                    <w:t>柴油储罐储存区严禁明火，并认真做好生产运行记录。柴油储罐使用双层罐，储罐区域地坪采用</w:t>
                  </w:r>
                  <w:r>
                    <w:rPr>
                      <w:rFonts w:hint="eastAsia" w:cs="Times New Roman"/>
                      <w:color w:val="auto"/>
                      <w:sz w:val="21"/>
                      <w:szCs w:val="21"/>
                      <w:lang w:val="en-US" w:eastAsia="zh-CN"/>
                    </w:rPr>
                    <w:t>重点</w:t>
                  </w:r>
                  <w:r>
                    <w:rPr>
                      <w:rFonts w:hint="default" w:ascii="Times New Roman" w:hAnsi="Times New Roman" w:cs="Times New Roman"/>
                      <w:color w:val="auto"/>
                      <w:sz w:val="21"/>
                      <w:szCs w:val="21"/>
                    </w:rPr>
                    <w:t>防渗</w:t>
                  </w:r>
                  <w:r>
                    <w:rPr>
                      <w:rFonts w:hint="eastAsia" w:cs="Times New Roman"/>
                      <w:color w:val="auto"/>
                      <w:sz w:val="21"/>
                      <w:szCs w:val="21"/>
                      <w:lang w:eastAsia="zh-CN"/>
                    </w:rPr>
                    <w:t>。</w:t>
                  </w:r>
                  <w:r>
                    <w:rPr>
                      <w:rFonts w:hint="eastAsia" w:cs="Times New Roman"/>
                      <w:color w:val="auto"/>
                      <w:sz w:val="21"/>
                      <w:szCs w:val="21"/>
                      <w:lang w:val="en-US" w:eastAsia="zh-CN"/>
                    </w:rPr>
                    <w:t>各</w:t>
                  </w:r>
                  <w:r>
                    <w:rPr>
                      <w:rFonts w:hint="default" w:ascii="Times New Roman" w:hAnsi="Times New Roman" w:cs="Times New Roman"/>
                      <w:color w:val="auto"/>
                      <w:sz w:val="21"/>
                      <w:szCs w:val="21"/>
                    </w:rPr>
                    <w:t>储罐周围设置围堰，顶部设顶棚</w:t>
                  </w:r>
                  <w:r>
                    <w:rPr>
                      <w:rFonts w:hint="eastAsia" w:ascii="Times New Roman" w:hAnsi="Times New Roman" w:cs="Times New Roman"/>
                      <w:color w:val="auto"/>
                      <w:sz w:val="21"/>
                      <w:szCs w:val="21"/>
                      <w:lang w:eastAsia="zh-CN"/>
                    </w:rPr>
                    <w:t>，</w:t>
                  </w:r>
                  <w:r>
                    <w:rPr>
                      <w:rFonts w:ascii="Times New Roman" w:hAnsi="Times New Roman"/>
                      <w:bCs/>
                      <w:color w:val="auto"/>
                      <w:spacing w:val="0"/>
                      <w:sz w:val="21"/>
                      <w:szCs w:val="21"/>
                    </w:rPr>
                    <w:t>围堰</w:t>
                  </w:r>
                  <w:r>
                    <w:rPr>
                      <w:rFonts w:hint="eastAsia" w:ascii="Times New Roman" w:hAnsi="Times New Roman"/>
                      <w:bCs/>
                      <w:color w:val="auto"/>
                      <w:spacing w:val="0"/>
                      <w:sz w:val="21"/>
                      <w:szCs w:val="21"/>
                      <w:lang w:val="en-US" w:eastAsia="zh-CN"/>
                    </w:rPr>
                    <w:t>高度</w:t>
                  </w:r>
                  <w:r>
                    <w:rPr>
                      <w:rFonts w:ascii="Times New Roman" w:hAnsi="Times New Roman"/>
                      <w:bCs/>
                      <w:color w:val="auto"/>
                      <w:spacing w:val="0"/>
                      <w:sz w:val="21"/>
                      <w:szCs w:val="21"/>
                    </w:rPr>
                    <w:t>≥0.6m</w:t>
                  </w:r>
                  <w:r>
                    <w:rPr>
                      <w:rFonts w:hint="eastAsia"/>
                      <w:bCs/>
                      <w:color w:val="auto"/>
                      <w:spacing w:val="0"/>
                      <w:sz w:val="21"/>
                      <w:szCs w:val="21"/>
                      <w:lang w:eastAsia="zh-CN"/>
                    </w:rPr>
                    <w:t>，</w:t>
                  </w:r>
                  <w:r>
                    <w:rPr>
                      <w:rFonts w:hint="eastAsia" w:ascii="Times New Roman" w:hAnsi="Times New Roman" w:cs="Times New Roman"/>
                      <w:color w:val="auto"/>
                      <w:sz w:val="21"/>
                      <w:szCs w:val="21"/>
                      <w:lang w:val="en-US" w:eastAsia="zh-CN"/>
                    </w:rPr>
                    <w:t>其中</w:t>
                  </w:r>
                  <w:r>
                    <w:rPr>
                      <w:rFonts w:hint="eastAsia" w:cs="Times New Roman"/>
                      <w:color w:val="auto"/>
                      <w:sz w:val="21"/>
                      <w:szCs w:val="21"/>
                      <w:lang w:val="en-US" w:eastAsia="zh-CN"/>
                    </w:rPr>
                    <w:t>1#和2#</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，3#</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180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bidi="ar"/>
                    </w:rPr>
                    <w:t>柴油</w:t>
                  </w:r>
                  <w:r>
                    <w:rPr>
                      <w:rFonts w:hint="eastAsia" w:cs="Times New Roman"/>
                      <w:color w:val="auto"/>
                      <w:sz w:val="21"/>
                      <w:szCs w:val="21"/>
                      <w:lang w:val="en-US" w:eastAsia="zh-CN" w:bidi="ar"/>
                    </w:rPr>
                    <w:t>撬装加油站和轻质柴油储罐</w:t>
                  </w:r>
                  <w:r>
                    <w:rPr>
                      <w:rFonts w:hint="eastAsia" w:ascii="Times New Roman" w:hAnsi="Times New Roman" w:cs="Times New Roman"/>
                      <w:color w:val="auto"/>
                      <w:sz w:val="21"/>
                      <w:szCs w:val="21"/>
                      <w:lang w:val="en-US" w:eastAsia="zh-CN"/>
                    </w:rPr>
                    <w:t>围堰容积均不小于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default" w:ascii="Times New Roman" w:hAnsi="Times New Roman" w:eastAsia="宋体" w:cs="Times New Roman"/>
                      <w:bCs/>
                      <w:color w:val="auto"/>
                      <w:sz w:val="21"/>
                      <w:szCs w:val="21"/>
                    </w:rPr>
                    <w:t>排水管网</w:t>
                  </w:r>
                  <w:r>
                    <w:rPr>
                      <w:rFonts w:hint="eastAsia" w:ascii="Times New Roman" w:hAnsi="Times New Roman" w:eastAsia="宋体" w:cs="Times New Roman"/>
                      <w:bCs/>
                      <w:color w:val="auto"/>
                      <w:sz w:val="21"/>
                      <w:szCs w:val="21"/>
                      <w:lang w:val="en-US" w:eastAsia="zh-CN"/>
                    </w:rPr>
                    <w:t>末端</w:t>
                  </w:r>
                  <w:r>
                    <w:rPr>
                      <w:rFonts w:hint="default" w:ascii="Times New Roman" w:hAnsi="Times New Roman" w:eastAsia="宋体" w:cs="Times New Roman"/>
                      <w:bCs/>
                      <w:color w:val="auto"/>
                      <w:sz w:val="21"/>
                      <w:szCs w:val="21"/>
                    </w:rPr>
                    <w:t>全部设置切断装置</w:t>
                  </w:r>
                  <w:r>
                    <w:rPr>
                      <w:rFonts w:hint="eastAsia" w:ascii="Times New Roman" w:hAnsi="Times New Roman" w:eastAsia="宋体" w:cs="Times New Roman"/>
                      <w:bCs/>
                      <w:color w:val="auto"/>
                      <w:sz w:val="21"/>
                      <w:szCs w:val="21"/>
                      <w:lang w:eastAsia="zh-CN"/>
                    </w:rPr>
                    <w:t>。</w:t>
                  </w:r>
                </w:p>
              </w:tc>
              <w:tc>
                <w:tcPr>
                  <w:tcW w:w="572" w:type="pct"/>
                  <w:tcBorders>
                    <w:left w:val="single" w:color="auto" w:sz="4" w:space="0"/>
                  </w:tcBorders>
                  <w:noWrap w:val="0"/>
                  <w:vAlign w:val="center"/>
                </w:tcPr>
                <w:p w14:paraId="6816E9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eastAsia="zh-CN" w:bidi="ar"/>
                    </w:rPr>
                    <w:t>新建</w:t>
                  </w:r>
                </w:p>
              </w:tc>
            </w:tr>
            <w:tr w14:paraId="3ECE2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76520F37">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vMerge w:val="continue"/>
                  <w:noWrap w:val="0"/>
                  <w:vAlign w:val="center"/>
                </w:tcPr>
                <w:p w14:paraId="353F61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c>
                <w:tcPr>
                  <w:tcW w:w="2874" w:type="pct"/>
                  <w:tcBorders>
                    <w:right w:val="single" w:color="auto" w:sz="4" w:space="0"/>
                  </w:tcBorders>
                  <w:noWrap w:val="0"/>
                  <w:vAlign w:val="center"/>
                </w:tcPr>
                <w:p w14:paraId="3630CC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kern w:val="0"/>
                      <w:sz w:val="21"/>
                      <w:szCs w:val="21"/>
                      <w:highlight w:val="none"/>
                      <w:lang w:val="en-US" w:eastAsia="zh-CN" w:bidi="ar"/>
                    </w:rPr>
                    <w:t>设置</w:t>
                  </w: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座容积</w:t>
                  </w:r>
                  <w:r>
                    <w:rPr>
                      <w:rFonts w:hint="eastAsia" w:ascii="Times New Roman" w:hAnsi="Times New Roman" w:eastAsia="宋体" w:cs="Times New Roman"/>
                      <w:color w:val="auto"/>
                      <w:kern w:val="0"/>
                      <w:sz w:val="21"/>
                      <w:szCs w:val="21"/>
                      <w:highlight w:val="none"/>
                      <w:lang w:val="en-US" w:eastAsia="zh-CN" w:bidi="ar"/>
                    </w:rPr>
                    <w:t>为</w:t>
                  </w:r>
                  <w:r>
                    <w:rPr>
                      <w:rFonts w:hint="eastAsia" w:cs="Times New Roman"/>
                      <w:color w:val="auto"/>
                      <w:sz w:val="21"/>
                      <w:szCs w:val="21"/>
                      <w:lang w:val="en-US" w:eastAsia="zh-CN" w:bidi="ar"/>
                    </w:rPr>
                    <w:t>3</w:t>
                  </w:r>
                  <w:r>
                    <w:rPr>
                      <w:rFonts w:hint="eastAsia" w:ascii="Times New Roman" w:hAnsi="Times New Roman" w:cs="Times New Roman"/>
                      <w:color w:val="auto"/>
                      <w:sz w:val="21"/>
                      <w:szCs w:val="21"/>
                      <w:lang w:val="en-US" w:eastAsia="zh-CN" w:bidi="ar"/>
                    </w:rPr>
                    <w:t>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应急</w:t>
                  </w:r>
                  <w:r>
                    <w:rPr>
                      <w:rFonts w:hint="default" w:ascii="Times New Roman" w:hAnsi="Times New Roman" w:eastAsia="宋体" w:cs="Times New Roman"/>
                      <w:color w:val="auto"/>
                      <w:kern w:val="0"/>
                      <w:sz w:val="21"/>
                      <w:szCs w:val="21"/>
                      <w:highlight w:val="none"/>
                      <w:lang w:val="en-US" w:eastAsia="zh-CN" w:bidi="ar"/>
                    </w:rPr>
                    <w:t>事故池，</w:t>
                  </w:r>
                  <w:r>
                    <w:rPr>
                      <w:rFonts w:hint="eastAsia" w:ascii="Times New Roman" w:hAnsi="Times New Roman" w:eastAsia="宋体" w:cs="Times New Roman"/>
                      <w:color w:val="auto"/>
                      <w:kern w:val="0"/>
                      <w:sz w:val="21"/>
                      <w:szCs w:val="21"/>
                      <w:highlight w:val="none"/>
                      <w:lang w:val="en-US" w:eastAsia="zh-CN" w:bidi="ar"/>
                    </w:rPr>
                    <w:t>暂存事故废水。</w:t>
                  </w:r>
                </w:p>
              </w:tc>
              <w:tc>
                <w:tcPr>
                  <w:tcW w:w="572" w:type="pct"/>
                  <w:tcBorders>
                    <w:left w:val="single" w:color="auto" w:sz="4" w:space="0"/>
                  </w:tcBorders>
                  <w:noWrap w:val="0"/>
                  <w:vAlign w:val="center"/>
                </w:tcPr>
                <w:p w14:paraId="108090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lang w:bidi="ar"/>
                    </w:rPr>
                  </w:pPr>
                </w:p>
              </w:tc>
            </w:tr>
            <w:tr w14:paraId="55126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77" w:type="pct"/>
                  <w:vMerge w:val="continue"/>
                  <w:noWrap w:val="0"/>
                  <w:vAlign w:val="center"/>
                </w:tcPr>
                <w:p w14:paraId="48A08A4B">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color w:val="auto"/>
                      <w:sz w:val="21"/>
                      <w:szCs w:val="21"/>
                    </w:rPr>
                  </w:pPr>
                </w:p>
              </w:tc>
              <w:tc>
                <w:tcPr>
                  <w:tcW w:w="1075" w:type="pct"/>
                  <w:gridSpan w:val="2"/>
                  <w:noWrap w:val="0"/>
                  <w:vAlign w:val="center"/>
                </w:tcPr>
                <w:p w14:paraId="155ADDA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color w:val="auto"/>
                      <w:sz w:val="21"/>
                      <w:szCs w:val="21"/>
                      <w:lang w:val="en-US" w:eastAsia="zh-CN" w:bidi="ar"/>
                    </w:rPr>
                  </w:pPr>
                  <w:r>
                    <w:rPr>
                      <w:rFonts w:hint="eastAsia" w:cs="Times New Roman"/>
                      <w:color w:val="auto"/>
                      <w:sz w:val="21"/>
                      <w:szCs w:val="21"/>
                      <w:lang w:val="en-US" w:eastAsia="zh-CN" w:bidi="ar"/>
                    </w:rPr>
                    <w:t>绿化</w:t>
                  </w:r>
                </w:p>
              </w:tc>
              <w:tc>
                <w:tcPr>
                  <w:tcW w:w="2874" w:type="pct"/>
                  <w:tcBorders>
                    <w:right w:val="single" w:color="auto" w:sz="4" w:space="0"/>
                  </w:tcBorders>
                  <w:noWrap w:val="0"/>
                  <w:vAlign w:val="center"/>
                </w:tcPr>
                <w:p w14:paraId="642867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设置绿化面积4000m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c>
                <w:tcPr>
                  <w:tcW w:w="572" w:type="pct"/>
                  <w:tcBorders>
                    <w:left w:val="single" w:color="auto" w:sz="4" w:space="0"/>
                  </w:tcBorders>
                  <w:noWrap w:val="0"/>
                  <w:vAlign w:val="center"/>
                </w:tcPr>
                <w:p w14:paraId="39F7F02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eastAsia="zh-CN" w:bidi="ar"/>
                    </w:rPr>
                    <w:t>新建</w:t>
                  </w:r>
                </w:p>
              </w:tc>
            </w:tr>
          </w:tbl>
          <w:p w14:paraId="1411160C">
            <w:pPr>
              <w:spacing w:line="240" w:lineRule="auto"/>
              <w:ind w:left="0" w:leftChars="0" w:firstLine="0" w:firstLineChars="0"/>
              <w:jc w:val="center"/>
              <w:rPr>
                <w:rFonts w:hint="eastAsia"/>
                <w:b/>
                <w:bCs/>
                <w:color w:val="auto"/>
                <w:sz w:val="21"/>
                <w:szCs w:val="21"/>
                <w:highlight w:val="none"/>
                <w:lang w:val="en-US" w:eastAsia="zh-CN"/>
              </w:rPr>
            </w:pPr>
          </w:p>
          <w:p w14:paraId="5FE484A3">
            <w:pPr>
              <w:ind w:firstLine="48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主要设备</w:t>
            </w:r>
          </w:p>
          <w:p w14:paraId="353B98A9">
            <w:pPr>
              <w:spacing w:line="360" w:lineRule="auto"/>
              <w:ind w:firstLine="48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rPr>
              <w:t>项目生产用设备均为外购成套设备</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主要搅拌设备为</w:t>
            </w:r>
            <w:r>
              <w:rPr>
                <w:rFonts w:hint="default" w:ascii="Times New Roman" w:hAnsi="Times New Roman" w:eastAsia="宋体" w:cs="Times New Roman"/>
                <w:color w:val="auto"/>
                <w:sz w:val="24"/>
              </w:rPr>
              <w:t>1000型沥青混凝土搅拌站</w:t>
            </w:r>
            <w:r>
              <w:rPr>
                <w:rFonts w:hint="eastAsia" w:ascii="Times New Roman" w:hAnsi="Times New Roman" w:eastAsia="宋体" w:cs="Times New Roman"/>
                <w:color w:val="auto"/>
                <w:sz w:val="24"/>
                <w:lang w:val="en-US" w:eastAsia="zh-CN"/>
              </w:rPr>
              <w:t>和</w:t>
            </w:r>
            <w:r>
              <w:rPr>
                <w:rFonts w:hint="default" w:ascii="Times New Roman" w:hAnsi="Times New Roman" w:eastAsia="宋体" w:cs="Times New Roman"/>
                <w:color w:val="auto"/>
                <w:sz w:val="24"/>
              </w:rPr>
              <w:t>4000型沥青混凝土搅拌站。项目主要设备见下表。</w:t>
            </w:r>
          </w:p>
          <w:p w14:paraId="33A9F96F">
            <w:pPr>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沥青混凝土生产线主要设备一览表</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2"/>
              <w:gridCol w:w="1067"/>
              <w:gridCol w:w="2359"/>
              <w:gridCol w:w="2167"/>
              <w:gridCol w:w="8"/>
            </w:tblGrid>
            <w:tr w14:paraId="0E2A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97" w:hRule="atLeast"/>
                <w:jc w:val="center"/>
              </w:trPr>
              <w:tc>
                <w:tcPr>
                  <w:tcW w:w="413" w:type="pct"/>
                  <w:vMerge w:val="restart"/>
                  <w:noWrap w:val="0"/>
                  <w:vAlign w:val="center"/>
                </w:tcPr>
                <w:p w14:paraId="310CE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15" w:type="pct"/>
                  <w:vMerge w:val="restart"/>
                  <w:noWrap w:val="0"/>
                  <w:vAlign w:val="center"/>
                </w:tcPr>
                <w:p w14:paraId="6DB3E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680" w:type="pct"/>
                  <w:vMerge w:val="restart"/>
                  <w:noWrap w:val="0"/>
                  <w:vAlign w:val="center"/>
                </w:tcPr>
                <w:p w14:paraId="633EBC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数量（台/套）</w:t>
                  </w:r>
                </w:p>
              </w:tc>
              <w:tc>
                <w:tcPr>
                  <w:tcW w:w="1504" w:type="pct"/>
                  <w:noWrap w:val="0"/>
                  <w:vAlign w:val="center"/>
                </w:tcPr>
                <w:p w14:paraId="6A6C3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1000型沥青混凝土搅拌站</w:t>
                  </w:r>
                </w:p>
              </w:tc>
              <w:tc>
                <w:tcPr>
                  <w:tcW w:w="1381" w:type="pct"/>
                  <w:noWrap w:val="0"/>
                  <w:vAlign w:val="center"/>
                </w:tcPr>
                <w:p w14:paraId="1A6AB7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4000型沥青混凝土搅拌站</w:t>
                  </w:r>
                </w:p>
              </w:tc>
            </w:tr>
            <w:tr w14:paraId="2A66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vMerge w:val="continue"/>
                  <w:noWrap w:val="0"/>
                  <w:vAlign w:val="center"/>
                </w:tcPr>
                <w:p w14:paraId="32E0B1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1015" w:type="pct"/>
                  <w:vMerge w:val="continue"/>
                  <w:noWrap w:val="0"/>
                  <w:vAlign w:val="center"/>
                </w:tcPr>
                <w:p w14:paraId="4DA9F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680" w:type="pct"/>
                  <w:vMerge w:val="continue"/>
                  <w:noWrap w:val="0"/>
                  <w:vAlign w:val="center"/>
                </w:tcPr>
                <w:p w14:paraId="4118F0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1504" w:type="pct"/>
                  <w:noWrap w:val="0"/>
                  <w:vAlign w:val="center"/>
                </w:tcPr>
                <w:p w14:paraId="79488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规格型号</w:t>
                  </w:r>
                </w:p>
              </w:tc>
              <w:tc>
                <w:tcPr>
                  <w:tcW w:w="1386" w:type="pct"/>
                  <w:gridSpan w:val="2"/>
                  <w:noWrap w:val="0"/>
                  <w:vAlign w:val="center"/>
                </w:tcPr>
                <w:p w14:paraId="6814EE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规格型号</w:t>
                  </w:r>
                </w:p>
              </w:tc>
            </w:tr>
            <w:tr w14:paraId="49EB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557A5C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15" w:type="pct"/>
                  <w:noWrap w:val="0"/>
                  <w:vAlign w:val="center"/>
                </w:tcPr>
                <w:p w14:paraId="0A574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集料给料机</w:t>
                  </w:r>
                </w:p>
              </w:tc>
              <w:tc>
                <w:tcPr>
                  <w:tcW w:w="680" w:type="pct"/>
                  <w:noWrap w:val="0"/>
                  <w:vAlign w:val="center"/>
                </w:tcPr>
                <w:p w14:paraId="7754D0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3945D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LD90-01-00</w:t>
                  </w:r>
                </w:p>
              </w:tc>
              <w:tc>
                <w:tcPr>
                  <w:tcW w:w="1386" w:type="pct"/>
                  <w:gridSpan w:val="2"/>
                  <w:noWrap w:val="0"/>
                  <w:vAlign w:val="center"/>
                </w:tcPr>
                <w:p w14:paraId="1B827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LD320-01-00</w:t>
                  </w:r>
                </w:p>
              </w:tc>
            </w:tr>
            <w:tr w14:paraId="7010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796518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15" w:type="pct"/>
                  <w:noWrap w:val="0"/>
                  <w:vAlign w:val="center"/>
                </w:tcPr>
                <w:p w14:paraId="5EF194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倾斜皮带给料机</w:t>
                  </w:r>
                </w:p>
              </w:tc>
              <w:tc>
                <w:tcPr>
                  <w:tcW w:w="680" w:type="pct"/>
                  <w:noWrap w:val="0"/>
                  <w:vAlign w:val="center"/>
                </w:tcPr>
                <w:p w14:paraId="50B1C6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161643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LD90-03-00</w:t>
                  </w:r>
                </w:p>
              </w:tc>
              <w:tc>
                <w:tcPr>
                  <w:tcW w:w="1386" w:type="pct"/>
                  <w:gridSpan w:val="2"/>
                  <w:noWrap w:val="0"/>
                  <w:vAlign w:val="center"/>
                </w:tcPr>
                <w:p w14:paraId="0D50C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LD320-03-00</w:t>
                  </w:r>
                </w:p>
              </w:tc>
            </w:tr>
            <w:tr w14:paraId="67E8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6BF8A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15" w:type="pct"/>
                  <w:noWrap w:val="0"/>
                  <w:vAlign w:val="center"/>
                </w:tcPr>
                <w:p w14:paraId="5BF9C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中间过滤筛</w:t>
                  </w:r>
                </w:p>
              </w:tc>
              <w:tc>
                <w:tcPr>
                  <w:tcW w:w="680" w:type="pct"/>
                  <w:noWrap w:val="0"/>
                  <w:vAlign w:val="center"/>
                </w:tcPr>
                <w:p w14:paraId="186F93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7B3FB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GLS1000</w:t>
                  </w:r>
                </w:p>
              </w:tc>
              <w:tc>
                <w:tcPr>
                  <w:tcW w:w="1386" w:type="pct"/>
                  <w:gridSpan w:val="2"/>
                  <w:noWrap w:val="0"/>
                  <w:vAlign w:val="center"/>
                </w:tcPr>
                <w:p w14:paraId="6668B0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GLS320</w:t>
                  </w:r>
                </w:p>
              </w:tc>
            </w:tr>
            <w:tr w14:paraId="6DC4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4309A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015" w:type="pct"/>
                  <w:noWrap w:val="0"/>
                  <w:vAlign w:val="center"/>
                </w:tcPr>
                <w:p w14:paraId="550F7A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干燥加热系统</w:t>
                  </w:r>
                </w:p>
              </w:tc>
              <w:tc>
                <w:tcPr>
                  <w:tcW w:w="680" w:type="pct"/>
                  <w:noWrap w:val="0"/>
                  <w:vAlign w:val="center"/>
                </w:tcPr>
                <w:p w14:paraId="24DF6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0839A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LD90-04-0</w:t>
                  </w:r>
                </w:p>
              </w:tc>
              <w:tc>
                <w:tcPr>
                  <w:tcW w:w="1386" w:type="pct"/>
                  <w:gridSpan w:val="2"/>
                  <w:noWrap w:val="0"/>
                  <w:vAlign w:val="center"/>
                </w:tcPr>
                <w:p w14:paraId="36A04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LD320-04-00</w:t>
                  </w:r>
                </w:p>
              </w:tc>
            </w:tr>
            <w:tr w14:paraId="0F61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13" w:type="pct"/>
                  <w:noWrap w:val="0"/>
                  <w:vAlign w:val="center"/>
                </w:tcPr>
                <w:p w14:paraId="06B0A8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015" w:type="pct"/>
                  <w:noWrap w:val="0"/>
                  <w:vAlign w:val="center"/>
                </w:tcPr>
                <w:p w14:paraId="7C43B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骨料提升机</w:t>
                  </w:r>
                </w:p>
              </w:tc>
              <w:tc>
                <w:tcPr>
                  <w:tcW w:w="680" w:type="pct"/>
                  <w:noWrap w:val="0"/>
                  <w:vAlign w:val="center"/>
                </w:tcPr>
                <w:p w14:paraId="53235D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5C200C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LD90-06-00</w:t>
                  </w:r>
                </w:p>
              </w:tc>
              <w:tc>
                <w:tcPr>
                  <w:tcW w:w="1386" w:type="pct"/>
                  <w:gridSpan w:val="2"/>
                  <w:noWrap w:val="0"/>
                  <w:vAlign w:val="center"/>
                </w:tcPr>
                <w:p w14:paraId="091A33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LD320-06-00</w:t>
                  </w:r>
                </w:p>
              </w:tc>
            </w:tr>
            <w:tr w14:paraId="2DBF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3106F4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015" w:type="pct"/>
                  <w:noWrap w:val="0"/>
                  <w:vAlign w:val="center"/>
                </w:tcPr>
                <w:p w14:paraId="2A2F45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粉料提升机</w:t>
                  </w:r>
                </w:p>
              </w:tc>
              <w:tc>
                <w:tcPr>
                  <w:tcW w:w="680" w:type="pct"/>
                  <w:noWrap w:val="0"/>
                  <w:vAlign w:val="center"/>
                </w:tcPr>
                <w:p w14:paraId="7AB6A3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60EF5E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LD90-07-00</w:t>
                  </w:r>
                </w:p>
              </w:tc>
              <w:tc>
                <w:tcPr>
                  <w:tcW w:w="1386" w:type="pct"/>
                  <w:gridSpan w:val="2"/>
                  <w:noWrap w:val="0"/>
                  <w:vAlign w:val="center"/>
                </w:tcPr>
                <w:p w14:paraId="52633C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LD320-07-00</w:t>
                  </w:r>
                </w:p>
              </w:tc>
            </w:tr>
            <w:tr w14:paraId="3248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13" w:type="pct"/>
                  <w:noWrap w:val="0"/>
                  <w:vAlign w:val="center"/>
                </w:tcPr>
                <w:p w14:paraId="287866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015" w:type="pct"/>
                  <w:noWrap w:val="0"/>
                  <w:vAlign w:val="center"/>
                </w:tcPr>
                <w:p w14:paraId="686173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振动筛分系统</w:t>
                  </w:r>
                </w:p>
              </w:tc>
              <w:tc>
                <w:tcPr>
                  <w:tcW w:w="680" w:type="pct"/>
                  <w:noWrap w:val="0"/>
                  <w:vAlign w:val="center"/>
                </w:tcPr>
                <w:p w14:paraId="62761B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656AEE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YSF4/160</w:t>
                  </w:r>
                </w:p>
              </w:tc>
              <w:tc>
                <w:tcPr>
                  <w:tcW w:w="1386" w:type="pct"/>
                  <w:gridSpan w:val="2"/>
                  <w:noWrap w:val="0"/>
                  <w:vAlign w:val="center"/>
                </w:tcPr>
                <w:p w14:paraId="64DFC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ZSF6/320</w:t>
                  </w:r>
                </w:p>
              </w:tc>
            </w:tr>
            <w:tr w14:paraId="40AB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3496B5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015" w:type="pct"/>
                  <w:noWrap w:val="0"/>
                  <w:vAlign w:val="center"/>
                </w:tcPr>
                <w:p w14:paraId="52C300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计量系统</w:t>
                  </w:r>
                </w:p>
              </w:tc>
              <w:tc>
                <w:tcPr>
                  <w:tcW w:w="680" w:type="pct"/>
                  <w:noWrap w:val="0"/>
                  <w:vAlign w:val="center"/>
                </w:tcPr>
                <w:p w14:paraId="5A1A82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1D905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LD90-08/09/10-00</w:t>
                  </w:r>
                </w:p>
              </w:tc>
              <w:tc>
                <w:tcPr>
                  <w:tcW w:w="1386" w:type="pct"/>
                  <w:gridSpan w:val="2"/>
                  <w:noWrap w:val="0"/>
                  <w:vAlign w:val="center"/>
                </w:tcPr>
                <w:p w14:paraId="267DC0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LD320-08/09/10-00</w:t>
                  </w:r>
                </w:p>
              </w:tc>
            </w:tr>
            <w:tr w14:paraId="7E3F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680AA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015" w:type="pct"/>
                  <w:noWrap w:val="0"/>
                  <w:vAlign w:val="center"/>
                </w:tcPr>
                <w:p w14:paraId="1741D1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搅拌系统</w:t>
                  </w:r>
                </w:p>
              </w:tc>
              <w:tc>
                <w:tcPr>
                  <w:tcW w:w="680" w:type="pct"/>
                  <w:noWrap w:val="0"/>
                  <w:vAlign w:val="center"/>
                </w:tcPr>
                <w:p w14:paraId="11AD03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1687F6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LD90-11-00</w:t>
                  </w:r>
                </w:p>
              </w:tc>
              <w:tc>
                <w:tcPr>
                  <w:tcW w:w="1386" w:type="pct"/>
                  <w:gridSpan w:val="2"/>
                  <w:noWrap w:val="0"/>
                  <w:vAlign w:val="center"/>
                </w:tcPr>
                <w:p w14:paraId="43C94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LD320-11-00</w:t>
                  </w:r>
                </w:p>
              </w:tc>
            </w:tr>
            <w:tr w14:paraId="2A98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4C2DFD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015" w:type="pct"/>
                  <w:noWrap w:val="0"/>
                  <w:vAlign w:val="center"/>
                </w:tcPr>
                <w:p w14:paraId="2E7546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拌和楼体</w:t>
                  </w:r>
                </w:p>
              </w:tc>
              <w:tc>
                <w:tcPr>
                  <w:tcW w:w="680" w:type="pct"/>
                  <w:noWrap w:val="0"/>
                  <w:vAlign w:val="center"/>
                </w:tcPr>
                <w:p w14:paraId="469C91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585955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LD90-12-00</w:t>
                  </w:r>
                </w:p>
              </w:tc>
              <w:tc>
                <w:tcPr>
                  <w:tcW w:w="1386" w:type="pct"/>
                  <w:gridSpan w:val="2"/>
                  <w:noWrap w:val="0"/>
                  <w:vAlign w:val="center"/>
                </w:tcPr>
                <w:p w14:paraId="722A36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LD320-12-00</w:t>
                  </w:r>
                </w:p>
              </w:tc>
            </w:tr>
            <w:tr w14:paraId="4302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560E3B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015" w:type="pct"/>
                  <w:noWrap w:val="0"/>
                  <w:vAlign w:val="center"/>
                </w:tcPr>
                <w:p w14:paraId="6031E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沥青供给系统</w:t>
                  </w:r>
                </w:p>
              </w:tc>
              <w:tc>
                <w:tcPr>
                  <w:tcW w:w="680" w:type="pct"/>
                  <w:noWrap w:val="0"/>
                  <w:vAlign w:val="center"/>
                </w:tcPr>
                <w:p w14:paraId="666FBC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3F77CC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LD90-15-00</w:t>
                  </w:r>
                </w:p>
              </w:tc>
              <w:tc>
                <w:tcPr>
                  <w:tcW w:w="1386" w:type="pct"/>
                  <w:gridSpan w:val="2"/>
                  <w:noWrap w:val="0"/>
                  <w:vAlign w:val="center"/>
                </w:tcPr>
                <w:p w14:paraId="17DF76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L320-15-00</w:t>
                  </w:r>
                </w:p>
              </w:tc>
            </w:tr>
            <w:tr w14:paraId="1AB6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582F52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015" w:type="pct"/>
                  <w:noWrap w:val="0"/>
                  <w:vAlign w:val="center"/>
                </w:tcPr>
                <w:p w14:paraId="5705E4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除尘系统</w:t>
                  </w:r>
                </w:p>
              </w:tc>
              <w:tc>
                <w:tcPr>
                  <w:tcW w:w="680" w:type="pct"/>
                  <w:noWrap w:val="0"/>
                  <w:vAlign w:val="center"/>
                </w:tcPr>
                <w:p w14:paraId="4BCF70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42E706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LD90-13-00</w:t>
                  </w:r>
                </w:p>
              </w:tc>
              <w:tc>
                <w:tcPr>
                  <w:tcW w:w="1386" w:type="pct"/>
                  <w:gridSpan w:val="2"/>
                  <w:noWrap w:val="0"/>
                  <w:vAlign w:val="center"/>
                </w:tcPr>
                <w:p w14:paraId="764802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LD320-13-00</w:t>
                  </w:r>
                </w:p>
              </w:tc>
            </w:tr>
            <w:tr w14:paraId="0CA8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108E28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015" w:type="pct"/>
                  <w:noWrap w:val="0"/>
                  <w:vAlign w:val="center"/>
                </w:tcPr>
                <w:p w14:paraId="55A516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气路系统</w:t>
                  </w:r>
                </w:p>
              </w:tc>
              <w:tc>
                <w:tcPr>
                  <w:tcW w:w="680" w:type="pct"/>
                  <w:noWrap w:val="0"/>
                  <w:vAlign w:val="center"/>
                </w:tcPr>
                <w:p w14:paraId="13AF60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3ACC47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LD90-16-00</w:t>
                  </w:r>
                </w:p>
              </w:tc>
              <w:tc>
                <w:tcPr>
                  <w:tcW w:w="1386" w:type="pct"/>
                  <w:gridSpan w:val="2"/>
                  <w:noWrap w:val="0"/>
                  <w:vAlign w:val="center"/>
                </w:tcPr>
                <w:p w14:paraId="66BB8B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LD320-16-00</w:t>
                  </w:r>
                </w:p>
              </w:tc>
            </w:tr>
            <w:tr w14:paraId="516E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133CCB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015" w:type="pct"/>
                  <w:noWrap w:val="0"/>
                  <w:vAlign w:val="center"/>
                </w:tcPr>
                <w:p w14:paraId="6E126B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电器控制系统</w:t>
                  </w:r>
                </w:p>
              </w:tc>
              <w:tc>
                <w:tcPr>
                  <w:tcW w:w="680" w:type="pct"/>
                  <w:noWrap w:val="0"/>
                  <w:vAlign w:val="center"/>
                </w:tcPr>
                <w:p w14:paraId="2442E5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2套</w:t>
                  </w:r>
                </w:p>
              </w:tc>
              <w:tc>
                <w:tcPr>
                  <w:tcW w:w="1504" w:type="pct"/>
                  <w:noWrap w:val="0"/>
                  <w:vAlign w:val="center"/>
                </w:tcPr>
                <w:p w14:paraId="55F016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LD90-18-00</w:t>
                  </w:r>
                </w:p>
              </w:tc>
              <w:tc>
                <w:tcPr>
                  <w:tcW w:w="1386" w:type="pct"/>
                  <w:gridSpan w:val="2"/>
                  <w:noWrap w:val="0"/>
                  <w:vAlign w:val="center"/>
                </w:tcPr>
                <w:p w14:paraId="341E2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LD320-18-00</w:t>
                  </w:r>
                </w:p>
              </w:tc>
            </w:tr>
            <w:tr w14:paraId="3895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1B74D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015" w:type="pct"/>
                  <w:noWrap w:val="0"/>
                  <w:vAlign w:val="center"/>
                </w:tcPr>
                <w:p w14:paraId="1EE58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沥青罐</w:t>
                  </w:r>
                </w:p>
              </w:tc>
              <w:tc>
                <w:tcPr>
                  <w:tcW w:w="680" w:type="pct"/>
                  <w:noWrap w:val="0"/>
                  <w:vAlign w:val="center"/>
                </w:tcPr>
                <w:p w14:paraId="7CBD07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3个</w:t>
                  </w:r>
                </w:p>
              </w:tc>
              <w:tc>
                <w:tcPr>
                  <w:tcW w:w="2891" w:type="pct"/>
                  <w:gridSpan w:val="3"/>
                  <w:noWrap w:val="0"/>
                  <w:vAlign w:val="center"/>
                </w:tcPr>
                <w:p w14:paraId="0B02A9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2个</w:t>
                  </w:r>
                  <w:r>
                    <w:rPr>
                      <w:rFonts w:hint="eastAsia" w:ascii="Times New Roman" w:hAnsi="Times New Roman" w:cs="Times New Roman"/>
                      <w:color w:val="auto"/>
                      <w:sz w:val="21"/>
                      <w:szCs w:val="21"/>
                      <w:lang w:val="en-US" w:eastAsia="zh-CN"/>
                    </w:rPr>
                    <w:t>分别为</w:t>
                  </w:r>
                  <w:r>
                    <w:rPr>
                      <w:rFonts w:hint="default" w:ascii="Times New Roman" w:hAnsi="Times New Roman" w:cs="Times New Roman"/>
                      <w:color w:val="auto"/>
                      <w:sz w:val="21"/>
                      <w:szCs w:val="21"/>
                    </w:rPr>
                    <w:t>100</w:t>
                  </w:r>
                  <w:r>
                    <w:rPr>
                      <w:rFonts w:hint="eastAsia" w:ascii="Times New Roman" w:hAnsi="Times New Roman" w:eastAsia="宋体" w:cs="Times New Roman"/>
                      <w:color w:val="auto"/>
                      <w:sz w:val="21"/>
                      <w:szCs w:val="21"/>
                      <w:lang w:val="en-US" w:eastAsia="zh-CN"/>
                    </w:rPr>
                    <w:t>t</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rPr>
                    <w:t>，1个为1</w:t>
                  </w: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0t</w:t>
                  </w:r>
                </w:p>
              </w:tc>
            </w:tr>
            <w:tr w14:paraId="1F3F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pct"/>
                  <w:noWrap w:val="0"/>
                  <w:vAlign w:val="center"/>
                </w:tcPr>
                <w:p w14:paraId="6FB9B0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015" w:type="pct"/>
                  <w:noWrap w:val="0"/>
                  <w:vAlign w:val="center"/>
                </w:tcPr>
                <w:p w14:paraId="38AD74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导热油炉</w:t>
                  </w:r>
                </w:p>
              </w:tc>
              <w:tc>
                <w:tcPr>
                  <w:tcW w:w="3571" w:type="pct"/>
                  <w:gridSpan w:val="4"/>
                  <w:noWrap w:val="0"/>
                  <w:vAlign w:val="center"/>
                </w:tcPr>
                <w:p w14:paraId="12B012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套</w:t>
                  </w:r>
                </w:p>
              </w:tc>
            </w:tr>
          </w:tbl>
          <w:p w14:paraId="27FED003">
            <w:pPr>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p>
          <w:p w14:paraId="032E024F">
            <w:pPr>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项目原辅材料用量及来源</w:t>
            </w:r>
          </w:p>
          <w:p w14:paraId="56E7E72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项目涉及的主要原料为碎石、砂子、沥青等，</w:t>
            </w:r>
            <w:r>
              <w:rPr>
                <w:rFonts w:hint="default" w:ascii="Times New Roman" w:hAnsi="Times New Roman" w:eastAsia="宋体" w:cs="Times New Roman"/>
                <w:color w:val="auto"/>
                <w:sz w:val="24"/>
              </w:rPr>
              <w:t>沥青混凝土生产线以电、柴油为能源；根据配料比例，项目原、辅料使用情况见下表。</w:t>
            </w:r>
          </w:p>
          <w:p w14:paraId="7BAEF855">
            <w:pPr>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 xml:space="preserve">4 </w:t>
            </w:r>
            <w:r>
              <w:rPr>
                <w:rFonts w:hint="default" w:ascii="Times New Roman" w:hAnsi="Times New Roman" w:eastAsia="宋体" w:cs="Times New Roman"/>
                <w:b/>
                <w:bCs/>
                <w:color w:val="auto"/>
                <w:sz w:val="21"/>
                <w:szCs w:val="21"/>
                <w:highlight w:val="none"/>
                <w:lang w:val="en-US" w:eastAsia="zh-CN"/>
              </w:rPr>
              <w:t>主要原辅材料及水和能消耗量表</w:t>
            </w:r>
          </w:p>
          <w:tbl>
            <w:tblPr>
              <w:tblStyle w:val="27"/>
              <w:tblW w:w="7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335"/>
              <w:gridCol w:w="795"/>
              <w:gridCol w:w="1020"/>
              <w:gridCol w:w="1080"/>
              <w:gridCol w:w="1425"/>
              <w:gridCol w:w="1448"/>
            </w:tblGrid>
            <w:tr w14:paraId="023A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56" w:type="dxa"/>
                  <w:noWrap w:val="0"/>
                  <w:vAlign w:val="center"/>
                </w:tcPr>
                <w:p w14:paraId="4F783D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335" w:type="dxa"/>
                  <w:noWrap w:val="0"/>
                  <w:vAlign w:val="center"/>
                </w:tcPr>
                <w:p w14:paraId="3FC3ACA2">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项目名称</w:t>
                  </w:r>
                </w:p>
              </w:tc>
              <w:tc>
                <w:tcPr>
                  <w:tcW w:w="795" w:type="dxa"/>
                  <w:noWrap w:val="0"/>
                  <w:vAlign w:val="center"/>
                </w:tcPr>
                <w:p w14:paraId="2BCFE98F">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020" w:type="dxa"/>
                  <w:noWrap w:val="0"/>
                  <w:vAlign w:val="center"/>
                </w:tcPr>
                <w:p w14:paraId="0CD5FE65">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sz w:val="21"/>
                      <w:szCs w:val="21"/>
                    </w:rPr>
                  </w:pPr>
                  <w:r>
                    <w:rPr>
                      <w:rFonts w:hint="eastAsia" w:ascii="Times New Roman" w:cs="Times New Roman"/>
                      <w:b/>
                      <w:bCs/>
                      <w:color w:val="auto"/>
                      <w:sz w:val="21"/>
                      <w:szCs w:val="21"/>
                      <w:lang w:val="en-US" w:eastAsia="zh-CN"/>
                    </w:rPr>
                    <w:t>1#生产线</w:t>
                  </w:r>
                  <w:r>
                    <w:rPr>
                      <w:rFonts w:hint="default" w:ascii="Times New Roman" w:hAnsi="Times New Roman" w:eastAsia="宋体" w:cs="Times New Roman"/>
                      <w:b/>
                      <w:bCs/>
                      <w:color w:val="auto"/>
                      <w:sz w:val="21"/>
                      <w:szCs w:val="21"/>
                    </w:rPr>
                    <w:t>年耗量</w:t>
                  </w:r>
                </w:p>
              </w:tc>
              <w:tc>
                <w:tcPr>
                  <w:tcW w:w="1080" w:type="dxa"/>
                  <w:noWrap w:val="0"/>
                  <w:vAlign w:val="center"/>
                </w:tcPr>
                <w:p w14:paraId="3E791509">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sz w:val="21"/>
                      <w:szCs w:val="21"/>
                    </w:rPr>
                  </w:pPr>
                  <w:r>
                    <w:rPr>
                      <w:rFonts w:hint="eastAsia" w:ascii="Times New Roman" w:cs="Times New Roman"/>
                      <w:b/>
                      <w:bCs/>
                      <w:color w:val="auto"/>
                      <w:sz w:val="21"/>
                      <w:szCs w:val="21"/>
                      <w:lang w:val="en-US" w:eastAsia="zh-CN"/>
                    </w:rPr>
                    <w:t>2#生产线</w:t>
                  </w:r>
                  <w:r>
                    <w:rPr>
                      <w:rFonts w:hint="default" w:ascii="Times New Roman" w:hAnsi="Times New Roman" w:eastAsia="宋体" w:cs="Times New Roman"/>
                      <w:b/>
                      <w:bCs/>
                      <w:color w:val="auto"/>
                      <w:sz w:val="21"/>
                      <w:szCs w:val="21"/>
                    </w:rPr>
                    <w:t>年耗量</w:t>
                  </w:r>
                </w:p>
              </w:tc>
              <w:tc>
                <w:tcPr>
                  <w:tcW w:w="1425" w:type="dxa"/>
                  <w:noWrap w:val="0"/>
                  <w:vAlign w:val="center"/>
                </w:tcPr>
                <w:p w14:paraId="40FD24DE">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sz w:val="21"/>
                      <w:szCs w:val="21"/>
                      <w:lang w:val="en-US" w:eastAsia="zh-CN"/>
                    </w:rPr>
                  </w:pPr>
                  <w:r>
                    <w:rPr>
                      <w:rFonts w:hint="eastAsia" w:ascii="Times New Roman" w:cs="Times New Roman"/>
                      <w:b/>
                      <w:bCs/>
                      <w:color w:val="auto"/>
                      <w:sz w:val="21"/>
                      <w:szCs w:val="21"/>
                      <w:lang w:val="en-US" w:eastAsia="zh-CN"/>
                    </w:rPr>
                    <w:t>合计总量</w:t>
                  </w:r>
                </w:p>
              </w:tc>
              <w:tc>
                <w:tcPr>
                  <w:tcW w:w="1448" w:type="dxa"/>
                  <w:noWrap w:val="0"/>
                  <w:vAlign w:val="center"/>
                </w:tcPr>
                <w:p w14:paraId="45296D2C">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来源</w:t>
                  </w:r>
                </w:p>
              </w:tc>
            </w:tr>
            <w:tr w14:paraId="499D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6" w:type="dxa"/>
                  <w:noWrap w:val="0"/>
                  <w:vAlign w:val="center"/>
                </w:tcPr>
                <w:p w14:paraId="071E9C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4230" w:type="dxa"/>
                  <w:gridSpan w:val="4"/>
                  <w:noWrap w:val="0"/>
                  <w:vAlign w:val="center"/>
                </w:tcPr>
                <w:p w14:paraId="0772656B">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原料和辅料供应</w:t>
                  </w:r>
                </w:p>
              </w:tc>
              <w:tc>
                <w:tcPr>
                  <w:tcW w:w="1425" w:type="dxa"/>
                  <w:noWrap w:val="0"/>
                  <w:vAlign w:val="center"/>
                </w:tcPr>
                <w:p w14:paraId="388B552F">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宋体" w:cs="Times New Roman"/>
                      <w:color w:val="auto"/>
                      <w:sz w:val="21"/>
                      <w:szCs w:val="21"/>
                    </w:rPr>
                  </w:pPr>
                </w:p>
              </w:tc>
              <w:tc>
                <w:tcPr>
                  <w:tcW w:w="1448" w:type="dxa"/>
                  <w:noWrap w:val="0"/>
                  <w:vAlign w:val="center"/>
                </w:tcPr>
                <w:p w14:paraId="71AC2249">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宋体" w:cs="Times New Roman"/>
                      <w:color w:val="auto"/>
                      <w:sz w:val="21"/>
                      <w:szCs w:val="21"/>
                    </w:rPr>
                  </w:pPr>
                </w:p>
              </w:tc>
            </w:tr>
            <w:tr w14:paraId="6FB4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vMerge w:val="restart"/>
                  <w:noWrap w:val="0"/>
                  <w:vAlign w:val="center"/>
                </w:tcPr>
                <w:p w14:paraId="437FB26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沥青混凝土生产线</w:t>
                  </w:r>
                </w:p>
              </w:tc>
              <w:tc>
                <w:tcPr>
                  <w:tcW w:w="1335" w:type="dxa"/>
                  <w:noWrap w:val="0"/>
                  <w:vAlign w:val="center"/>
                </w:tcPr>
                <w:p w14:paraId="134C964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石油沥青</w:t>
                  </w:r>
                </w:p>
              </w:tc>
              <w:tc>
                <w:tcPr>
                  <w:tcW w:w="795" w:type="dxa"/>
                  <w:noWrap w:val="0"/>
                  <w:vAlign w:val="center"/>
                </w:tcPr>
                <w:p w14:paraId="52B3D5EB">
                  <w:pPr>
                    <w:pStyle w:val="61"/>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t/a</w:t>
                  </w:r>
                </w:p>
              </w:tc>
              <w:tc>
                <w:tcPr>
                  <w:tcW w:w="1020" w:type="dxa"/>
                  <w:noWrap w:val="0"/>
                  <w:vAlign w:val="center"/>
                </w:tcPr>
                <w:p w14:paraId="02959E3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4</w:t>
                  </w:r>
                  <w:r>
                    <w:rPr>
                      <w:rFonts w:hint="eastAsia" w:ascii="Times New Roman" w:hAnsi="Times New Roman" w:eastAsia="宋体" w:cs="Times New Roman"/>
                      <w:color w:val="auto"/>
                      <w:kern w:val="0"/>
                      <w:sz w:val="21"/>
                      <w:szCs w:val="21"/>
                      <w:lang w:val="en-US" w:eastAsia="zh-CN" w:bidi="ar"/>
                    </w:rPr>
                    <w:t>120</w:t>
                  </w:r>
                </w:p>
              </w:tc>
              <w:tc>
                <w:tcPr>
                  <w:tcW w:w="1080" w:type="dxa"/>
                  <w:noWrap w:val="0"/>
                  <w:vAlign w:val="center"/>
                </w:tcPr>
                <w:p w14:paraId="1D0A64A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16480</w:t>
                  </w:r>
                </w:p>
              </w:tc>
              <w:tc>
                <w:tcPr>
                  <w:tcW w:w="1425" w:type="dxa"/>
                  <w:noWrap w:val="0"/>
                  <w:vAlign w:val="center"/>
                </w:tcPr>
                <w:p w14:paraId="78BC06B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20600</w:t>
                  </w:r>
                </w:p>
              </w:tc>
              <w:tc>
                <w:tcPr>
                  <w:tcW w:w="1448" w:type="dxa"/>
                  <w:noWrap w:val="0"/>
                  <w:vAlign w:val="center"/>
                </w:tcPr>
                <w:p w14:paraId="374D3C25">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外购，罐车运输</w:t>
                  </w:r>
                </w:p>
              </w:tc>
            </w:tr>
            <w:tr w14:paraId="2B91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656" w:type="dxa"/>
                  <w:vMerge w:val="continue"/>
                  <w:noWrap w:val="0"/>
                  <w:vAlign w:val="center"/>
                </w:tcPr>
                <w:p w14:paraId="0737F4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335" w:type="dxa"/>
                  <w:noWrap w:val="0"/>
                  <w:vAlign w:val="center"/>
                </w:tcPr>
                <w:p w14:paraId="32FBBDC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碎石</w:t>
                  </w:r>
                </w:p>
              </w:tc>
              <w:tc>
                <w:tcPr>
                  <w:tcW w:w="795" w:type="dxa"/>
                  <w:noWrap w:val="0"/>
                  <w:vAlign w:val="center"/>
                </w:tcPr>
                <w:p w14:paraId="22B0F6C4">
                  <w:pPr>
                    <w:pStyle w:val="61"/>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t/a</w:t>
                  </w:r>
                </w:p>
              </w:tc>
              <w:tc>
                <w:tcPr>
                  <w:tcW w:w="1020" w:type="dxa"/>
                  <w:noWrap w:val="0"/>
                  <w:vAlign w:val="center"/>
                </w:tcPr>
                <w:p w14:paraId="70633D0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7</w:t>
                  </w:r>
                  <w:r>
                    <w:rPr>
                      <w:rFonts w:hint="eastAsia" w:cs="Times New Roman"/>
                      <w:color w:val="auto"/>
                      <w:kern w:val="0"/>
                      <w:sz w:val="21"/>
                      <w:szCs w:val="21"/>
                      <w:lang w:val="en-US" w:eastAsia="zh-CN" w:bidi="ar"/>
                    </w:rPr>
                    <w:t>6</w:t>
                  </w:r>
                  <w:r>
                    <w:rPr>
                      <w:rFonts w:hint="eastAsia" w:ascii="Times New Roman" w:hAnsi="Times New Roman" w:eastAsia="宋体" w:cs="Times New Roman"/>
                      <w:color w:val="auto"/>
                      <w:kern w:val="0"/>
                      <w:sz w:val="21"/>
                      <w:szCs w:val="21"/>
                      <w:lang w:val="en-US" w:eastAsia="zh-CN" w:bidi="ar"/>
                    </w:rPr>
                    <w:t>000</w:t>
                  </w:r>
                </w:p>
              </w:tc>
              <w:tc>
                <w:tcPr>
                  <w:tcW w:w="1080" w:type="dxa"/>
                  <w:noWrap w:val="0"/>
                  <w:vAlign w:val="center"/>
                </w:tcPr>
                <w:p w14:paraId="6ABD7CD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292000</w:t>
                  </w:r>
                </w:p>
              </w:tc>
              <w:tc>
                <w:tcPr>
                  <w:tcW w:w="1425" w:type="dxa"/>
                  <w:noWrap w:val="0"/>
                  <w:vAlign w:val="center"/>
                </w:tcPr>
                <w:p w14:paraId="5EC66E2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368000</w:t>
                  </w:r>
                </w:p>
              </w:tc>
              <w:tc>
                <w:tcPr>
                  <w:tcW w:w="1448" w:type="dxa"/>
                  <w:vMerge w:val="restart"/>
                  <w:noWrap w:val="0"/>
                  <w:vAlign w:val="center"/>
                </w:tcPr>
                <w:p w14:paraId="2CEAE6C0">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从附近合法的砂石料场购买</w:t>
                  </w:r>
                </w:p>
              </w:tc>
            </w:tr>
            <w:tr w14:paraId="67B7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vMerge w:val="continue"/>
                  <w:noWrap w:val="0"/>
                  <w:vAlign w:val="center"/>
                </w:tcPr>
                <w:p w14:paraId="6827C6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335" w:type="dxa"/>
                  <w:noWrap w:val="0"/>
                  <w:vAlign w:val="center"/>
                </w:tcPr>
                <w:p w14:paraId="7B792A6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砂子</w:t>
                  </w:r>
                </w:p>
              </w:tc>
              <w:tc>
                <w:tcPr>
                  <w:tcW w:w="795" w:type="dxa"/>
                  <w:noWrap w:val="0"/>
                  <w:vAlign w:val="center"/>
                </w:tcPr>
                <w:p w14:paraId="2F56F06D">
                  <w:pPr>
                    <w:pStyle w:val="61"/>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t/a</w:t>
                  </w:r>
                </w:p>
              </w:tc>
              <w:tc>
                <w:tcPr>
                  <w:tcW w:w="1020" w:type="dxa"/>
                  <w:noWrap w:val="0"/>
                  <w:vAlign w:val="center"/>
                </w:tcPr>
                <w:p w14:paraId="0DE71A6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1</w:t>
                  </w:r>
                  <w:r>
                    <w:rPr>
                      <w:rFonts w:hint="eastAsia" w:cs="Times New Roman"/>
                      <w:color w:val="auto"/>
                      <w:kern w:val="0"/>
                      <w:sz w:val="21"/>
                      <w:szCs w:val="21"/>
                      <w:lang w:val="en-US" w:eastAsia="zh-CN" w:bidi="ar"/>
                    </w:rPr>
                    <w:t>588</w:t>
                  </w:r>
                  <w:r>
                    <w:rPr>
                      <w:rFonts w:hint="eastAsia" w:ascii="Times New Roman" w:hAnsi="Times New Roman" w:eastAsia="宋体" w:cs="Times New Roman"/>
                      <w:color w:val="auto"/>
                      <w:kern w:val="0"/>
                      <w:sz w:val="21"/>
                      <w:szCs w:val="21"/>
                      <w:lang w:val="en-US" w:eastAsia="zh-CN" w:bidi="ar"/>
                    </w:rPr>
                    <w:t>0</w:t>
                  </w:r>
                </w:p>
              </w:tc>
              <w:tc>
                <w:tcPr>
                  <w:tcW w:w="1080" w:type="dxa"/>
                  <w:noWrap w:val="0"/>
                  <w:vAlign w:val="center"/>
                </w:tcPr>
                <w:p w14:paraId="36FC245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48000</w:t>
                  </w:r>
                </w:p>
              </w:tc>
              <w:tc>
                <w:tcPr>
                  <w:tcW w:w="1425" w:type="dxa"/>
                  <w:noWrap w:val="0"/>
                  <w:vAlign w:val="center"/>
                </w:tcPr>
                <w:p w14:paraId="0EB899E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63880</w:t>
                  </w:r>
                </w:p>
              </w:tc>
              <w:tc>
                <w:tcPr>
                  <w:tcW w:w="1448" w:type="dxa"/>
                  <w:vMerge w:val="continue"/>
                  <w:noWrap w:val="0"/>
                  <w:vAlign w:val="center"/>
                </w:tcPr>
                <w:p w14:paraId="0FF9CD52">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r>
            <w:tr w14:paraId="45D7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vMerge w:val="continue"/>
                  <w:noWrap w:val="0"/>
                  <w:vAlign w:val="center"/>
                </w:tcPr>
                <w:p w14:paraId="27AB58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335" w:type="dxa"/>
                  <w:noWrap w:val="0"/>
                  <w:vAlign w:val="center"/>
                </w:tcPr>
                <w:p w14:paraId="03523B08">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矿粉</w:t>
                  </w:r>
                </w:p>
              </w:tc>
              <w:tc>
                <w:tcPr>
                  <w:tcW w:w="795" w:type="dxa"/>
                  <w:noWrap w:val="0"/>
                  <w:vAlign w:val="center"/>
                </w:tcPr>
                <w:p w14:paraId="6FD67B8D">
                  <w:pPr>
                    <w:pStyle w:val="61"/>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t/a</w:t>
                  </w:r>
                </w:p>
              </w:tc>
              <w:tc>
                <w:tcPr>
                  <w:tcW w:w="1020" w:type="dxa"/>
                  <w:noWrap w:val="0"/>
                  <w:vAlign w:val="center"/>
                </w:tcPr>
                <w:p w14:paraId="5F190AF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080" w:type="dxa"/>
                  <w:noWrap w:val="0"/>
                  <w:vAlign w:val="center"/>
                </w:tcPr>
                <w:p w14:paraId="33F1FF5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27520</w:t>
                  </w:r>
                </w:p>
              </w:tc>
              <w:tc>
                <w:tcPr>
                  <w:tcW w:w="1425" w:type="dxa"/>
                  <w:noWrap w:val="0"/>
                  <w:vAlign w:val="center"/>
                </w:tcPr>
                <w:p w14:paraId="76147A2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27520</w:t>
                  </w:r>
                </w:p>
              </w:tc>
              <w:tc>
                <w:tcPr>
                  <w:tcW w:w="1448" w:type="dxa"/>
                  <w:vMerge w:val="continue"/>
                  <w:noWrap w:val="0"/>
                  <w:vAlign w:val="center"/>
                </w:tcPr>
                <w:p w14:paraId="18A63563">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r>
            <w:tr w14:paraId="65A1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6" w:type="dxa"/>
                  <w:noWrap w:val="0"/>
                  <w:vAlign w:val="center"/>
                </w:tcPr>
                <w:p w14:paraId="105B9A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4230" w:type="dxa"/>
                  <w:gridSpan w:val="4"/>
                  <w:noWrap w:val="0"/>
                  <w:vAlign w:val="center"/>
                </w:tcPr>
                <w:p w14:paraId="66D5693D">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主要能源供应</w:t>
                  </w:r>
                </w:p>
              </w:tc>
              <w:tc>
                <w:tcPr>
                  <w:tcW w:w="1425" w:type="dxa"/>
                  <w:noWrap w:val="0"/>
                  <w:vAlign w:val="center"/>
                </w:tcPr>
                <w:p w14:paraId="6F659CE0">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宋体" w:cs="Times New Roman"/>
                      <w:color w:val="auto"/>
                      <w:sz w:val="21"/>
                      <w:szCs w:val="21"/>
                    </w:rPr>
                  </w:pPr>
                </w:p>
              </w:tc>
              <w:tc>
                <w:tcPr>
                  <w:tcW w:w="1448" w:type="dxa"/>
                  <w:noWrap w:val="0"/>
                  <w:vAlign w:val="center"/>
                </w:tcPr>
                <w:p w14:paraId="74FC82A6">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left"/>
                    <w:textAlignment w:val="auto"/>
                    <w:rPr>
                      <w:rFonts w:hint="default" w:ascii="Times New Roman" w:hAnsi="Times New Roman" w:eastAsia="宋体" w:cs="Times New Roman"/>
                      <w:color w:val="auto"/>
                      <w:sz w:val="21"/>
                      <w:szCs w:val="21"/>
                    </w:rPr>
                  </w:pPr>
                </w:p>
              </w:tc>
            </w:tr>
            <w:tr w14:paraId="2220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6" w:type="dxa"/>
                  <w:noWrap w:val="0"/>
                  <w:vAlign w:val="center"/>
                </w:tcPr>
                <w:p w14:paraId="63BBEE06">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35" w:type="dxa"/>
                  <w:noWrap w:val="0"/>
                  <w:vAlign w:val="center"/>
                </w:tcPr>
                <w:p w14:paraId="6F24CAA4">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电力</w:t>
                  </w:r>
                </w:p>
              </w:tc>
              <w:tc>
                <w:tcPr>
                  <w:tcW w:w="795" w:type="dxa"/>
                  <w:noWrap w:val="0"/>
                  <w:vAlign w:val="center"/>
                </w:tcPr>
                <w:p w14:paraId="75C107D8">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万度</w:t>
                  </w:r>
                </w:p>
              </w:tc>
              <w:tc>
                <w:tcPr>
                  <w:tcW w:w="1020" w:type="dxa"/>
                  <w:noWrap w:val="0"/>
                  <w:vAlign w:val="center"/>
                </w:tcPr>
                <w:p w14:paraId="6977B9A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96</w:t>
                  </w:r>
                </w:p>
              </w:tc>
              <w:tc>
                <w:tcPr>
                  <w:tcW w:w="1080" w:type="dxa"/>
                  <w:noWrap w:val="0"/>
                  <w:vAlign w:val="center"/>
                </w:tcPr>
                <w:p w14:paraId="2C499B8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384</w:t>
                  </w:r>
                </w:p>
              </w:tc>
              <w:tc>
                <w:tcPr>
                  <w:tcW w:w="1425" w:type="dxa"/>
                  <w:noWrap w:val="0"/>
                  <w:vAlign w:val="center"/>
                </w:tcPr>
                <w:p w14:paraId="4B6994A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480</w:t>
                  </w:r>
                </w:p>
              </w:tc>
              <w:tc>
                <w:tcPr>
                  <w:tcW w:w="1448" w:type="dxa"/>
                  <w:noWrap w:val="0"/>
                  <w:vAlign w:val="center"/>
                </w:tcPr>
                <w:p w14:paraId="25E3404B">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由当地电力公司电网接入</w:t>
                  </w:r>
                </w:p>
              </w:tc>
            </w:tr>
            <w:tr w14:paraId="5128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noWrap w:val="0"/>
                  <w:vAlign w:val="center"/>
                </w:tcPr>
                <w:p w14:paraId="04566AA7">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35" w:type="dxa"/>
                  <w:noWrap w:val="0"/>
                  <w:vAlign w:val="center"/>
                </w:tcPr>
                <w:p w14:paraId="5F795F94">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水（生产、生活用水）</w:t>
                  </w:r>
                </w:p>
              </w:tc>
              <w:tc>
                <w:tcPr>
                  <w:tcW w:w="795" w:type="dxa"/>
                  <w:noWrap w:val="0"/>
                  <w:vAlign w:val="center"/>
                </w:tcPr>
                <w:p w14:paraId="36AB0BF8">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default" w:ascii="Times New Roman" w:hAnsi="Times New Roman" w:cs="Times New Roman"/>
                      <w:color w:val="auto"/>
                      <w:sz w:val="21"/>
                      <w:szCs w:val="21"/>
                    </w:rPr>
                    <w:t>/a</w:t>
                  </w:r>
                </w:p>
              </w:tc>
              <w:tc>
                <w:tcPr>
                  <w:tcW w:w="1020" w:type="dxa"/>
                  <w:noWrap w:val="0"/>
                  <w:vAlign w:val="center"/>
                </w:tcPr>
                <w:p w14:paraId="7C611A4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080" w:type="dxa"/>
                  <w:noWrap w:val="0"/>
                  <w:vAlign w:val="center"/>
                </w:tcPr>
                <w:p w14:paraId="651D1DD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425" w:type="dxa"/>
                  <w:noWrap w:val="0"/>
                  <w:vAlign w:val="center"/>
                </w:tcPr>
                <w:p w14:paraId="6A417DE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5566.6</w:t>
                  </w:r>
                </w:p>
              </w:tc>
              <w:tc>
                <w:tcPr>
                  <w:tcW w:w="1448" w:type="dxa"/>
                  <w:noWrap w:val="0"/>
                  <w:vAlign w:val="center"/>
                </w:tcPr>
                <w:p w14:paraId="4FB10EDA">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从</w:t>
                  </w:r>
                  <w:r>
                    <w:rPr>
                      <w:rFonts w:hint="default" w:ascii="Times New Roman" w:hAnsi="Times New Roman" w:cs="Times New Roman"/>
                      <w:color w:val="auto"/>
                      <w:sz w:val="21"/>
                      <w:szCs w:val="21"/>
                      <w:lang w:bidi="ar"/>
                    </w:rPr>
                    <w:t>项目区自建深井</w:t>
                  </w:r>
                  <w:r>
                    <w:rPr>
                      <w:rFonts w:hint="default" w:ascii="Times New Roman" w:hAnsi="Times New Roman" w:eastAsia="宋体" w:cs="Times New Roman"/>
                      <w:color w:val="auto"/>
                      <w:sz w:val="21"/>
                      <w:szCs w:val="21"/>
                    </w:rPr>
                    <w:t>引入</w:t>
                  </w:r>
                </w:p>
              </w:tc>
            </w:tr>
            <w:tr w14:paraId="630A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56" w:type="dxa"/>
                  <w:noWrap w:val="0"/>
                  <w:vAlign w:val="center"/>
                </w:tcPr>
                <w:p w14:paraId="1E9051C3">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335" w:type="dxa"/>
                  <w:noWrap w:val="0"/>
                  <w:vAlign w:val="center"/>
                </w:tcPr>
                <w:p w14:paraId="479061DA">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导热油</w:t>
                  </w:r>
                </w:p>
              </w:tc>
              <w:tc>
                <w:tcPr>
                  <w:tcW w:w="795" w:type="dxa"/>
                  <w:noWrap w:val="0"/>
                  <w:vAlign w:val="center"/>
                </w:tcPr>
                <w:p w14:paraId="05371E12">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default" w:ascii="Times New Roman" w:hAnsi="Times New Roman" w:cs="Times New Roman"/>
                      <w:color w:val="auto"/>
                      <w:sz w:val="21"/>
                      <w:szCs w:val="21"/>
                    </w:rPr>
                    <w:t>/a</w:t>
                  </w:r>
                </w:p>
              </w:tc>
              <w:tc>
                <w:tcPr>
                  <w:tcW w:w="1020" w:type="dxa"/>
                  <w:noWrap w:val="0"/>
                  <w:vAlign w:val="center"/>
                </w:tcPr>
                <w:p w14:paraId="27B20C1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6</w:t>
                  </w:r>
                  <w:r>
                    <w:rPr>
                      <w:rFonts w:hint="eastAsia" w:ascii="Times New Roman" w:hAnsi="Times New Roman" w:eastAsia="宋体" w:cs="Times New Roman"/>
                      <w:color w:val="auto"/>
                      <w:kern w:val="0"/>
                      <w:sz w:val="21"/>
                      <w:szCs w:val="21"/>
                      <w:lang w:val="en-US" w:eastAsia="zh-CN" w:bidi="ar"/>
                    </w:rPr>
                    <w:t>t/</w:t>
                  </w:r>
                  <w:r>
                    <w:rPr>
                      <w:rFonts w:hint="eastAsia"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a</w:t>
                  </w:r>
                </w:p>
              </w:tc>
              <w:tc>
                <w:tcPr>
                  <w:tcW w:w="1080" w:type="dxa"/>
                  <w:noWrap w:val="0"/>
                  <w:vAlign w:val="center"/>
                </w:tcPr>
                <w:p w14:paraId="1DB032C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12</w:t>
                  </w:r>
                  <w:r>
                    <w:rPr>
                      <w:rFonts w:hint="eastAsia" w:ascii="Times New Roman" w:hAnsi="Times New Roman" w:eastAsia="宋体" w:cs="Times New Roman"/>
                      <w:color w:val="auto"/>
                      <w:kern w:val="0"/>
                      <w:sz w:val="21"/>
                      <w:szCs w:val="21"/>
                      <w:lang w:val="en-US" w:eastAsia="zh-CN" w:bidi="ar"/>
                    </w:rPr>
                    <w:t>t/</w:t>
                  </w:r>
                  <w:r>
                    <w:rPr>
                      <w:rFonts w:hint="eastAsia"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a</w:t>
                  </w:r>
                </w:p>
              </w:tc>
              <w:tc>
                <w:tcPr>
                  <w:tcW w:w="1425" w:type="dxa"/>
                  <w:noWrap w:val="0"/>
                  <w:vAlign w:val="center"/>
                </w:tcPr>
                <w:p w14:paraId="6223E6A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18</w:t>
                  </w:r>
                  <w:r>
                    <w:rPr>
                      <w:rFonts w:hint="eastAsia" w:ascii="Times New Roman" w:hAnsi="Times New Roman" w:eastAsia="宋体" w:cs="Times New Roman"/>
                      <w:color w:val="auto"/>
                      <w:kern w:val="0"/>
                      <w:sz w:val="21"/>
                      <w:szCs w:val="21"/>
                      <w:lang w:val="en-US" w:eastAsia="zh-CN" w:bidi="ar"/>
                    </w:rPr>
                    <w:t>t/</w:t>
                  </w:r>
                  <w:r>
                    <w:rPr>
                      <w:rFonts w:hint="eastAsia" w:cs="Times New Roman"/>
                      <w:color w:val="auto"/>
                      <w:kern w:val="0"/>
                      <w:sz w:val="21"/>
                      <w:szCs w:val="21"/>
                      <w:lang w:val="en-US" w:eastAsia="zh-CN" w:bidi="ar"/>
                    </w:rPr>
                    <w:t>2</w:t>
                  </w:r>
                  <w:r>
                    <w:rPr>
                      <w:rFonts w:hint="eastAsia" w:ascii="Times New Roman" w:hAnsi="Times New Roman" w:eastAsia="宋体" w:cs="Times New Roman"/>
                      <w:color w:val="auto"/>
                      <w:kern w:val="0"/>
                      <w:sz w:val="21"/>
                      <w:szCs w:val="21"/>
                      <w:lang w:val="en-US" w:eastAsia="zh-CN" w:bidi="ar"/>
                    </w:rPr>
                    <w:t>a</w:t>
                  </w:r>
                </w:p>
              </w:tc>
              <w:tc>
                <w:tcPr>
                  <w:tcW w:w="1448" w:type="dxa"/>
                  <w:noWrap w:val="0"/>
                  <w:vAlign w:val="center"/>
                </w:tcPr>
                <w:p w14:paraId="7CAF7CD0">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p>
              </w:tc>
            </w:tr>
            <w:tr w14:paraId="7939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56" w:type="dxa"/>
                  <w:noWrap w:val="0"/>
                  <w:vAlign w:val="center"/>
                </w:tcPr>
                <w:p w14:paraId="554F1724">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35" w:type="dxa"/>
                  <w:noWrap w:val="0"/>
                  <w:vAlign w:val="center"/>
                </w:tcPr>
                <w:p w14:paraId="13296DB6">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轻质</w:t>
                  </w:r>
                  <w:r>
                    <w:rPr>
                      <w:rFonts w:hint="default" w:ascii="Times New Roman" w:hAnsi="Times New Roman" w:eastAsia="宋体" w:cs="Times New Roman"/>
                      <w:color w:val="auto"/>
                      <w:sz w:val="21"/>
                      <w:szCs w:val="21"/>
                    </w:rPr>
                    <w:t>柴油</w:t>
                  </w:r>
                </w:p>
              </w:tc>
              <w:tc>
                <w:tcPr>
                  <w:tcW w:w="795" w:type="dxa"/>
                  <w:noWrap w:val="0"/>
                  <w:vAlign w:val="center"/>
                </w:tcPr>
                <w:p w14:paraId="216243BB">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default" w:ascii="Times New Roman" w:hAnsi="Times New Roman" w:cs="Times New Roman"/>
                      <w:color w:val="auto"/>
                      <w:sz w:val="21"/>
                      <w:szCs w:val="21"/>
                    </w:rPr>
                    <w:t>/a</w:t>
                  </w:r>
                </w:p>
              </w:tc>
              <w:tc>
                <w:tcPr>
                  <w:tcW w:w="1020" w:type="dxa"/>
                  <w:noWrap w:val="0"/>
                  <w:vAlign w:val="center"/>
                </w:tcPr>
                <w:p w14:paraId="7EDADE5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176</w:t>
                  </w:r>
                </w:p>
              </w:tc>
              <w:tc>
                <w:tcPr>
                  <w:tcW w:w="1080" w:type="dxa"/>
                  <w:noWrap w:val="0"/>
                  <w:vAlign w:val="center"/>
                </w:tcPr>
                <w:p w14:paraId="25AC67D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704</w:t>
                  </w:r>
                </w:p>
              </w:tc>
              <w:tc>
                <w:tcPr>
                  <w:tcW w:w="1425" w:type="dxa"/>
                  <w:noWrap w:val="0"/>
                  <w:vAlign w:val="center"/>
                </w:tcPr>
                <w:p w14:paraId="2411A53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720</w:t>
                  </w:r>
                </w:p>
              </w:tc>
              <w:tc>
                <w:tcPr>
                  <w:tcW w:w="1448" w:type="dxa"/>
                  <w:noWrap w:val="0"/>
                  <w:vAlign w:val="center"/>
                </w:tcPr>
                <w:p w14:paraId="478D9CBE">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14:paraId="6CE6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56" w:type="dxa"/>
                  <w:noWrap w:val="0"/>
                  <w:vAlign w:val="center"/>
                </w:tcPr>
                <w:p w14:paraId="7DAF1872">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5</w:t>
                  </w:r>
                </w:p>
              </w:tc>
              <w:tc>
                <w:tcPr>
                  <w:tcW w:w="1335" w:type="dxa"/>
                  <w:noWrap w:val="0"/>
                  <w:vAlign w:val="center"/>
                </w:tcPr>
                <w:p w14:paraId="1133880A">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车用柴油</w:t>
                  </w:r>
                </w:p>
              </w:tc>
              <w:tc>
                <w:tcPr>
                  <w:tcW w:w="795" w:type="dxa"/>
                  <w:noWrap w:val="0"/>
                  <w:vAlign w:val="center"/>
                </w:tcPr>
                <w:p w14:paraId="63C45F98">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default" w:ascii="Times New Roman" w:hAnsi="Times New Roman" w:cs="Times New Roman"/>
                      <w:color w:val="auto"/>
                      <w:sz w:val="21"/>
                      <w:szCs w:val="21"/>
                    </w:rPr>
                    <w:t>/a</w:t>
                  </w:r>
                </w:p>
              </w:tc>
              <w:tc>
                <w:tcPr>
                  <w:tcW w:w="1020" w:type="dxa"/>
                  <w:noWrap w:val="0"/>
                  <w:vAlign w:val="center"/>
                </w:tcPr>
                <w:p w14:paraId="2193C77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080" w:type="dxa"/>
                  <w:noWrap w:val="0"/>
                  <w:vAlign w:val="center"/>
                </w:tcPr>
                <w:p w14:paraId="04676B7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425" w:type="dxa"/>
                  <w:noWrap w:val="0"/>
                  <w:vAlign w:val="center"/>
                </w:tcPr>
                <w:p w14:paraId="4F987EB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600</w:t>
                  </w:r>
                </w:p>
              </w:tc>
              <w:tc>
                <w:tcPr>
                  <w:tcW w:w="1448" w:type="dxa"/>
                  <w:noWrap w:val="0"/>
                  <w:vAlign w:val="center"/>
                </w:tcPr>
                <w:p w14:paraId="78A40488">
                  <w:pPr>
                    <w:pStyle w:val="4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bl>
          <w:p w14:paraId="4003BEB1">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项目原材料需满足下列质量技术指标：</w:t>
            </w:r>
          </w:p>
          <w:p w14:paraId="769D2363">
            <w:pPr>
              <w:keepNext w:val="0"/>
              <w:keepLines w:val="0"/>
              <w:pageBreakBefore w:val="0"/>
              <w:widowControl w:val="0"/>
              <w:kinsoku/>
              <w:wordWrap/>
              <w:topLinePunct w:val="0"/>
              <w:autoSpaceDE w:val="0"/>
              <w:autoSpaceDN w:val="0"/>
              <w:bidi w:val="0"/>
              <w:adjustRightInd w:val="0"/>
              <w:snapToGrid/>
              <w:spacing w:line="360" w:lineRule="auto"/>
              <w:ind w:left="0"/>
              <w:textAlignment w:val="auto"/>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（1）沥青</w:t>
            </w:r>
          </w:p>
          <w:p w14:paraId="11FA8DBD">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①中文名称：沥青，英文名称1：bitumen，英文名称2：asphalt。</w:t>
            </w:r>
          </w:p>
          <w:p w14:paraId="4C954924">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②提炼物：石油，含量：99.48%。外观与性状：黑色液体，半固体或固体。</w:t>
            </w:r>
          </w:p>
          <w:p w14:paraId="35D87472">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沸点（℃）：&lt;470，相对密度（水=1）：1.15~1.25，闪点（℃）：204.4，引燃温度（℃）：485，爆炸下限%（V/V）：30（g/立方厘米），溶解性：不溶于水，不溶于丙酮、乙醚、稀乙醇，溶于二硫化碳、四氯化碳等。</w:t>
            </w:r>
          </w:p>
          <w:p w14:paraId="43864674">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④主要用途：用于铺筑路面。</w:t>
            </w:r>
          </w:p>
          <w:p w14:paraId="49087BBB">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⑤环境危害：对环境有危害，对大气可造成污染。</w:t>
            </w:r>
          </w:p>
          <w:p w14:paraId="1DAC8B68">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⑥燃爆危险：本品可燃，具一定刺激性。</w:t>
            </w:r>
          </w:p>
          <w:p w14:paraId="716A5DB8">
            <w:pPr>
              <w:keepNext w:val="0"/>
              <w:keepLines w:val="0"/>
              <w:pageBreakBefore w:val="0"/>
              <w:widowControl w:val="0"/>
              <w:kinsoku/>
              <w:wordWrap/>
              <w:overflowPunct w:val="0"/>
              <w:topLinePunct w:val="0"/>
              <w:bidi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⑦危险特征：遇明火、高热可燃。燃烧时放出有毒的刺激性烟雾。</w:t>
            </w:r>
          </w:p>
          <w:p w14:paraId="399A2D4A">
            <w:pPr>
              <w:keepNext w:val="0"/>
              <w:keepLines w:val="0"/>
              <w:pageBreakBefore w:val="0"/>
              <w:widowControl w:val="0"/>
              <w:kinsoku/>
              <w:wordWrap/>
              <w:topLinePunct w:val="0"/>
              <w:bidi w:val="0"/>
              <w:snapToGrid/>
              <w:spacing w:line="360" w:lineRule="auto"/>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8 \* GB3</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⑧</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加热特性：沥青是石油的一种副产品，是多种碳氢化合物及其它非金属（氧、硫、氮）的衍生物组成的混合物。化学组分中碳占80%~87%，氢占10%~15%，非金属元素（氧、硫、氮）所占百分比&lt;3%。生产时使用导热油将其加热温度至150~180℃，硫元素生成二氧化硫要在燃烧条件下，燃点为250℃，有氧气条件下生成二氧化硫，项目沥青加热温度为150~180℃，达不到生成二氧化硫所需温度250℃，故项目沥青加热不会产生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气体。</w:t>
            </w:r>
          </w:p>
          <w:p w14:paraId="26AC2E0C">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jc w:val="left"/>
              <w:textAlignment w:val="auto"/>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（2）</w:t>
            </w:r>
            <w:r>
              <w:rPr>
                <w:rFonts w:hint="eastAsia" w:cs="Times New Roman"/>
                <w:bCs/>
                <w:color w:val="auto"/>
                <w:kern w:val="0"/>
                <w:sz w:val="24"/>
                <w:lang w:val="en-US" w:eastAsia="zh-CN"/>
              </w:rPr>
              <w:t>轻质</w:t>
            </w:r>
            <w:r>
              <w:rPr>
                <w:rFonts w:hint="default" w:ascii="Times New Roman" w:hAnsi="Times New Roman" w:eastAsia="宋体" w:cs="Times New Roman"/>
                <w:bCs/>
                <w:color w:val="auto"/>
                <w:kern w:val="0"/>
                <w:sz w:val="24"/>
              </w:rPr>
              <w:t>柴油</w:t>
            </w:r>
          </w:p>
          <w:p w14:paraId="267F130B">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①名称：</w:t>
            </w:r>
            <w:r>
              <w:rPr>
                <w:rFonts w:hint="eastAsia" w:cs="Times New Roman"/>
                <w:color w:val="auto"/>
                <w:kern w:val="0"/>
                <w:sz w:val="24"/>
                <w:lang w:val="en-US" w:eastAsia="zh-CN"/>
              </w:rPr>
              <w:t>轻质</w:t>
            </w:r>
            <w:r>
              <w:rPr>
                <w:rFonts w:hint="default" w:ascii="Times New Roman" w:hAnsi="Times New Roman" w:eastAsia="宋体" w:cs="Times New Roman"/>
                <w:color w:val="auto"/>
                <w:kern w:val="0"/>
                <w:sz w:val="24"/>
              </w:rPr>
              <w:t>柴油，英文名称：Diesel oil；Diesel fuel。</w:t>
            </w:r>
          </w:p>
          <w:p w14:paraId="63F4BC3F">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②外观和性状：稍有粘性的棕色液体。熔点（℃）：-18，沸点（℃）：282~338，相对密度（水=1）：0.85~0.9，燃烧性：易燃。建规火险分级：乙，闪点（℃）：55，引燃温度（℃）：257。</w:t>
            </w:r>
          </w:p>
          <w:p w14:paraId="71D83D9B">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③危险特性：遇明火、高热或氧化剂接触，有引起燃烧爆炸的危险。若遇高热，容器内压增大，有开裂和爆炸的危险。</w:t>
            </w:r>
          </w:p>
          <w:p w14:paraId="714086FB">
            <w:pPr>
              <w:keepNext w:val="0"/>
              <w:keepLines w:val="0"/>
              <w:pageBreakBefore w:val="0"/>
              <w:widowControl w:val="0"/>
              <w:kinsoku/>
              <w:wordWrap/>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储运注意事项：储存于阴凉、通风仓间内。远离火种、热源。防止阳光直射。保持容器密封。应与氧化剂分开存放。堆垛不可过大，应留墙距、顶距、柱距及必要的防火检查走道。罐储时要有防火防爆技术措施。禁止使用易产生火花的机械设备和工具。充装要控制流速，注意防止静电积聚。搬运时要轻装轻卸，防止包装及容器损坏。</w:t>
            </w:r>
          </w:p>
          <w:p w14:paraId="29870416">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firstLine="480" w:firstLineChars="200"/>
              <w:jc w:val="left"/>
              <w:textAlignment w:val="auto"/>
              <w:rPr>
                <w:bCs/>
                <w:color w:val="auto"/>
                <w:szCs w:val="21"/>
              </w:rPr>
            </w:pPr>
            <w:r>
              <w:rPr>
                <w:bCs/>
                <w:color w:val="auto"/>
                <w:szCs w:val="21"/>
              </w:rPr>
              <w:t>导热油：在许用温度范围内，热稳定性较好，结焦少，使用寿命较长；在许用温度范围内，导热性能、流动性能及可泵性能良好；低毒无味，不腐蚀设备，对环境影响很小；凝固点较低，沸点较高，低沸点组分含量较少；在许用温度范围内，蒸汽压不高，蒸发损失少；温度高于70℃时，与空气接触会被强烈氧化，其受热工作系统需密封，而只允许其在70℃以下的温度与空气接触；受热后体积膨胀显著，膨胀率远大于水；温升100℃，体积膨胀率可达8%～10%；过热时会发生裂解或缩合，在容器、管道中结焦或积碳；混入水或低沸点组分时，受热后蒸气压会显著提高；闪点、燃点及自燃点均较高，在许用温度及密闭状态下不会着火燃烧；根据设备作业环境，建议选择适宜的低温性能的导热油。</w:t>
            </w:r>
          </w:p>
          <w:p w14:paraId="46105716">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kern w:val="0"/>
                <w:sz w:val="24"/>
                <w:lang w:val="en-US" w:eastAsia="zh-CN"/>
              </w:rPr>
              <w:t>（4）矿粉</w:t>
            </w:r>
            <w:r>
              <w:rPr>
                <w:rFonts w:hint="eastAsia" w:cs="Times New Roman"/>
                <w:bCs/>
                <w:color w:val="auto"/>
                <w:kern w:val="0"/>
                <w:sz w:val="24"/>
                <w:lang w:val="en-US" w:eastAsia="zh-CN"/>
              </w:rPr>
              <w:t>：全称为</w:t>
            </w:r>
            <w:r>
              <w:rPr>
                <w:rFonts w:ascii="Times New Roman" w:hAnsi="Times New Roman" w:eastAsia="宋体" w:cs="Times New Roman"/>
                <w:bCs/>
                <w:color w:val="auto"/>
                <w:szCs w:val="21"/>
              </w:rPr>
              <w:t>磨细水淬粒化</w:t>
            </w:r>
            <w:r>
              <w:rPr>
                <w:rFonts w:hint="eastAsia" w:ascii="Times New Roman" w:hAnsi="Times New Roman" w:eastAsia="宋体" w:cs="Times New Roman"/>
                <w:bCs/>
                <w:color w:val="auto"/>
                <w:szCs w:val="21"/>
              </w:rPr>
              <w:fldChar w:fldCharType="begin"/>
            </w:r>
            <w:r>
              <w:rPr>
                <w:rFonts w:hint="eastAsia" w:ascii="Times New Roman" w:hAnsi="Times New Roman" w:eastAsia="宋体" w:cs="Times New Roman"/>
                <w:bCs/>
                <w:color w:val="auto"/>
                <w:szCs w:val="21"/>
              </w:rPr>
              <w:instrText xml:space="preserve"> HYPERLINK "http://www.so.com/s?q=%E9%AB%98%E7%82%89&amp;ie=utf-8&amp;src=internal_wenda_recommend_textn" \t "https://wenda.so.com/q/_blank" </w:instrText>
            </w:r>
            <w:r>
              <w:rPr>
                <w:rFonts w:hint="eastAsia" w:ascii="Times New Roman" w:hAnsi="Times New Roman" w:eastAsia="宋体" w:cs="Times New Roman"/>
                <w:bCs/>
                <w:color w:val="auto"/>
                <w:szCs w:val="21"/>
              </w:rPr>
              <w:fldChar w:fldCharType="separate"/>
            </w:r>
            <w:r>
              <w:rPr>
                <w:rFonts w:hint="eastAsia" w:ascii="Times New Roman" w:hAnsi="Times New Roman" w:eastAsia="宋体" w:cs="Times New Roman"/>
                <w:bCs/>
                <w:color w:val="auto"/>
                <w:szCs w:val="21"/>
              </w:rPr>
              <w:t>高炉</w:t>
            </w:r>
            <w:r>
              <w:rPr>
                <w:rFonts w:hint="eastAsia" w:ascii="Times New Roman" w:hAnsi="Times New Roman" w:eastAsia="宋体" w:cs="Times New Roman"/>
                <w:bCs/>
                <w:color w:val="auto"/>
                <w:szCs w:val="21"/>
              </w:rPr>
              <w:fldChar w:fldCharType="end"/>
            </w:r>
            <w:r>
              <w:rPr>
                <w:rFonts w:hint="eastAsia" w:ascii="Times New Roman" w:hAnsi="Times New Roman" w:eastAsia="宋体" w:cs="Times New Roman"/>
                <w:bCs/>
                <w:color w:val="auto"/>
                <w:szCs w:val="21"/>
              </w:rPr>
              <w:t>矿渣粉。</w:t>
            </w:r>
            <w:r>
              <w:rPr>
                <w:rFonts w:hint="eastAsia" w:ascii="Times New Roman" w:hAnsi="Times New Roman" w:eastAsia="宋体" w:cs="Times New Roman"/>
                <w:bCs/>
                <w:color w:val="auto"/>
                <w:szCs w:val="21"/>
                <w:lang w:val="en-US" w:eastAsia="zh-CN"/>
              </w:rPr>
              <w:t>从</w:t>
            </w:r>
            <w:r>
              <w:rPr>
                <w:rFonts w:hint="eastAsia" w:ascii="Times New Roman" w:hAnsi="Times New Roman" w:eastAsia="宋体" w:cs="Times New Roman"/>
                <w:bCs/>
                <w:color w:val="auto"/>
                <w:szCs w:val="21"/>
              </w:rPr>
              <w:t>钢铁厂炼铁时高炉排出的熔渣，</w:t>
            </w:r>
            <w:r>
              <w:rPr>
                <w:rFonts w:hint="eastAsia" w:ascii="Times New Roman" w:hAnsi="Times New Roman" w:eastAsia="宋体" w:cs="Times New Roman"/>
                <w:bCs/>
                <w:color w:val="auto"/>
                <w:szCs w:val="21"/>
              </w:rPr>
              <w:fldChar w:fldCharType="begin"/>
            </w:r>
            <w:r>
              <w:rPr>
                <w:rFonts w:hint="eastAsia" w:ascii="Times New Roman" w:hAnsi="Times New Roman" w:eastAsia="宋体" w:cs="Times New Roman"/>
                <w:bCs/>
                <w:color w:val="auto"/>
                <w:szCs w:val="21"/>
              </w:rPr>
              <w:instrText xml:space="preserve"> HYPERLINK "http://www.so.com/s?q=%E7%94%A8%E6%B0%B4&amp;ie=utf-8&amp;src=internal_wenda_recommend_textn" \t "https://wenda.so.com/q/_blank" </w:instrText>
            </w:r>
            <w:r>
              <w:rPr>
                <w:rFonts w:hint="eastAsia" w:ascii="Times New Roman" w:hAnsi="Times New Roman" w:eastAsia="宋体" w:cs="Times New Roman"/>
                <w:bCs/>
                <w:color w:val="auto"/>
                <w:szCs w:val="21"/>
              </w:rPr>
              <w:fldChar w:fldCharType="separate"/>
            </w:r>
            <w:r>
              <w:rPr>
                <w:rFonts w:hint="eastAsia" w:ascii="Times New Roman" w:hAnsi="Times New Roman" w:eastAsia="宋体" w:cs="Times New Roman"/>
                <w:bCs/>
                <w:color w:val="auto"/>
                <w:szCs w:val="21"/>
              </w:rPr>
              <w:t>用水</w:t>
            </w:r>
            <w:r>
              <w:rPr>
                <w:rFonts w:hint="eastAsia" w:ascii="Times New Roman" w:hAnsi="Times New Roman" w:eastAsia="宋体" w:cs="Times New Roman"/>
                <w:bCs/>
                <w:color w:val="auto"/>
                <w:szCs w:val="21"/>
              </w:rPr>
              <w:fldChar w:fldCharType="end"/>
            </w:r>
            <w:r>
              <w:rPr>
                <w:rFonts w:hint="eastAsia" w:ascii="Times New Roman" w:hAnsi="Times New Roman" w:eastAsia="宋体" w:cs="Times New Roman"/>
                <w:bCs/>
                <w:color w:val="auto"/>
                <w:szCs w:val="21"/>
              </w:rPr>
              <w:t>喷洒急速冷却成为</w:t>
            </w:r>
            <w:r>
              <w:rPr>
                <w:rFonts w:hint="eastAsia" w:ascii="Times New Roman" w:hAnsi="Times New Roman" w:eastAsia="宋体" w:cs="Times New Roman"/>
                <w:bCs/>
                <w:color w:val="auto"/>
                <w:szCs w:val="21"/>
              </w:rPr>
              <w:fldChar w:fldCharType="begin"/>
            </w:r>
            <w:r>
              <w:rPr>
                <w:rFonts w:hint="eastAsia" w:ascii="Times New Roman" w:hAnsi="Times New Roman" w:eastAsia="宋体" w:cs="Times New Roman"/>
                <w:bCs/>
                <w:color w:val="auto"/>
                <w:szCs w:val="21"/>
              </w:rPr>
              <w:instrText xml:space="preserve"> HYPERLINK "http://www.so.com/s?q=%E9%A2%97%E7%B2%92%E7%8A%B6&amp;ie=utf-8&amp;src=internal_wenda_recommend_textn" \t "https://wenda.so.com/q/_blank" </w:instrText>
            </w:r>
            <w:r>
              <w:rPr>
                <w:rFonts w:hint="eastAsia" w:ascii="Times New Roman" w:hAnsi="Times New Roman" w:eastAsia="宋体" w:cs="Times New Roman"/>
                <w:bCs/>
                <w:color w:val="auto"/>
                <w:szCs w:val="21"/>
              </w:rPr>
              <w:fldChar w:fldCharType="separate"/>
            </w:r>
            <w:r>
              <w:rPr>
                <w:rFonts w:hint="eastAsia" w:ascii="Times New Roman" w:hAnsi="Times New Roman" w:eastAsia="宋体" w:cs="Times New Roman"/>
                <w:bCs/>
                <w:color w:val="auto"/>
                <w:szCs w:val="21"/>
              </w:rPr>
              <w:t>颗粒状</w:t>
            </w:r>
            <w:r>
              <w:rPr>
                <w:rFonts w:hint="eastAsia" w:ascii="Times New Roman" w:hAnsi="Times New Roman" w:eastAsia="宋体" w:cs="Times New Roman"/>
                <w:bCs/>
                <w:color w:val="auto"/>
                <w:szCs w:val="21"/>
              </w:rPr>
              <w:fldChar w:fldCharType="end"/>
            </w:r>
            <w:r>
              <w:rPr>
                <w:rFonts w:hint="eastAsia" w:ascii="Times New Roman" w:hAnsi="Times New Roman" w:eastAsia="宋体" w:cs="Times New Roman"/>
                <w:bCs/>
                <w:color w:val="auto"/>
                <w:szCs w:val="21"/>
              </w:rPr>
              <w:t>矿渣，然后烘干磨细，得到磨细矿渣粉</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主要化学成分为：</w:t>
            </w:r>
            <w:r>
              <w:rPr>
                <w:rFonts w:hint="default" w:ascii="Times New Roman" w:hAnsi="Times New Roman" w:eastAsia="宋体" w:cs="Times New Roman"/>
                <w:color w:val="auto"/>
                <w:spacing w:val="-1"/>
                <w:position w:val="-1"/>
                <w:sz w:val="21"/>
                <w:szCs w:val="21"/>
              </w:rPr>
              <w:t>C</w:t>
            </w:r>
            <w:r>
              <w:rPr>
                <w:rFonts w:hint="default" w:ascii="Times New Roman" w:hAnsi="Times New Roman" w:eastAsia="宋体" w:cs="Times New Roman"/>
                <w:color w:val="auto"/>
                <w:spacing w:val="0"/>
                <w:position w:val="-1"/>
                <w:sz w:val="21"/>
                <w:szCs w:val="21"/>
              </w:rPr>
              <w:t>a</w:t>
            </w:r>
            <w:r>
              <w:rPr>
                <w:rFonts w:hint="default" w:ascii="Times New Roman" w:hAnsi="Times New Roman" w:eastAsia="宋体" w:cs="Times New Roman"/>
                <w:color w:val="auto"/>
                <w:spacing w:val="-1"/>
                <w:position w:val="-1"/>
                <w:sz w:val="21"/>
                <w:szCs w:val="21"/>
              </w:rPr>
              <w:t>O</w:t>
            </w:r>
            <w:r>
              <w:rPr>
                <w:rFonts w:hint="default" w:ascii="Times New Roman" w:hAnsi="Times New Roman" w:eastAsia="宋体" w:cs="Times New Roman"/>
                <w:color w:val="auto"/>
                <w:spacing w:val="-3"/>
                <w:position w:val="-1"/>
                <w:sz w:val="21"/>
                <w:szCs w:val="21"/>
              </w:rPr>
              <w:t>、</w:t>
            </w:r>
            <w:r>
              <w:rPr>
                <w:rFonts w:hint="default" w:ascii="Times New Roman" w:hAnsi="Times New Roman" w:eastAsia="宋体" w:cs="Times New Roman"/>
                <w:color w:val="auto"/>
                <w:spacing w:val="0"/>
                <w:position w:val="-1"/>
                <w:sz w:val="21"/>
                <w:szCs w:val="21"/>
              </w:rPr>
              <w:t>S</w:t>
            </w:r>
            <w:r>
              <w:rPr>
                <w:rFonts w:hint="default" w:ascii="Times New Roman" w:hAnsi="Times New Roman" w:eastAsia="宋体" w:cs="Times New Roman"/>
                <w:color w:val="auto"/>
                <w:spacing w:val="1"/>
                <w:position w:val="-1"/>
                <w:sz w:val="21"/>
                <w:szCs w:val="21"/>
              </w:rPr>
              <w:t>i</w:t>
            </w:r>
            <w:r>
              <w:rPr>
                <w:rFonts w:hint="default" w:ascii="Times New Roman" w:hAnsi="Times New Roman" w:eastAsia="宋体" w:cs="Times New Roman"/>
                <w:color w:val="auto"/>
                <w:spacing w:val="-1"/>
                <w:position w:val="-1"/>
                <w:sz w:val="21"/>
                <w:szCs w:val="21"/>
              </w:rPr>
              <w:t>O</w:t>
            </w:r>
            <w:r>
              <w:rPr>
                <w:rFonts w:hint="default" w:ascii="Times New Roman" w:hAnsi="Times New Roman" w:eastAsia="宋体" w:cs="Times New Roman"/>
                <w:color w:val="auto"/>
                <w:spacing w:val="-1"/>
                <w:w w:val="101"/>
                <w:position w:val="-2"/>
                <w:sz w:val="21"/>
                <w:szCs w:val="21"/>
                <w:vertAlign w:val="subscript"/>
              </w:rPr>
              <w:t>2</w:t>
            </w:r>
            <w:r>
              <w:rPr>
                <w:rFonts w:hint="default" w:ascii="Times New Roman" w:hAnsi="Times New Roman" w:eastAsia="宋体" w:cs="Times New Roman"/>
                <w:color w:val="auto"/>
                <w:spacing w:val="0"/>
                <w:w w:val="100"/>
                <w:position w:val="-1"/>
                <w:sz w:val="21"/>
                <w:szCs w:val="21"/>
              </w:rPr>
              <w:t>、</w:t>
            </w:r>
            <w:r>
              <w:rPr>
                <w:rFonts w:hint="default" w:ascii="Times New Roman" w:hAnsi="Times New Roman" w:eastAsia="宋体" w:cs="Times New Roman"/>
                <w:color w:val="auto"/>
                <w:spacing w:val="-1"/>
                <w:w w:val="100"/>
                <w:position w:val="-1"/>
                <w:sz w:val="21"/>
                <w:szCs w:val="21"/>
              </w:rPr>
              <w:t>Al</w:t>
            </w:r>
            <w:r>
              <w:rPr>
                <w:rFonts w:hint="default" w:ascii="Times New Roman" w:hAnsi="Times New Roman" w:eastAsia="宋体" w:cs="Times New Roman"/>
                <w:color w:val="auto"/>
                <w:spacing w:val="1"/>
                <w:w w:val="100"/>
                <w:position w:val="-3"/>
                <w:sz w:val="21"/>
                <w:szCs w:val="21"/>
                <w:vertAlign w:val="subscript"/>
              </w:rPr>
              <w:t>2</w:t>
            </w:r>
            <w:r>
              <w:rPr>
                <w:rFonts w:hint="default" w:ascii="Times New Roman" w:hAnsi="Times New Roman" w:eastAsia="宋体" w:cs="Times New Roman"/>
                <w:color w:val="auto"/>
                <w:spacing w:val="-1"/>
                <w:w w:val="100"/>
                <w:position w:val="-1"/>
                <w:sz w:val="21"/>
                <w:szCs w:val="21"/>
              </w:rPr>
              <w:t>O</w:t>
            </w:r>
            <w:r>
              <w:rPr>
                <w:rFonts w:hint="default" w:ascii="Times New Roman" w:hAnsi="Times New Roman" w:eastAsia="宋体" w:cs="Times New Roman"/>
                <w:color w:val="auto"/>
                <w:spacing w:val="-1"/>
                <w:w w:val="100"/>
                <w:position w:val="-3"/>
                <w:sz w:val="21"/>
                <w:szCs w:val="21"/>
                <w:vertAlign w:val="subscript"/>
              </w:rPr>
              <w:t>3</w:t>
            </w:r>
            <w:r>
              <w:rPr>
                <w:rFonts w:hint="default" w:ascii="Times New Roman" w:hAnsi="Times New Roman" w:eastAsia="宋体" w:cs="Times New Roman"/>
                <w:color w:val="auto"/>
                <w:spacing w:val="0"/>
                <w:w w:val="100"/>
                <w:position w:val="-1"/>
                <w:sz w:val="21"/>
                <w:szCs w:val="21"/>
              </w:rPr>
              <w:t>、M</w:t>
            </w:r>
            <w:r>
              <w:rPr>
                <w:rFonts w:hint="default" w:ascii="Times New Roman" w:hAnsi="Times New Roman" w:eastAsia="宋体" w:cs="Times New Roman"/>
                <w:color w:val="auto"/>
                <w:spacing w:val="-3"/>
                <w:w w:val="100"/>
                <w:position w:val="-1"/>
                <w:sz w:val="21"/>
                <w:szCs w:val="21"/>
              </w:rPr>
              <w:t>g</w:t>
            </w:r>
            <w:r>
              <w:rPr>
                <w:rFonts w:hint="default" w:ascii="Times New Roman" w:hAnsi="Times New Roman" w:eastAsia="宋体" w:cs="Times New Roman"/>
                <w:color w:val="auto"/>
                <w:spacing w:val="0"/>
                <w:w w:val="100"/>
                <w:position w:val="-1"/>
                <w:sz w:val="21"/>
                <w:szCs w:val="21"/>
              </w:rPr>
              <w:t>O</w:t>
            </w:r>
            <w:r>
              <w:rPr>
                <w:rFonts w:hint="eastAsia" w:ascii="Times New Roman" w:hAnsi="Times New Roman" w:eastAsia="宋体" w:cs="Times New Roman"/>
                <w:color w:val="auto"/>
                <w:spacing w:val="0"/>
                <w:w w:val="100"/>
                <w:position w:val="-1"/>
                <w:sz w:val="21"/>
                <w:szCs w:val="21"/>
                <w:lang w:eastAsia="zh-CN"/>
              </w:rPr>
              <w:t>。</w:t>
            </w:r>
            <w:r>
              <w:rPr>
                <w:rFonts w:ascii="Times New Roman" w:hAnsi="Times New Roman" w:eastAsia="宋体" w:cs="Times New Roman"/>
                <w:bCs/>
                <w:color w:val="auto"/>
                <w:szCs w:val="21"/>
              </w:rPr>
              <w:t>矿粉在沥青混合料中起到填充作用，目的是</w:t>
            </w:r>
            <w:r>
              <w:rPr>
                <w:rFonts w:hint="eastAsia" w:ascii="Times New Roman" w:hAnsi="Times New Roman" w:eastAsia="宋体" w:cs="Times New Roman"/>
                <w:bCs/>
                <w:color w:val="auto"/>
                <w:szCs w:val="21"/>
              </w:rPr>
              <w:t>减小沥青混凝土的</w:t>
            </w:r>
            <w:r>
              <w:rPr>
                <w:rFonts w:hint="eastAsia" w:ascii="Times New Roman" w:hAnsi="Times New Roman" w:eastAsia="宋体" w:cs="Times New Roman"/>
                <w:bCs/>
                <w:color w:val="auto"/>
                <w:szCs w:val="21"/>
                <w:lang w:val="en-US" w:eastAsia="zh-CN"/>
              </w:rPr>
              <w:t>空隙，</w:t>
            </w:r>
            <w:r>
              <w:rPr>
                <w:rFonts w:ascii="Times New Roman" w:hAnsi="Times New Roman" w:eastAsia="宋体" w:cs="Times New Roman"/>
                <w:bCs/>
                <w:color w:val="auto"/>
                <w:szCs w:val="21"/>
              </w:rPr>
              <w:t>矿粉还能够改善混凝土</w:t>
            </w:r>
            <w:r>
              <w:rPr>
                <w:rFonts w:hint="eastAsia" w:ascii="Times New Roman" w:hAnsi="Times New Roman" w:eastAsia="宋体" w:cs="Times New Roman"/>
                <w:bCs/>
                <w:color w:val="auto"/>
                <w:szCs w:val="21"/>
              </w:rPr>
              <w:t>的部分物理力学性能，特别是提高混凝土抗渗性和提高混凝土耐久性</w:t>
            </w:r>
            <w:r>
              <w:rPr>
                <w:rFonts w:hint="eastAsia" w:ascii="Times New Roman" w:hAnsi="Times New Roman" w:eastAsia="宋体" w:cs="Times New Roman"/>
                <w:bCs/>
                <w:color w:val="auto"/>
                <w:szCs w:val="21"/>
                <w:lang w:eastAsia="zh-CN"/>
              </w:rPr>
              <w:t>。</w:t>
            </w:r>
          </w:p>
          <w:p w14:paraId="7BC23A90">
            <w:pPr>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5</w:t>
            </w:r>
            <w:r>
              <w:rPr>
                <w:rFonts w:hint="eastAsia"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产品方案</w:t>
            </w:r>
          </w:p>
          <w:p w14:paraId="373CA38C">
            <w:pPr>
              <w:pStyle w:val="14"/>
              <w:spacing w:line="360" w:lineRule="auto"/>
              <w:ind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bCs/>
                <w:color w:val="auto"/>
                <w:kern w:val="2"/>
                <w:sz w:val="24"/>
                <w:szCs w:val="21"/>
                <w:lang w:val="en-US" w:eastAsia="zh-CN" w:bidi="ar-SA"/>
              </w:rPr>
              <w:t>项目产品为沥青混凝土，主要供应</w:t>
            </w:r>
            <w:r>
              <w:rPr>
                <w:rFonts w:hint="eastAsia" w:ascii="Times New Roman" w:hAnsi="Times New Roman" w:eastAsia="宋体" w:cs="Times New Roman"/>
                <w:bCs/>
                <w:color w:val="auto"/>
                <w:kern w:val="2"/>
                <w:sz w:val="24"/>
                <w:szCs w:val="21"/>
                <w:lang w:val="en-US" w:eastAsia="zh-CN" w:bidi="ar-SA"/>
              </w:rPr>
              <w:t>芒市</w:t>
            </w:r>
            <w:r>
              <w:rPr>
                <w:rFonts w:hint="default" w:ascii="Times New Roman" w:hAnsi="Times New Roman" w:eastAsia="宋体" w:cs="Times New Roman"/>
                <w:bCs/>
                <w:color w:val="auto"/>
                <w:kern w:val="2"/>
                <w:sz w:val="24"/>
                <w:szCs w:val="21"/>
                <w:lang w:val="en-US" w:eastAsia="zh-CN" w:bidi="ar-SA"/>
              </w:rPr>
              <w:t>道路修补及新建公路。据建设单位提供资料，项目</w:t>
            </w:r>
            <w:r>
              <w:rPr>
                <w:rFonts w:hint="eastAsia" w:ascii="Times New Roman" w:hAnsi="Times New Roman" w:eastAsia="宋体" w:cs="Times New Roman"/>
                <w:bCs/>
                <w:color w:val="auto"/>
                <w:kern w:val="2"/>
                <w:sz w:val="24"/>
                <w:szCs w:val="21"/>
                <w:lang w:val="en-US" w:eastAsia="zh-CN" w:bidi="ar-SA"/>
              </w:rPr>
              <w:t>1#生产线</w:t>
            </w:r>
            <w:r>
              <w:rPr>
                <w:rFonts w:hint="default" w:ascii="Times New Roman" w:hAnsi="Times New Roman" w:eastAsia="宋体" w:cs="Times New Roman"/>
                <w:bCs/>
                <w:color w:val="auto"/>
                <w:kern w:val="2"/>
                <w:sz w:val="24"/>
                <w:szCs w:val="21"/>
                <w:lang w:val="en-US" w:eastAsia="zh-CN" w:bidi="ar-SA"/>
              </w:rPr>
              <w:t>年产沥青混凝土</w:t>
            </w:r>
            <w:r>
              <w:rPr>
                <w:rFonts w:hint="eastAsia" w:ascii="Times New Roman" w:hAnsi="Times New Roman" w:eastAsia="宋体" w:cs="Times New Roman"/>
                <w:bCs/>
                <w:color w:val="auto"/>
                <w:kern w:val="2"/>
                <w:sz w:val="24"/>
                <w:szCs w:val="21"/>
                <w:lang w:val="en-US" w:eastAsia="zh-CN" w:bidi="ar-SA"/>
              </w:rPr>
              <w:t>9.6</w:t>
            </w:r>
            <w:r>
              <w:rPr>
                <w:rFonts w:hint="default" w:ascii="Times New Roman" w:hAnsi="Times New Roman" w:eastAsia="宋体" w:cs="Times New Roman"/>
                <w:bCs/>
                <w:color w:val="auto"/>
                <w:kern w:val="2"/>
                <w:sz w:val="24"/>
                <w:szCs w:val="21"/>
                <w:lang w:val="en-US" w:eastAsia="zh-CN" w:bidi="ar-SA"/>
              </w:rPr>
              <w:t>万吨/年</w:t>
            </w:r>
            <w:r>
              <w:rPr>
                <w:rFonts w:hint="eastAsia" w:ascii="Times New Roman" w:hAnsi="Times New Roman" w:eastAsia="宋体" w:cs="Times New Roman"/>
                <w:bCs/>
                <w:color w:val="auto"/>
                <w:kern w:val="2"/>
                <w:sz w:val="24"/>
                <w:szCs w:val="21"/>
                <w:lang w:val="en-US" w:eastAsia="zh-CN" w:bidi="ar-SA"/>
              </w:rPr>
              <w:t>，2#生产线</w:t>
            </w:r>
            <w:r>
              <w:rPr>
                <w:rFonts w:hint="default" w:ascii="Times New Roman" w:hAnsi="Times New Roman" w:eastAsia="宋体" w:cs="Times New Roman"/>
                <w:bCs/>
                <w:color w:val="auto"/>
                <w:kern w:val="2"/>
                <w:sz w:val="24"/>
                <w:szCs w:val="21"/>
                <w:lang w:val="en-US" w:eastAsia="zh-CN" w:bidi="ar-SA"/>
              </w:rPr>
              <w:t>年产沥青混凝土</w:t>
            </w:r>
            <w:r>
              <w:rPr>
                <w:rFonts w:hint="eastAsia" w:ascii="Times New Roman" w:hAnsi="Times New Roman" w:eastAsia="宋体" w:cs="Times New Roman"/>
                <w:bCs/>
                <w:color w:val="auto"/>
                <w:kern w:val="2"/>
                <w:sz w:val="24"/>
                <w:szCs w:val="21"/>
                <w:lang w:val="en-US" w:eastAsia="zh-CN" w:bidi="ar-SA"/>
              </w:rPr>
              <w:t>38.4</w:t>
            </w:r>
            <w:r>
              <w:rPr>
                <w:rFonts w:hint="default" w:ascii="Times New Roman" w:hAnsi="Times New Roman" w:eastAsia="宋体" w:cs="Times New Roman"/>
                <w:bCs/>
                <w:color w:val="auto"/>
                <w:kern w:val="2"/>
                <w:sz w:val="24"/>
                <w:szCs w:val="21"/>
                <w:lang w:val="en-US" w:eastAsia="zh-CN" w:bidi="ar-SA"/>
              </w:rPr>
              <w:t>万吨/年</w:t>
            </w:r>
            <w:r>
              <w:rPr>
                <w:rFonts w:hint="eastAsia" w:ascii="Times New Roman" w:hAnsi="Times New Roman" w:eastAsia="宋体" w:cs="Times New Roman"/>
                <w:bCs/>
                <w:color w:val="auto"/>
                <w:kern w:val="2"/>
                <w:sz w:val="24"/>
                <w:szCs w:val="21"/>
                <w:lang w:val="en-US" w:eastAsia="zh-CN" w:bidi="ar-SA"/>
              </w:rPr>
              <w:t>，两条生产线年产</w:t>
            </w:r>
            <w:r>
              <w:rPr>
                <w:rFonts w:hint="default" w:ascii="Times New Roman" w:hAnsi="Times New Roman" w:eastAsia="宋体" w:cs="Times New Roman"/>
                <w:bCs/>
                <w:color w:val="auto"/>
                <w:kern w:val="2"/>
                <w:sz w:val="24"/>
                <w:szCs w:val="21"/>
                <w:lang w:val="en-US" w:eastAsia="zh-CN" w:bidi="ar-SA"/>
              </w:rPr>
              <w:t>沥青混凝土</w:t>
            </w:r>
            <w:r>
              <w:rPr>
                <w:rFonts w:hint="eastAsia" w:ascii="Times New Roman" w:hAnsi="Times New Roman" w:eastAsia="宋体" w:cs="Times New Roman"/>
                <w:bCs/>
                <w:color w:val="auto"/>
                <w:kern w:val="2"/>
                <w:sz w:val="24"/>
                <w:szCs w:val="21"/>
                <w:lang w:val="en-US" w:eastAsia="zh-CN" w:bidi="ar-SA"/>
              </w:rPr>
              <w:t>48</w:t>
            </w:r>
            <w:r>
              <w:rPr>
                <w:rFonts w:hint="default" w:ascii="Times New Roman" w:hAnsi="Times New Roman" w:eastAsia="宋体" w:cs="Times New Roman"/>
                <w:bCs/>
                <w:color w:val="auto"/>
                <w:kern w:val="2"/>
                <w:sz w:val="24"/>
                <w:szCs w:val="21"/>
                <w:lang w:val="en-US" w:eastAsia="zh-CN" w:bidi="ar-SA"/>
              </w:rPr>
              <w:t>万吨/年</w:t>
            </w:r>
            <w:r>
              <w:rPr>
                <w:rFonts w:hint="eastAsia" w:ascii="Times New Roman" w:hAnsi="Times New Roman" w:eastAsia="宋体" w:cs="Times New Roman"/>
                <w:bCs/>
                <w:color w:val="auto"/>
                <w:kern w:val="2"/>
                <w:sz w:val="24"/>
                <w:szCs w:val="21"/>
                <w:lang w:val="en-US" w:eastAsia="zh-CN" w:bidi="ar-SA"/>
              </w:rPr>
              <w:t>。</w:t>
            </w:r>
          </w:p>
          <w:p w14:paraId="443919E0">
            <w:pPr>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主要产品情况</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703"/>
              <w:gridCol w:w="1185"/>
              <w:gridCol w:w="1563"/>
              <w:gridCol w:w="1503"/>
              <w:gridCol w:w="1233"/>
            </w:tblGrid>
            <w:tr w14:paraId="5A9B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tcBorders>
                    <w:top w:val="single" w:color="auto" w:sz="4" w:space="0"/>
                    <w:left w:val="single" w:color="auto" w:sz="4" w:space="0"/>
                    <w:bottom w:val="single" w:color="auto" w:sz="4" w:space="0"/>
                    <w:right w:val="single" w:color="auto" w:sz="4" w:space="0"/>
                  </w:tcBorders>
                  <w:noWrap w:val="0"/>
                  <w:vAlign w:val="center"/>
                </w:tcPr>
                <w:p w14:paraId="75F5BB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85" w:type="pct"/>
                  <w:tcBorders>
                    <w:top w:val="single" w:color="auto" w:sz="4" w:space="0"/>
                    <w:left w:val="single" w:color="auto" w:sz="4" w:space="0"/>
                    <w:bottom w:val="single" w:color="auto" w:sz="4" w:space="0"/>
                    <w:right w:val="single" w:color="auto" w:sz="4" w:space="0"/>
                  </w:tcBorders>
                  <w:noWrap w:val="0"/>
                  <w:vAlign w:val="center"/>
                </w:tcPr>
                <w:p w14:paraId="7027A1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7611E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产量</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0E5797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生产能力</w:t>
                  </w:r>
                </w:p>
              </w:tc>
              <w:tc>
                <w:tcPr>
                  <w:tcW w:w="957" w:type="pct"/>
                  <w:tcBorders>
                    <w:top w:val="single" w:color="auto" w:sz="4" w:space="0"/>
                    <w:left w:val="single" w:color="auto" w:sz="4" w:space="0"/>
                    <w:bottom w:val="single" w:color="auto" w:sz="4" w:space="0"/>
                    <w:right w:val="single" w:color="auto" w:sz="4" w:space="0"/>
                  </w:tcBorders>
                  <w:noWrap w:val="0"/>
                  <w:vAlign w:val="center"/>
                </w:tcPr>
                <w:p w14:paraId="7E8BDB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工作制度</w:t>
                  </w:r>
                </w:p>
              </w:tc>
              <w:tc>
                <w:tcPr>
                  <w:tcW w:w="785" w:type="pct"/>
                  <w:tcBorders>
                    <w:top w:val="single" w:color="auto" w:sz="4" w:space="0"/>
                    <w:left w:val="single" w:color="auto" w:sz="4" w:space="0"/>
                    <w:bottom w:val="single" w:color="auto" w:sz="4" w:space="0"/>
                    <w:right w:val="single" w:color="auto" w:sz="4" w:space="0"/>
                  </w:tcBorders>
                  <w:noWrap w:val="0"/>
                  <w:vAlign w:val="center"/>
                </w:tcPr>
                <w:p w14:paraId="076E2B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备注</w:t>
                  </w:r>
                </w:p>
              </w:tc>
            </w:tr>
            <w:tr w14:paraId="0710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tcBorders>
                    <w:top w:val="single" w:color="auto" w:sz="4" w:space="0"/>
                    <w:left w:val="single" w:color="auto" w:sz="4" w:space="0"/>
                    <w:bottom w:val="single" w:color="auto" w:sz="4" w:space="0"/>
                    <w:right w:val="single" w:color="auto" w:sz="4" w:space="0"/>
                  </w:tcBorders>
                  <w:noWrap w:val="0"/>
                  <w:vAlign w:val="center"/>
                </w:tcPr>
                <w:p w14:paraId="07514E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85" w:type="pct"/>
                  <w:tcBorders>
                    <w:top w:val="single" w:color="auto" w:sz="4" w:space="0"/>
                    <w:left w:val="single" w:color="auto" w:sz="4" w:space="0"/>
                    <w:bottom w:val="single" w:color="auto" w:sz="4" w:space="0"/>
                    <w:right w:val="single" w:color="auto" w:sz="4" w:space="0"/>
                  </w:tcBorders>
                  <w:noWrap w:val="0"/>
                  <w:vAlign w:val="center"/>
                </w:tcPr>
                <w:p w14:paraId="11BC08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沥青混凝土</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007FE0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96</w:t>
                  </w:r>
                  <w:r>
                    <w:rPr>
                      <w:rFonts w:hint="default" w:ascii="Times New Roman" w:hAnsi="Times New Roman" w:eastAsia="宋体" w:cs="Times New Roman"/>
                      <w:color w:val="auto"/>
                      <w:sz w:val="21"/>
                      <w:szCs w:val="21"/>
                    </w:rPr>
                    <w:t>000t/a</w:t>
                  </w:r>
                </w:p>
              </w:tc>
              <w:tc>
                <w:tcPr>
                  <w:tcW w:w="996" w:type="pct"/>
                  <w:tcBorders>
                    <w:left w:val="single" w:color="auto" w:sz="4" w:space="0"/>
                    <w:right w:val="single" w:color="auto" w:sz="4" w:space="0"/>
                  </w:tcBorders>
                  <w:noWrap w:val="0"/>
                  <w:vAlign w:val="center"/>
                </w:tcPr>
                <w:p w14:paraId="75E753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48</w:t>
                  </w:r>
                  <w:r>
                    <w:rPr>
                      <w:rFonts w:hint="default" w:ascii="Times New Roman" w:hAnsi="Times New Roman" w:eastAsia="宋体" w:cs="Times New Roman"/>
                      <w:color w:val="auto"/>
                      <w:sz w:val="21"/>
                      <w:szCs w:val="21"/>
                    </w:rPr>
                    <w:t>t/h</w:t>
                  </w:r>
                </w:p>
              </w:tc>
              <w:tc>
                <w:tcPr>
                  <w:tcW w:w="957" w:type="pct"/>
                  <w:vMerge w:val="restart"/>
                  <w:tcBorders>
                    <w:left w:val="single" w:color="auto" w:sz="4" w:space="0"/>
                    <w:right w:val="single" w:color="auto" w:sz="4" w:space="0"/>
                  </w:tcBorders>
                  <w:noWrap w:val="0"/>
                  <w:vAlign w:val="center"/>
                </w:tcPr>
                <w:p w14:paraId="302F8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0d×</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h</w:t>
                  </w:r>
                </w:p>
              </w:tc>
              <w:tc>
                <w:tcPr>
                  <w:tcW w:w="785" w:type="pct"/>
                  <w:tcBorders>
                    <w:left w:val="single" w:color="auto" w:sz="4" w:space="0"/>
                    <w:right w:val="single" w:color="auto" w:sz="4" w:space="0"/>
                  </w:tcBorders>
                  <w:noWrap w:val="0"/>
                  <w:vAlign w:val="center"/>
                </w:tcPr>
                <w:p w14:paraId="3480B5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3802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tcBorders>
                    <w:top w:val="single" w:color="auto" w:sz="4" w:space="0"/>
                    <w:left w:val="single" w:color="auto" w:sz="4" w:space="0"/>
                    <w:bottom w:val="single" w:color="auto" w:sz="4" w:space="0"/>
                    <w:right w:val="single" w:color="auto" w:sz="4" w:space="0"/>
                  </w:tcBorders>
                  <w:noWrap w:val="0"/>
                  <w:vAlign w:val="center"/>
                </w:tcPr>
                <w:p w14:paraId="548D12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085" w:type="pct"/>
                  <w:tcBorders>
                    <w:top w:val="single" w:color="auto" w:sz="4" w:space="0"/>
                    <w:left w:val="single" w:color="auto" w:sz="4" w:space="0"/>
                    <w:bottom w:val="single" w:color="auto" w:sz="4" w:space="0"/>
                    <w:right w:val="single" w:color="auto" w:sz="4" w:space="0"/>
                  </w:tcBorders>
                  <w:noWrap w:val="0"/>
                  <w:vAlign w:val="center"/>
                </w:tcPr>
                <w:p w14:paraId="49F357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沥青混凝土</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47C76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384</w:t>
                  </w:r>
                  <w:r>
                    <w:rPr>
                      <w:rFonts w:hint="default" w:ascii="Times New Roman" w:hAnsi="Times New Roman" w:eastAsia="宋体" w:cs="Times New Roman"/>
                      <w:color w:val="auto"/>
                      <w:sz w:val="21"/>
                      <w:szCs w:val="21"/>
                    </w:rPr>
                    <w:t>000t/a</w:t>
                  </w:r>
                </w:p>
              </w:tc>
              <w:tc>
                <w:tcPr>
                  <w:tcW w:w="996" w:type="pct"/>
                  <w:tcBorders>
                    <w:left w:val="single" w:color="auto" w:sz="4" w:space="0"/>
                    <w:right w:val="single" w:color="auto" w:sz="4" w:space="0"/>
                  </w:tcBorders>
                  <w:noWrap w:val="0"/>
                  <w:vAlign w:val="center"/>
                </w:tcPr>
                <w:p w14:paraId="7F06C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192</w:t>
                  </w:r>
                  <w:r>
                    <w:rPr>
                      <w:rFonts w:hint="default" w:ascii="Times New Roman" w:hAnsi="Times New Roman" w:eastAsia="宋体" w:cs="Times New Roman"/>
                      <w:color w:val="auto"/>
                      <w:sz w:val="21"/>
                      <w:szCs w:val="21"/>
                    </w:rPr>
                    <w:t>t/h</w:t>
                  </w:r>
                </w:p>
              </w:tc>
              <w:tc>
                <w:tcPr>
                  <w:tcW w:w="957" w:type="pct"/>
                  <w:vMerge w:val="continue"/>
                  <w:tcBorders>
                    <w:left w:val="single" w:color="auto" w:sz="4" w:space="0"/>
                    <w:right w:val="single" w:color="auto" w:sz="4" w:space="0"/>
                  </w:tcBorders>
                  <w:noWrap w:val="0"/>
                  <w:vAlign w:val="center"/>
                </w:tcPr>
                <w:p w14:paraId="0546C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785" w:type="pct"/>
                  <w:tcBorders>
                    <w:left w:val="single" w:color="auto" w:sz="4" w:space="0"/>
                    <w:right w:val="single" w:color="auto" w:sz="4" w:space="0"/>
                  </w:tcBorders>
                  <w:noWrap w:val="0"/>
                  <w:vAlign w:val="center"/>
                </w:tcPr>
                <w:p w14:paraId="6C719B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5618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tcBorders>
                    <w:top w:val="single" w:color="auto" w:sz="4" w:space="0"/>
                    <w:left w:val="single" w:color="auto" w:sz="4" w:space="0"/>
                    <w:bottom w:val="single" w:color="auto" w:sz="4" w:space="0"/>
                    <w:right w:val="single" w:color="auto" w:sz="4" w:space="0"/>
                  </w:tcBorders>
                  <w:noWrap w:val="0"/>
                  <w:vAlign w:val="center"/>
                </w:tcPr>
                <w:p w14:paraId="43890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085" w:type="pct"/>
                  <w:tcBorders>
                    <w:top w:val="single" w:color="auto" w:sz="4" w:space="0"/>
                    <w:left w:val="single" w:color="auto" w:sz="4" w:space="0"/>
                    <w:bottom w:val="single" w:color="auto" w:sz="4" w:space="0"/>
                    <w:right w:val="single" w:color="auto" w:sz="4" w:space="0"/>
                  </w:tcBorders>
                  <w:noWrap w:val="0"/>
                  <w:vAlign w:val="center"/>
                </w:tcPr>
                <w:p w14:paraId="20E4D6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沥青混凝土</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5AFDEB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480</w:t>
                  </w:r>
                  <w:r>
                    <w:rPr>
                      <w:rFonts w:hint="default" w:ascii="Times New Roman" w:hAnsi="Times New Roman" w:eastAsia="宋体" w:cs="Times New Roman"/>
                      <w:color w:val="auto"/>
                      <w:sz w:val="21"/>
                      <w:szCs w:val="21"/>
                    </w:rPr>
                    <w:t>000t/a</w:t>
                  </w:r>
                </w:p>
              </w:tc>
              <w:tc>
                <w:tcPr>
                  <w:tcW w:w="996" w:type="pct"/>
                  <w:tcBorders>
                    <w:left w:val="single" w:color="auto" w:sz="4" w:space="0"/>
                    <w:bottom w:val="single" w:color="auto" w:sz="4" w:space="0"/>
                    <w:right w:val="single" w:color="auto" w:sz="4" w:space="0"/>
                  </w:tcBorders>
                  <w:noWrap w:val="0"/>
                  <w:vAlign w:val="center"/>
                </w:tcPr>
                <w:p w14:paraId="0342F3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240</w:t>
                  </w:r>
                  <w:r>
                    <w:rPr>
                      <w:rFonts w:hint="default" w:ascii="Times New Roman" w:hAnsi="Times New Roman" w:eastAsia="宋体" w:cs="Times New Roman"/>
                      <w:color w:val="auto"/>
                      <w:sz w:val="21"/>
                      <w:szCs w:val="21"/>
                    </w:rPr>
                    <w:t>t/h</w:t>
                  </w:r>
                </w:p>
              </w:tc>
              <w:tc>
                <w:tcPr>
                  <w:tcW w:w="957" w:type="pct"/>
                  <w:vMerge w:val="continue"/>
                  <w:tcBorders>
                    <w:left w:val="single" w:color="auto" w:sz="4" w:space="0"/>
                    <w:bottom w:val="single" w:color="auto" w:sz="4" w:space="0"/>
                    <w:right w:val="single" w:color="auto" w:sz="4" w:space="0"/>
                  </w:tcBorders>
                  <w:noWrap w:val="0"/>
                  <w:vAlign w:val="center"/>
                </w:tcPr>
                <w:p w14:paraId="5E4BF0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p>
              </w:tc>
              <w:tc>
                <w:tcPr>
                  <w:tcW w:w="785" w:type="pct"/>
                  <w:tcBorders>
                    <w:left w:val="single" w:color="auto" w:sz="4" w:space="0"/>
                    <w:bottom w:val="single" w:color="auto" w:sz="4" w:space="0"/>
                    <w:right w:val="single" w:color="auto" w:sz="4" w:space="0"/>
                  </w:tcBorders>
                  <w:noWrap w:val="0"/>
                  <w:vAlign w:val="center"/>
                </w:tcPr>
                <w:p w14:paraId="129A8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合计</w:t>
                  </w:r>
                </w:p>
              </w:tc>
            </w:tr>
          </w:tbl>
          <w:p w14:paraId="6D03BC34">
            <w:pPr>
              <w:pStyle w:val="14"/>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bCs/>
                <w:color w:val="auto"/>
                <w:sz w:val="24"/>
                <w:lang w:bidi="ar"/>
              </w:rPr>
              <w:t>沥青混凝土的</w:t>
            </w:r>
            <w:r>
              <w:rPr>
                <w:rFonts w:hint="default" w:ascii="Times New Roman" w:hAnsi="Times New Roman" w:eastAsia="宋体" w:cs="Times New Roman"/>
                <w:color w:val="auto"/>
                <w:sz w:val="24"/>
              </w:rPr>
              <w:t>产品质量执行《城镇道路工程施工与质量验收规范》（CJJ1-2008）和《公路沥青路面施工技术规范》（JTG F40-2004）。主要质量指标见下表。</w:t>
            </w:r>
          </w:p>
          <w:p w14:paraId="45070B18">
            <w:pPr>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沥青混凝土产品质量指标</w:t>
            </w:r>
          </w:p>
          <w:tbl>
            <w:tblPr>
              <w:tblStyle w:val="27"/>
              <w:tblW w:w="7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21"/>
              <w:gridCol w:w="1104"/>
              <w:gridCol w:w="1051"/>
              <w:gridCol w:w="899"/>
              <w:gridCol w:w="914"/>
              <w:gridCol w:w="2429"/>
            </w:tblGrid>
            <w:tr w14:paraId="30E0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47" w:type="pct"/>
                  <w:noWrap w:val="0"/>
                  <w:vAlign w:val="center"/>
                </w:tcPr>
                <w:p w14:paraId="31E604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质量指标</w:t>
                  </w:r>
                </w:p>
              </w:tc>
              <w:tc>
                <w:tcPr>
                  <w:tcW w:w="461" w:type="pct"/>
                  <w:noWrap w:val="0"/>
                  <w:vAlign w:val="center"/>
                </w:tcPr>
                <w:p w14:paraId="082244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稳定度</w:t>
                  </w:r>
                </w:p>
              </w:tc>
              <w:tc>
                <w:tcPr>
                  <w:tcW w:w="706" w:type="pct"/>
                  <w:noWrap w:val="0"/>
                  <w:vAlign w:val="center"/>
                </w:tcPr>
                <w:p w14:paraId="5D6564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流态</w:t>
                  </w:r>
                </w:p>
              </w:tc>
              <w:tc>
                <w:tcPr>
                  <w:tcW w:w="672" w:type="pct"/>
                  <w:noWrap w:val="0"/>
                  <w:vAlign w:val="center"/>
                </w:tcPr>
                <w:p w14:paraId="48A391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饱和度</w:t>
                  </w:r>
                </w:p>
              </w:tc>
              <w:tc>
                <w:tcPr>
                  <w:tcW w:w="575" w:type="pct"/>
                  <w:noWrap w:val="0"/>
                  <w:vAlign w:val="center"/>
                </w:tcPr>
                <w:p w14:paraId="423BEA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空隙率</w:t>
                  </w:r>
                </w:p>
              </w:tc>
              <w:tc>
                <w:tcPr>
                  <w:tcW w:w="584" w:type="pct"/>
                  <w:noWrap w:val="0"/>
                  <w:vAlign w:val="center"/>
                </w:tcPr>
                <w:p w14:paraId="234C8B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残留稳定度</w:t>
                  </w:r>
                </w:p>
              </w:tc>
              <w:tc>
                <w:tcPr>
                  <w:tcW w:w="1553" w:type="pct"/>
                  <w:noWrap w:val="0"/>
                  <w:vAlign w:val="center"/>
                </w:tcPr>
                <w:p w14:paraId="23A15F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外观</w:t>
                  </w:r>
                </w:p>
              </w:tc>
            </w:tr>
            <w:tr w14:paraId="23CE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447" w:type="pct"/>
                  <w:noWrap w:val="0"/>
                  <w:vAlign w:val="center"/>
                </w:tcPr>
                <w:p w14:paraId="3AD34D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技术要求</w:t>
                  </w:r>
                </w:p>
              </w:tc>
              <w:tc>
                <w:tcPr>
                  <w:tcW w:w="461" w:type="pct"/>
                  <w:noWrap w:val="0"/>
                  <w:vAlign w:val="center"/>
                </w:tcPr>
                <w:p w14:paraId="1D0922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&gt;6kN</w:t>
                  </w:r>
                </w:p>
              </w:tc>
              <w:tc>
                <w:tcPr>
                  <w:tcW w:w="706" w:type="pct"/>
                  <w:noWrap w:val="0"/>
                  <w:vAlign w:val="center"/>
                </w:tcPr>
                <w:p w14:paraId="6E6F09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20~50</w:t>
                  </w:r>
                </w:p>
                <w:p w14:paraId="11C743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(0.1mm)</w:t>
                  </w:r>
                </w:p>
              </w:tc>
              <w:tc>
                <w:tcPr>
                  <w:tcW w:w="672" w:type="pct"/>
                  <w:noWrap w:val="0"/>
                  <w:vAlign w:val="center"/>
                </w:tcPr>
                <w:p w14:paraId="0E97E7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75~85%</w:t>
                  </w:r>
                </w:p>
              </w:tc>
              <w:tc>
                <w:tcPr>
                  <w:tcW w:w="575" w:type="pct"/>
                  <w:noWrap w:val="0"/>
                  <w:vAlign w:val="center"/>
                </w:tcPr>
                <w:p w14:paraId="6120A3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3~4.5%</w:t>
                  </w:r>
                </w:p>
              </w:tc>
              <w:tc>
                <w:tcPr>
                  <w:tcW w:w="584" w:type="pct"/>
                  <w:noWrap w:val="0"/>
                  <w:vAlign w:val="center"/>
                </w:tcPr>
                <w:p w14:paraId="540D49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&gt;85%</w:t>
                  </w:r>
                </w:p>
              </w:tc>
              <w:tc>
                <w:tcPr>
                  <w:tcW w:w="1553" w:type="pct"/>
                  <w:noWrap w:val="0"/>
                  <w:vAlign w:val="center"/>
                </w:tcPr>
                <w:p w14:paraId="0CA0F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色泽均匀，稀稠一致，无花白料、无黄烟及其它异常现象</w:t>
                  </w:r>
                </w:p>
              </w:tc>
            </w:tr>
          </w:tbl>
          <w:p w14:paraId="2FE502CC">
            <w:pPr>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6</w:t>
            </w:r>
            <w:r>
              <w:rPr>
                <w:rFonts w:hint="eastAsia"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公用工程</w:t>
            </w:r>
          </w:p>
          <w:p w14:paraId="3CB58007">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（1）供水</w:t>
            </w:r>
          </w:p>
          <w:p w14:paraId="5D04D176">
            <w:pPr>
              <w:spacing w:line="360" w:lineRule="auto"/>
              <w:ind w:firstLine="480" w:firstLineChars="200"/>
              <w:rPr>
                <w:rFonts w:hint="default" w:ascii="Times New Roman" w:hAnsi="Times New Roman" w:eastAsia="宋体" w:cs="Times New Roman"/>
                <w:color w:val="auto"/>
                <w:sz w:val="24"/>
                <w:lang w:bidi="ar"/>
              </w:rPr>
            </w:pPr>
            <w:r>
              <w:rPr>
                <w:rFonts w:hint="default" w:ascii="Times New Roman" w:hAnsi="Times New Roman" w:cs="Times New Roman"/>
                <w:color w:val="auto"/>
                <w:sz w:val="24"/>
                <w:lang w:bidi="ar"/>
              </w:rPr>
              <w:t>生产用水和生活用水</w:t>
            </w:r>
            <w:r>
              <w:rPr>
                <w:rFonts w:hint="eastAsia" w:ascii="Times New Roman" w:hAnsi="Times New Roman" w:eastAsia="宋体" w:cs="Times New Roman"/>
                <w:color w:val="auto"/>
                <w:sz w:val="24"/>
                <w:lang w:val="en-US" w:eastAsia="zh-CN" w:bidi="ar"/>
              </w:rPr>
              <w:t>从</w:t>
            </w:r>
            <w:r>
              <w:rPr>
                <w:rFonts w:hint="default" w:ascii="Times New Roman" w:hAnsi="Times New Roman" w:eastAsia="宋体" w:cs="Times New Roman"/>
                <w:color w:val="auto"/>
                <w:sz w:val="24"/>
                <w:lang w:bidi="ar"/>
              </w:rPr>
              <w:t>项目区自建深井引入引入，水源稳定，供水水源有保障。</w:t>
            </w:r>
          </w:p>
          <w:p w14:paraId="541FE95B">
            <w:pPr>
              <w:numPr>
                <w:ilvl w:val="0"/>
                <w:numId w:val="4"/>
              </w:num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排水</w:t>
            </w:r>
          </w:p>
          <w:p w14:paraId="5358C643">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本项目周边暂未铺设市政排水管网，进场道路两侧布置排水沟。排水系统采用雨污分流制。雨水沿着厂区雨水沟排出厂外。</w:t>
            </w:r>
          </w:p>
          <w:p w14:paraId="53C58C4E">
            <w:pPr>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项目</w:t>
            </w:r>
            <w:r>
              <w:rPr>
                <w:rFonts w:hint="default" w:ascii="Times New Roman" w:hAnsi="Times New Roman" w:eastAsia="宋体" w:cs="Times New Roman"/>
                <w:color w:val="auto"/>
                <w:sz w:val="24"/>
              </w:rPr>
              <w:t>初期雨水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车辆及设备冲洗废水、场地冲洗废水</w:t>
            </w:r>
            <w:r>
              <w:rPr>
                <w:rFonts w:hint="default" w:ascii="Times New Roman" w:hAnsi="Times New Roman" w:eastAsia="宋体" w:cs="Times New Roman"/>
                <w:color w:val="auto"/>
                <w:sz w:val="24"/>
              </w:rPr>
              <w:t>排入</w:t>
            </w:r>
            <w:r>
              <w:rPr>
                <w:rFonts w:hint="default" w:ascii="Times New Roman" w:hAnsi="Times New Roman" w:cs="Times New Roman"/>
                <w:color w:val="auto"/>
                <w:sz w:val="24"/>
              </w:rPr>
              <w:t>三级隔油沉淀池处理用</w:t>
            </w:r>
            <w:r>
              <w:rPr>
                <w:rFonts w:hint="default" w:ascii="Times New Roman" w:hAnsi="Times New Roman" w:eastAsia="宋体" w:cs="Times New Roman"/>
                <w:color w:val="auto"/>
                <w:sz w:val="24"/>
                <w:lang w:val="en-US" w:eastAsia="zh-CN"/>
              </w:rPr>
              <w:t>于</w:t>
            </w:r>
            <w:r>
              <w:rPr>
                <w:rFonts w:hint="eastAsia" w:ascii="Times New Roman" w:hAnsi="Times New Roman" w:eastAsia="宋体" w:cs="Times New Roman"/>
                <w:color w:val="auto"/>
                <w:sz w:val="24"/>
                <w:lang w:val="en-US" w:eastAsia="zh-CN"/>
              </w:rPr>
              <w:t>厂区</w:t>
            </w:r>
            <w:r>
              <w:rPr>
                <w:rFonts w:hint="default" w:ascii="Times New Roman" w:hAnsi="Times New Roman" w:eastAsia="宋体" w:cs="Times New Roman"/>
                <w:color w:val="auto"/>
                <w:sz w:val="24"/>
                <w:lang w:val="en-US" w:eastAsia="zh-CN"/>
              </w:rPr>
              <w:t>搅拌工作区地面冲洗</w:t>
            </w:r>
            <w:r>
              <w:rPr>
                <w:rFonts w:hint="eastAsia" w:ascii="Times New Roman" w:hAnsi="Times New Roman" w:eastAsia="宋体" w:cs="Times New Roman"/>
                <w:color w:val="auto"/>
                <w:sz w:val="24"/>
                <w:lang w:val="en-US" w:eastAsia="zh-CN"/>
              </w:rPr>
              <w:t>及洒水降尘</w:t>
            </w:r>
            <w:r>
              <w:rPr>
                <w:rFonts w:hint="default" w:ascii="Times New Roman" w:hAnsi="Times New Roman" w:eastAsia="宋体" w:cs="Times New Roman"/>
                <w:color w:val="auto"/>
                <w:sz w:val="24"/>
                <w:lang w:val="en-US" w:eastAsia="zh-CN"/>
              </w:rPr>
              <w:t>；项</w:t>
            </w:r>
            <w:r>
              <w:rPr>
                <w:rFonts w:hint="default" w:ascii="Times New Roman" w:hAnsi="Times New Roman" w:cs="Times New Roman"/>
                <w:color w:val="auto"/>
                <w:sz w:val="24"/>
              </w:rPr>
              <w:t>目生活区产生的食堂废水先经</w:t>
            </w:r>
            <w:r>
              <w:rPr>
                <w:rFonts w:hint="eastAsia" w:cs="Times New Roman"/>
                <w:color w:val="auto"/>
                <w:sz w:val="24"/>
                <w:lang w:eastAsia="zh-CN"/>
              </w:rPr>
              <w:t>隔油池</w:t>
            </w:r>
            <w:r>
              <w:rPr>
                <w:rFonts w:hint="default" w:ascii="Times New Roman" w:hAnsi="Times New Roman" w:cs="Times New Roman"/>
                <w:color w:val="auto"/>
                <w:sz w:val="24"/>
              </w:rPr>
              <w:t>预处理后同其他生活污水一起排入化粪池进行处理，再排入自建污水处理站处理，</w:t>
            </w:r>
            <w:r>
              <w:rPr>
                <w:rFonts w:hint="default" w:ascii="Times New Roman" w:hAnsi="Times New Roman" w:cs="Times New Roman"/>
                <w:color w:val="auto"/>
                <w:kern w:val="0"/>
                <w:sz w:val="24"/>
              </w:rPr>
              <w:t>采用“厌氧+接触氧化+MBR生物膜反应器+消毒</w:t>
            </w:r>
            <w:r>
              <w:rPr>
                <w:rFonts w:hint="default" w:ascii="Times New Roman" w:hAnsi="Times New Roman" w:cs="Times New Roman"/>
                <w:color w:val="auto"/>
                <w:sz w:val="24"/>
              </w:rPr>
              <w:t>”处理工艺。</w:t>
            </w:r>
            <w:r>
              <w:rPr>
                <w:rFonts w:hint="default" w:ascii="Times New Roman" w:hAnsi="Times New Roman" w:cs="Times New Roman"/>
                <w:color w:val="auto"/>
                <w:sz w:val="24"/>
                <w:szCs w:val="24"/>
              </w:rPr>
              <w:t>考虑到工业园区污水管网暂未覆盖项目区域，项目近期达《城市污水再生利用 城市杂用水质》（GB/T18920-2002）中“</w:t>
            </w:r>
            <w:r>
              <w:rPr>
                <w:rFonts w:hint="eastAsia" w:ascii="Times New Roman" w:hAnsi="Times New Roman" w:cs="Times New Roman"/>
                <w:color w:val="auto"/>
                <w:sz w:val="24"/>
                <w:szCs w:val="24"/>
                <w:lang w:val="en-US" w:eastAsia="zh-CN"/>
              </w:rPr>
              <w:t>城市绿化</w:t>
            </w:r>
            <w:r>
              <w:rPr>
                <w:rFonts w:hint="default" w:ascii="Times New Roman" w:hAnsi="Times New Roman" w:cs="Times New Roman"/>
                <w:color w:val="auto"/>
                <w:sz w:val="24"/>
                <w:szCs w:val="24"/>
              </w:rPr>
              <w:t>标准”</w:t>
            </w:r>
            <w:r>
              <w:rPr>
                <w:rFonts w:hint="eastAsia" w:ascii="Times New Roman" w:hAnsi="Times New Roman" w:cs="Times New Roman"/>
                <w:color w:val="auto"/>
                <w:sz w:val="24"/>
                <w:szCs w:val="24"/>
                <w:lang w:val="en-US" w:eastAsia="zh-CN"/>
              </w:rPr>
              <w:t>用于绿化</w:t>
            </w:r>
            <w:r>
              <w:rPr>
                <w:rFonts w:hint="eastAsia" w:ascii="Times New Roman" w:hAnsi="Times New Roman" w:cs="Times New Roman"/>
                <w:color w:val="auto"/>
                <w:sz w:val="24"/>
                <w:szCs w:val="24"/>
                <w:lang w:eastAsia="zh-CN"/>
              </w:rPr>
              <w:t>，不外排；</w:t>
            </w:r>
            <w:r>
              <w:rPr>
                <w:rFonts w:hint="default" w:ascii="Times New Roman" w:hAnsi="Times New Roman" w:cs="Times New Roman"/>
                <w:color w:val="auto"/>
                <w:sz w:val="24"/>
                <w:szCs w:val="24"/>
              </w:rPr>
              <w:t>远期在污水管网覆盖项目区域后，达</w:t>
            </w:r>
            <w:r>
              <w:rPr>
                <w:rFonts w:hint="default" w:ascii="Times New Roman" w:hAnsi="Times New Roman" w:cs="Times New Roman"/>
                <w:bCs/>
                <w:color w:val="auto"/>
                <w:sz w:val="24"/>
                <w:szCs w:val="24"/>
              </w:rPr>
              <w:t>《污水排入城镇下水道水质标准》（GB/T31962-2015）中的B级标准</w:t>
            </w:r>
            <w:r>
              <w:rPr>
                <w:rFonts w:hint="default" w:ascii="Times New Roman" w:hAnsi="Times New Roman" w:cs="Times New Roman"/>
                <w:color w:val="auto"/>
                <w:sz w:val="24"/>
                <w:szCs w:val="24"/>
              </w:rPr>
              <w:t>后排入工业园区污水管网，进入</w:t>
            </w:r>
            <w:r>
              <w:rPr>
                <w:rFonts w:hint="default" w:ascii="Times New Roman" w:hAnsi="Times New Roman" w:eastAsia="宋体" w:cs="Times New Roman"/>
                <w:color w:val="auto"/>
                <w:sz w:val="24"/>
                <w:szCs w:val="24"/>
              </w:rPr>
              <w:t>帕底工业</w:t>
            </w:r>
            <w:r>
              <w:rPr>
                <w:rFonts w:hint="default" w:ascii="Times New Roman" w:hAnsi="Times New Roman" w:cs="Times New Roman"/>
                <w:color w:val="auto"/>
                <w:sz w:val="24"/>
                <w:szCs w:val="24"/>
              </w:rPr>
              <w:t>园区污水处理厂处理。</w:t>
            </w:r>
          </w:p>
          <w:p w14:paraId="0BCE0022">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（3）供电</w:t>
            </w:r>
          </w:p>
          <w:p w14:paraId="6F6F009B">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项目区电力由当地电力公司电网接入，在项目区设有1个配电室，布置于厂区</w:t>
            </w:r>
            <w:r>
              <w:rPr>
                <w:rFonts w:hint="eastAsia" w:ascii="Times New Roman" w:hAnsi="Times New Roman" w:cs="Times New Roman"/>
                <w:color w:val="auto"/>
                <w:sz w:val="24"/>
                <w:lang w:val="en-US" w:eastAsia="zh-CN" w:bidi="ar"/>
              </w:rPr>
              <w:t>西</w:t>
            </w:r>
            <w:r>
              <w:rPr>
                <w:rFonts w:hint="default" w:ascii="Times New Roman" w:hAnsi="Times New Roman" w:cs="Times New Roman"/>
                <w:color w:val="auto"/>
                <w:sz w:val="24"/>
                <w:lang w:bidi="ar"/>
              </w:rPr>
              <w:t>侧。</w:t>
            </w:r>
          </w:p>
          <w:p w14:paraId="446D7DAC">
            <w:pPr>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7</w:t>
            </w:r>
            <w:r>
              <w:rPr>
                <w:rFonts w:hint="eastAsia"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总平面布置</w:t>
            </w:r>
          </w:p>
          <w:p w14:paraId="1891145A">
            <w:pPr>
              <w:pBdr>
                <w:top w:val="none" w:color="auto" w:sz="0" w:space="1"/>
                <w:left w:val="none" w:color="auto" w:sz="0" w:space="4"/>
                <w:bottom w:val="none" w:color="auto" w:sz="0" w:space="1"/>
                <w:right w:val="none" w:color="auto" w:sz="0" w:space="4"/>
              </w:pBdr>
              <w:spacing w:line="360" w:lineRule="auto"/>
              <w:ind w:firstLine="480" w:firstLineChars="200"/>
              <w:rPr>
                <w:rFonts w:hint="default" w:ascii="Times New Roman" w:hAnsi="Times New Roman" w:cs="Times New Roman"/>
                <w:bCs/>
                <w:color w:val="auto"/>
                <w:sz w:val="24"/>
                <w:lang w:bidi="ar"/>
              </w:rPr>
            </w:pPr>
            <w:r>
              <w:rPr>
                <w:rFonts w:hint="default" w:ascii="Times New Roman" w:hAnsi="Times New Roman" w:cs="Times New Roman"/>
                <w:color w:val="auto"/>
                <w:sz w:val="24"/>
              </w:rPr>
              <w:t>本项目生产区和生活区进行功能分区布置，互不干扰。</w:t>
            </w:r>
            <w:r>
              <w:rPr>
                <w:rFonts w:hint="eastAsia" w:cs="Times New Roman"/>
                <w:bCs/>
                <w:color w:val="auto"/>
                <w:sz w:val="24"/>
                <w:lang w:val="en-US" w:eastAsia="zh-CN" w:bidi="ar"/>
              </w:rPr>
              <w:t>东</w:t>
            </w:r>
            <w:r>
              <w:rPr>
                <w:rFonts w:hint="default" w:ascii="Times New Roman" w:hAnsi="Times New Roman" w:cs="Times New Roman"/>
                <w:bCs/>
                <w:color w:val="auto"/>
                <w:sz w:val="24"/>
                <w:lang w:bidi="ar"/>
              </w:rPr>
              <w:t>面设置</w:t>
            </w:r>
            <w:r>
              <w:rPr>
                <w:rFonts w:hint="eastAsia" w:cs="Times New Roman"/>
                <w:bCs/>
                <w:color w:val="auto"/>
                <w:sz w:val="24"/>
                <w:lang w:val="en-US" w:eastAsia="zh-CN" w:bidi="ar"/>
              </w:rPr>
              <w:t>2处</w:t>
            </w:r>
            <w:r>
              <w:rPr>
                <w:rFonts w:hint="default" w:ascii="Times New Roman" w:hAnsi="Times New Roman" w:cs="Times New Roman"/>
                <w:bCs/>
                <w:color w:val="auto"/>
                <w:sz w:val="24"/>
                <w:lang w:bidi="ar"/>
              </w:rPr>
              <w:t>入场道路，车辆进出</w:t>
            </w:r>
            <w:r>
              <w:rPr>
                <w:rFonts w:hint="eastAsia" w:ascii="Times New Roman" w:hAnsi="Times New Roman" w:cs="Times New Roman"/>
                <w:bCs/>
                <w:color w:val="auto"/>
                <w:sz w:val="24"/>
                <w:lang w:val="en-US" w:eastAsia="zh-CN" w:bidi="ar"/>
              </w:rPr>
              <w:t>入</w:t>
            </w:r>
            <w:r>
              <w:rPr>
                <w:rFonts w:hint="default" w:ascii="Times New Roman" w:hAnsi="Times New Roman" w:cs="Times New Roman"/>
                <w:bCs/>
                <w:color w:val="auto"/>
                <w:sz w:val="24"/>
                <w:lang w:bidi="ar"/>
              </w:rPr>
              <w:t>较方便；北侧为办公生活区，中部布置生产区</w:t>
            </w:r>
            <w:r>
              <w:rPr>
                <w:rFonts w:hint="eastAsia" w:ascii="Times New Roman" w:hAnsi="Times New Roman" w:cs="Times New Roman"/>
                <w:bCs/>
                <w:color w:val="auto"/>
                <w:sz w:val="24"/>
                <w:lang w:eastAsia="zh-CN" w:bidi="ar"/>
              </w:rPr>
              <w:t>，</w:t>
            </w:r>
            <w:r>
              <w:rPr>
                <w:rFonts w:hint="eastAsia" w:ascii="Times New Roman" w:hAnsi="Times New Roman" w:cs="Times New Roman"/>
                <w:bCs/>
                <w:color w:val="auto"/>
                <w:sz w:val="24"/>
                <w:lang w:val="en-US" w:eastAsia="zh-CN" w:bidi="ar"/>
              </w:rPr>
              <w:t>东南</w:t>
            </w:r>
            <w:r>
              <w:rPr>
                <w:rFonts w:hint="default" w:ascii="Times New Roman" w:hAnsi="Times New Roman" w:cs="Times New Roman"/>
                <w:bCs/>
                <w:color w:val="auto"/>
                <w:sz w:val="24"/>
                <w:lang w:bidi="ar"/>
              </w:rPr>
              <w:t>侧</w:t>
            </w:r>
            <w:r>
              <w:rPr>
                <w:rFonts w:hint="eastAsia" w:ascii="Times New Roman" w:hAnsi="Times New Roman" w:cs="Times New Roman"/>
                <w:bCs/>
                <w:color w:val="auto"/>
                <w:sz w:val="24"/>
                <w:lang w:val="en-US" w:eastAsia="zh-CN" w:bidi="ar"/>
              </w:rPr>
              <w:t>布置砂石堆料仓</w:t>
            </w:r>
            <w:r>
              <w:rPr>
                <w:rFonts w:hint="default" w:ascii="Times New Roman" w:hAnsi="Times New Roman" w:cs="Times New Roman"/>
                <w:bCs/>
                <w:color w:val="auto"/>
                <w:sz w:val="24"/>
                <w:lang w:bidi="ar"/>
              </w:rPr>
              <w:t>。</w:t>
            </w:r>
          </w:p>
          <w:p w14:paraId="03C580A1">
            <w:pPr>
              <w:pBdr>
                <w:top w:val="none" w:color="auto" w:sz="0" w:space="1"/>
                <w:left w:val="none" w:color="auto" w:sz="0" w:space="4"/>
                <w:bottom w:val="none" w:color="auto" w:sz="0" w:space="1"/>
                <w:right w:val="none" w:color="auto" w:sz="0" w:space="4"/>
              </w:pBdr>
              <w:spacing w:line="360" w:lineRule="auto"/>
              <w:ind w:firstLine="480" w:firstLineChars="200"/>
              <w:rPr>
                <w:rFonts w:hint="eastAsia" w:ascii="Times New Roman" w:hAnsi="Times New Roman" w:cs="Times New Roman"/>
                <w:bCs/>
                <w:color w:val="auto"/>
                <w:sz w:val="24"/>
                <w:lang w:val="en-US" w:eastAsia="zh-CN" w:bidi="ar"/>
              </w:rPr>
            </w:pPr>
            <w:r>
              <w:rPr>
                <w:rFonts w:hint="default" w:ascii="Times New Roman" w:hAnsi="Times New Roman" w:cs="Times New Roman"/>
                <w:bCs/>
                <w:color w:val="auto"/>
                <w:sz w:val="24"/>
                <w:lang w:bidi="ar"/>
              </w:rPr>
              <w:t>办公</w:t>
            </w:r>
            <w:r>
              <w:rPr>
                <w:rFonts w:hint="eastAsia" w:ascii="Times New Roman" w:hAnsi="Times New Roman" w:cs="Times New Roman"/>
                <w:bCs/>
                <w:color w:val="auto"/>
                <w:sz w:val="24"/>
                <w:lang w:val="en-US" w:eastAsia="zh-CN" w:bidi="ar"/>
              </w:rPr>
              <w:t>生活区</w:t>
            </w:r>
            <w:r>
              <w:rPr>
                <w:rFonts w:hint="default" w:ascii="Times New Roman" w:hAnsi="Times New Roman" w:cs="Times New Roman"/>
                <w:bCs/>
                <w:color w:val="auto"/>
                <w:sz w:val="24"/>
                <w:lang w:bidi="ar"/>
              </w:rPr>
              <w:t>包括</w:t>
            </w:r>
            <w:r>
              <w:rPr>
                <w:rFonts w:hint="eastAsia" w:cs="Times New Roman"/>
                <w:bCs/>
                <w:color w:val="auto"/>
                <w:sz w:val="24"/>
                <w:lang w:val="en-US" w:eastAsia="zh-CN" w:bidi="ar"/>
              </w:rPr>
              <w:t>办公楼、</w:t>
            </w:r>
            <w:r>
              <w:rPr>
                <w:rFonts w:hint="default" w:ascii="Times New Roman" w:hAnsi="Times New Roman" w:cs="Times New Roman"/>
                <w:bCs/>
                <w:color w:val="auto"/>
                <w:sz w:val="24"/>
                <w:lang w:bidi="ar"/>
              </w:rPr>
              <w:t>职工宿舍</w:t>
            </w:r>
            <w:r>
              <w:rPr>
                <w:rFonts w:hint="eastAsia" w:cs="Times New Roman"/>
                <w:bCs/>
                <w:color w:val="auto"/>
                <w:sz w:val="24"/>
                <w:lang w:val="en-US" w:eastAsia="zh-CN" w:bidi="ar"/>
              </w:rPr>
              <w:t>楼</w:t>
            </w:r>
            <w:r>
              <w:rPr>
                <w:rFonts w:hint="default" w:ascii="Times New Roman" w:hAnsi="Times New Roman" w:cs="Times New Roman"/>
                <w:bCs/>
                <w:color w:val="auto"/>
                <w:sz w:val="24"/>
                <w:lang w:bidi="ar"/>
              </w:rPr>
              <w:t>、食堂、卫生间等。生产区从北由南依次布置</w:t>
            </w:r>
            <w:r>
              <w:rPr>
                <w:rFonts w:hint="eastAsia" w:cs="Times New Roman"/>
                <w:bCs/>
                <w:color w:val="auto"/>
                <w:sz w:val="24"/>
                <w:lang w:val="en-US" w:eastAsia="zh-CN" w:bidi="ar"/>
              </w:rPr>
              <w:t>撬装加油站</w:t>
            </w:r>
            <w:r>
              <w:rPr>
                <w:rFonts w:hint="eastAsia" w:ascii="Times New Roman" w:hAnsi="Times New Roman" w:cs="Times New Roman"/>
                <w:bCs/>
                <w:color w:val="auto"/>
                <w:sz w:val="24"/>
                <w:lang w:eastAsia="zh-CN" w:bidi="ar"/>
              </w:rPr>
              <w:t>、</w:t>
            </w:r>
            <w:r>
              <w:rPr>
                <w:rFonts w:hint="eastAsia" w:cs="Times New Roman"/>
                <w:bCs/>
                <w:color w:val="auto"/>
                <w:sz w:val="24"/>
                <w:lang w:val="en-US" w:eastAsia="zh-CN" w:bidi="ar"/>
              </w:rPr>
              <w:t>1#、2#沥青储罐区、2处拌合楼、2处</w:t>
            </w:r>
            <w:r>
              <w:rPr>
                <w:rFonts w:hint="eastAsia" w:ascii="Times New Roman" w:hAnsi="Times New Roman" w:cs="Times New Roman"/>
                <w:bCs/>
                <w:color w:val="auto"/>
                <w:sz w:val="24"/>
                <w:lang w:val="en-US" w:eastAsia="zh-CN" w:bidi="ar"/>
              </w:rPr>
              <w:t>骨料输送系统、2处搅拌系统、</w:t>
            </w:r>
            <w:r>
              <w:rPr>
                <w:rFonts w:hint="eastAsia" w:cs="Times New Roman"/>
                <w:bCs/>
                <w:color w:val="auto"/>
                <w:sz w:val="24"/>
                <w:lang w:val="en-US" w:eastAsia="zh-CN" w:bidi="ar"/>
              </w:rPr>
              <w:t>3#沥青储罐区、</w:t>
            </w:r>
            <w:r>
              <w:rPr>
                <w:rFonts w:hint="eastAsia" w:ascii="Times New Roman" w:hAnsi="Times New Roman" w:cs="Times New Roman"/>
                <w:bCs/>
                <w:color w:val="auto"/>
                <w:sz w:val="24"/>
                <w:lang w:val="en-US" w:eastAsia="zh-CN" w:bidi="ar"/>
              </w:rPr>
              <w:t>砂石堆料仓。</w:t>
            </w:r>
          </w:p>
          <w:p w14:paraId="17105B3C">
            <w:pPr>
              <w:pBdr>
                <w:top w:val="none" w:color="auto" w:sz="0" w:space="1"/>
                <w:left w:val="none" w:color="auto" w:sz="0" w:space="4"/>
                <w:bottom w:val="none" w:color="auto" w:sz="0" w:space="1"/>
                <w:right w:val="none" w:color="auto" w:sz="0" w:space="4"/>
              </w:pBdr>
              <w:spacing w:line="360" w:lineRule="auto"/>
              <w:ind w:firstLine="480" w:firstLineChars="2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化粪池</w:t>
            </w:r>
            <w:r>
              <w:rPr>
                <w:rFonts w:hint="eastAsia" w:cs="Times New Roman"/>
                <w:bCs/>
                <w:color w:val="auto"/>
                <w:sz w:val="24"/>
                <w:lang w:val="en-US" w:eastAsia="zh-CN" w:bidi="ar"/>
              </w:rPr>
              <w:t>位于宿舍楼西侧，污水处理站位于宿舍楼南侧，应急事故池</w:t>
            </w:r>
            <w:r>
              <w:rPr>
                <w:rFonts w:hint="default" w:ascii="Times New Roman" w:hAnsi="Times New Roman" w:cs="Times New Roman"/>
                <w:bCs/>
                <w:color w:val="auto"/>
                <w:sz w:val="24"/>
                <w:lang w:bidi="ar"/>
              </w:rPr>
              <w:t>及三级隔油沉淀池位于</w:t>
            </w:r>
            <w:r>
              <w:rPr>
                <w:rFonts w:hint="eastAsia" w:cs="Times New Roman"/>
                <w:bCs/>
                <w:color w:val="auto"/>
                <w:sz w:val="24"/>
                <w:lang w:val="en-US" w:eastAsia="zh-CN" w:bidi="ar"/>
              </w:rPr>
              <w:t>停车区南侧</w:t>
            </w:r>
            <w:r>
              <w:rPr>
                <w:rFonts w:hint="default" w:ascii="Times New Roman" w:hAnsi="Times New Roman" w:cs="Times New Roman"/>
                <w:bCs/>
                <w:color w:val="auto"/>
                <w:sz w:val="24"/>
                <w:lang w:bidi="ar"/>
              </w:rPr>
              <w:t>，消防水池位于项目区最南侧</w:t>
            </w:r>
            <w:r>
              <w:rPr>
                <w:rFonts w:hint="eastAsia" w:ascii="Times New Roman" w:hAnsi="Times New Roman" w:cs="Times New Roman"/>
                <w:bCs/>
                <w:color w:val="auto"/>
                <w:sz w:val="24"/>
                <w:lang w:eastAsia="zh-CN" w:bidi="ar"/>
              </w:rPr>
              <w:t>，</w:t>
            </w:r>
            <w:r>
              <w:rPr>
                <w:rFonts w:hint="eastAsia" w:ascii="Times New Roman" w:hAnsi="Times New Roman" w:cs="Times New Roman"/>
                <w:bCs/>
                <w:color w:val="auto"/>
                <w:sz w:val="24"/>
                <w:lang w:val="en-US" w:eastAsia="zh-CN" w:bidi="ar"/>
              </w:rPr>
              <w:t>机修房和危险废物暂存间位于项目区北侧。</w:t>
            </w:r>
            <w:r>
              <w:rPr>
                <w:rFonts w:hint="eastAsia" w:cs="Times New Roman"/>
                <w:bCs/>
                <w:color w:val="auto"/>
                <w:sz w:val="24"/>
                <w:lang w:val="en-US" w:eastAsia="zh-CN" w:bidi="ar"/>
              </w:rPr>
              <w:t>项目主导风向为西南风，</w:t>
            </w:r>
            <w:r>
              <w:rPr>
                <w:rFonts w:hint="eastAsia" w:ascii="Times New Roman" w:hAnsi="Times New Roman" w:cs="Times New Roman"/>
                <w:bCs/>
                <w:color w:val="auto"/>
                <w:sz w:val="24"/>
                <w:lang w:val="en-US" w:eastAsia="zh-CN" w:bidi="ar"/>
              </w:rPr>
              <w:t>项目储油罐、沥青储罐及危险废物暂存间均位于厂区</w:t>
            </w:r>
            <w:r>
              <w:rPr>
                <w:rFonts w:hint="eastAsia" w:cs="Times New Roman"/>
                <w:bCs/>
                <w:color w:val="auto"/>
                <w:sz w:val="24"/>
                <w:lang w:val="en-US" w:eastAsia="zh-CN" w:bidi="ar"/>
              </w:rPr>
              <w:t>侧</w:t>
            </w:r>
            <w:r>
              <w:rPr>
                <w:rFonts w:hint="eastAsia" w:ascii="Times New Roman" w:hAnsi="Times New Roman" w:cs="Times New Roman"/>
                <w:bCs/>
                <w:color w:val="auto"/>
                <w:sz w:val="24"/>
                <w:lang w:val="en-US" w:eastAsia="zh-CN" w:bidi="ar"/>
              </w:rPr>
              <w:t>方向位置，对厂区及办公区的影响较小</w:t>
            </w:r>
            <w:r>
              <w:rPr>
                <w:rFonts w:hint="default" w:ascii="Times New Roman" w:hAnsi="Times New Roman" w:cs="Times New Roman"/>
                <w:bCs/>
                <w:color w:val="auto"/>
                <w:sz w:val="24"/>
                <w:lang w:bidi="ar"/>
              </w:rPr>
              <w:t>。</w:t>
            </w:r>
          </w:p>
          <w:p w14:paraId="3C60A221">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项目用地人车分流，通过道路设置、合理布局，尽量将人流车流分开，避免人车混流。项目区场地功能分区明确，整个厂区合理布置。</w:t>
            </w:r>
          </w:p>
          <w:p w14:paraId="10FEEF2D">
            <w:pPr>
              <w:pBdr>
                <w:top w:val="none" w:color="auto" w:sz="0" w:space="1"/>
                <w:left w:val="none" w:color="auto" w:sz="0" w:space="4"/>
                <w:bottom w:val="none" w:color="auto" w:sz="0" w:space="1"/>
                <w:right w:val="none" w:color="auto" w:sz="0" w:space="4"/>
              </w:pBd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项目总平面布置见附图</w:t>
            </w:r>
            <w:r>
              <w:rPr>
                <w:rFonts w:hint="eastAsia" w:cs="Times New Roman"/>
                <w:color w:val="auto"/>
                <w:sz w:val="24"/>
                <w:lang w:val="en-US" w:eastAsia="zh-CN"/>
              </w:rPr>
              <w:t>1</w:t>
            </w:r>
            <w:r>
              <w:rPr>
                <w:rFonts w:hint="default" w:ascii="Times New Roman" w:hAnsi="Times New Roman" w:eastAsia="宋体" w:cs="Times New Roman"/>
                <w:color w:val="auto"/>
                <w:sz w:val="24"/>
              </w:rPr>
              <w:t>。</w:t>
            </w:r>
          </w:p>
          <w:p w14:paraId="1E814B66">
            <w:pPr>
              <w:ind w:firstLine="48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劳动定员及工作制度</w:t>
            </w:r>
          </w:p>
          <w:p w14:paraId="751A4B01">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项目运营期</w:t>
            </w:r>
            <w:r>
              <w:rPr>
                <w:rFonts w:hint="eastAsia" w:ascii="Times New Roman" w:hAnsi="Times New Roman" w:cs="Times New Roman"/>
                <w:color w:val="auto"/>
                <w:sz w:val="24"/>
                <w:lang w:val="en-US" w:eastAsia="zh-CN" w:bidi="ar"/>
              </w:rPr>
              <w:t>固定</w:t>
            </w:r>
            <w:r>
              <w:rPr>
                <w:rFonts w:hint="default" w:ascii="Times New Roman" w:hAnsi="Times New Roman" w:cs="Times New Roman"/>
                <w:color w:val="auto"/>
                <w:sz w:val="24"/>
                <w:lang w:bidi="ar"/>
              </w:rPr>
              <w:t>劳动定员</w:t>
            </w:r>
            <w:r>
              <w:rPr>
                <w:rFonts w:hint="eastAsia" w:cs="Times New Roman"/>
                <w:color w:val="auto"/>
                <w:sz w:val="24"/>
                <w:lang w:val="en-US" w:eastAsia="zh-CN" w:bidi="ar"/>
              </w:rPr>
              <w:t>30</w:t>
            </w:r>
            <w:r>
              <w:rPr>
                <w:rFonts w:hint="default" w:ascii="Times New Roman" w:hAnsi="Times New Roman" w:cs="Times New Roman"/>
                <w:color w:val="auto"/>
                <w:sz w:val="24"/>
                <w:lang w:bidi="ar"/>
              </w:rPr>
              <w:t>人，</w:t>
            </w:r>
            <w:r>
              <w:rPr>
                <w:rFonts w:hint="eastAsia" w:ascii="Times New Roman" w:hAnsi="Times New Roman" w:cs="Times New Roman"/>
                <w:color w:val="auto"/>
                <w:sz w:val="24"/>
                <w:lang w:val="en-US" w:eastAsia="zh-CN" w:bidi="ar"/>
              </w:rPr>
              <w:t>均</w:t>
            </w:r>
            <w:r>
              <w:rPr>
                <w:rFonts w:hint="default" w:ascii="Times New Roman" w:hAnsi="Times New Roman" w:cs="Times New Roman"/>
                <w:color w:val="auto"/>
                <w:sz w:val="24"/>
                <w:lang w:bidi="ar"/>
              </w:rPr>
              <w:t>在项目区食宿。</w:t>
            </w:r>
          </w:p>
          <w:p w14:paraId="4FB41E8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kern w:val="0"/>
                <w:sz w:val="24"/>
              </w:rPr>
              <w:t>据生产计划，项目年</w:t>
            </w:r>
            <w:r>
              <w:rPr>
                <w:rFonts w:hint="default" w:ascii="Times New Roman" w:hAnsi="Times New Roman" w:cs="Times New Roman"/>
                <w:bCs/>
                <w:color w:val="auto"/>
                <w:kern w:val="0"/>
                <w:sz w:val="24"/>
                <w:lang w:val="zh-CN"/>
              </w:rPr>
              <w:t>工作时间为</w:t>
            </w:r>
            <w:r>
              <w:rPr>
                <w:rFonts w:hint="eastAsia" w:cs="Times New Roman"/>
                <w:bCs/>
                <w:color w:val="auto"/>
                <w:kern w:val="0"/>
                <w:sz w:val="24"/>
                <w:lang w:val="en-US" w:eastAsia="zh-CN"/>
              </w:rPr>
              <w:t>2</w:t>
            </w:r>
            <w:r>
              <w:rPr>
                <w:rFonts w:hint="eastAsia" w:ascii="Times New Roman" w:hAnsi="Times New Roman" w:cs="Times New Roman"/>
                <w:bCs/>
                <w:color w:val="auto"/>
                <w:kern w:val="0"/>
                <w:sz w:val="24"/>
                <w:lang w:val="en-US" w:eastAsia="zh-CN"/>
              </w:rPr>
              <w:t>0</w:t>
            </w:r>
            <w:r>
              <w:rPr>
                <w:rFonts w:hint="default" w:ascii="Times New Roman" w:hAnsi="Times New Roman" w:cs="Times New Roman"/>
                <w:bCs/>
                <w:color w:val="auto"/>
                <w:kern w:val="0"/>
                <w:sz w:val="24"/>
              </w:rPr>
              <w:t>0</w:t>
            </w:r>
            <w:r>
              <w:rPr>
                <w:rFonts w:hint="default" w:ascii="Times New Roman" w:hAnsi="Times New Roman" w:cs="Times New Roman"/>
                <w:bCs/>
                <w:color w:val="auto"/>
                <w:kern w:val="0"/>
                <w:sz w:val="24"/>
                <w:lang w:val="zh-CN"/>
              </w:rPr>
              <w:t>天，</w:t>
            </w:r>
            <w:r>
              <w:rPr>
                <w:rFonts w:hint="default" w:ascii="Times New Roman" w:hAnsi="Times New Roman" w:cs="Times New Roman"/>
                <w:color w:val="auto"/>
                <w:sz w:val="24"/>
              </w:rPr>
              <w:t>每天工作</w:t>
            </w:r>
            <w:r>
              <w:rPr>
                <w:rFonts w:hint="eastAsia" w:cs="Times New Roman"/>
                <w:color w:val="auto"/>
                <w:sz w:val="24"/>
                <w:lang w:val="en-US" w:eastAsia="zh-CN"/>
              </w:rPr>
              <w:t>10</w:t>
            </w:r>
            <w:r>
              <w:rPr>
                <w:rFonts w:hint="default" w:ascii="Times New Roman" w:hAnsi="Times New Roman" w:cs="Times New Roman"/>
                <w:color w:val="auto"/>
                <w:sz w:val="24"/>
              </w:rPr>
              <w:t>小时，夜间不生产。</w:t>
            </w:r>
          </w:p>
          <w:p w14:paraId="3F5BF8DF">
            <w:pPr>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9</w:t>
            </w:r>
            <w:r>
              <w:rPr>
                <w:rFonts w:hint="eastAsia" w:ascii="Times New Roman" w:hAnsi="Times New Roman" w:eastAsia="宋体" w:cs="Times New Roman"/>
                <w:b/>
                <w:bCs/>
                <w:color w:val="auto"/>
                <w:highlight w:val="none"/>
                <w:lang w:val="en-US" w:eastAsia="zh-CN"/>
              </w:rPr>
              <w:t>、</w:t>
            </w:r>
            <w:r>
              <w:rPr>
                <w:rFonts w:hint="default" w:ascii="Times New Roman" w:hAnsi="Times New Roman" w:eastAsia="宋体" w:cs="Times New Roman"/>
                <w:b/>
                <w:bCs/>
                <w:color w:val="auto"/>
                <w:highlight w:val="none"/>
                <w:lang w:val="en-US" w:eastAsia="zh-CN"/>
              </w:rPr>
              <w:t>项目施工计划</w:t>
            </w:r>
          </w:p>
          <w:p w14:paraId="317144E1">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eastAsia="宋体" w:cs="Times New Roman"/>
                <w:bCs/>
                <w:color w:val="auto"/>
                <w:kern w:val="0"/>
                <w:sz w:val="24"/>
              </w:rPr>
              <w:t>项目</w:t>
            </w:r>
            <w:r>
              <w:rPr>
                <w:rFonts w:hint="eastAsia" w:ascii="Times New Roman" w:hAnsi="Times New Roman" w:eastAsia="宋体" w:cs="Times New Roman"/>
                <w:bCs/>
                <w:color w:val="auto"/>
                <w:kern w:val="0"/>
                <w:sz w:val="24"/>
                <w:lang w:val="en-US" w:eastAsia="zh-CN"/>
              </w:rPr>
              <w:t>已建成1000型拌合楼生产线，另外一条4000型拌合楼生产线和辅助设施</w:t>
            </w:r>
            <w:r>
              <w:rPr>
                <w:rFonts w:hint="default" w:ascii="Times New Roman" w:hAnsi="Times New Roman" w:cs="Times New Roman"/>
                <w:color w:val="auto"/>
                <w:sz w:val="24"/>
                <w:lang w:bidi="ar"/>
              </w:rPr>
              <w:t>计划202</w:t>
            </w:r>
            <w:r>
              <w:rPr>
                <w:rFonts w:hint="eastAsia" w:cs="Times New Roman"/>
                <w:color w:val="auto"/>
                <w:sz w:val="24"/>
                <w:lang w:val="en-US" w:eastAsia="zh-CN" w:bidi="ar"/>
              </w:rPr>
              <w:t>4</w:t>
            </w:r>
            <w:r>
              <w:rPr>
                <w:rFonts w:hint="default" w:ascii="Times New Roman" w:hAnsi="Times New Roman" w:cs="Times New Roman"/>
                <w:color w:val="auto"/>
                <w:sz w:val="24"/>
                <w:lang w:bidi="ar"/>
              </w:rPr>
              <w:t>年</w:t>
            </w:r>
            <w:r>
              <w:rPr>
                <w:rFonts w:hint="eastAsia" w:cs="Times New Roman"/>
                <w:color w:val="auto"/>
                <w:sz w:val="24"/>
                <w:lang w:val="en-US" w:eastAsia="zh-CN" w:bidi="ar"/>
              </w:rPr>
              <w:t>1</w:t>
            </w:r>
            <w:r>
              <w:rPr>
                <w:rFonts w:hint="default" w:ascii="Times New Roman" w:hAnsi="Times New Roman" w:cs="Times New Roman"/>
                <w:color w:val="auto"/>
                <w:sz w:val="24"/>
                <w:lang w:bidi="ar"/>
              </w:rPr>
              <w:t>月动工，202</w:t>
            </w:r>
            <w:r>
              <w:rPr>
                <w:rFonts w:hint="eastAsia" w:ascii="Times New Roman" w:hAnsi="Times New Roman" w:cs="Times New Roman"/>
                <w:color w:val="auto"/>
                <w:sz w:val="24"/>
                <w:lang w:val="en-US" w:eastAsia="zh-CN" w:bidi="ar"/>
              </w:rPr>
              <w:t>4</w:t>
            </w:r>
            <w:r>
              <w:rPr>
                <w:rFonts w:hint="default" w:ascii="Times New Roman" w:hAnsi="Times New Roman" w:cs="Times New Roman"/>
                <w:color w:val="auto"/>
                <w:sz w:val="24"/>
                <w:lang w:bidi="ar"/>
              </w:rPr>
              <w:t>年</w:t>
            </w:r>
            <w:r>
              <w:rPr>
                <w:rFonts w:hint="eastAsia" w:ascii="Times New Roman" w:hAnsi="Times New Roman" w:cs="Times New Roman"/>
                <w:color w:val="auto"/>
                <w:sz w:val="24"/>
                <w:lang w:val="en-US" w:eastAsia="zh-CN" w:bidi="ar"/>
              </w:rPr>
              <w:t>3</w:t>
            </w:r>
            <w:r>
              <w:rPr>
                <w:rFonts w:hint="default" w:ascii="Times New Roman" w:hAnsi="Times New Roman" w:cs="Times New Roman"/>
                <w:color w:val="auto"/>
                <w:sz w:val="24"/>
                <w:lang w:bidi="ar"/>
              </w:rPr>
              <w:t>月竣工投入运行，施工人员</w:t>
            </w:r>
            <w:r>
              <w:rPr>
                <w:rFonts w:hint="eastAsia" w:cs="Times New Roman"/>
                <w:color w:val="auto"/>
                <w:sz w:val="24"/>
                <w:lang w:val="en-US" w:eastAsia="zh-CN" w:bidi="ar"/>
              </w:rPr>
              <w:t>2</w:t>
            </w:r>
            <w:r>
              <w:rPr>
                <w:rFonts w:hint="default" w:ascii="Times New Roman" w:hAnsi="Times New Roman" w:cs="Times New Roman"/>
                <w:color w:val="auto"/>
                <w:sz w:val="24"/>
                <w:lang w:bidi="ar"/>
              </w:rPr>
              <w:t>0人，工期为</w:t>
            </w:r>
            <w:r>
              <w:rPr>
                <w:rFonts w:hint="eastAsia" w:cs="Times New Roman"/>
                <w:color w:val="auto"/>
                <w:sz w:val="24"/>
                <w:lang w:val="en-US" w:eastAsia="zh-CN" w:bidi="ar"/>
              </w:rPr>
              <w:t>3</w:t>
            </w:r>
            <w:r>
              <w:rPr>
                <w:rFonts w:hint="default" w:ascii="Times New Roman" w:hAnsi="Times New Roman" w:cs="Times New Roman"/>
                <w:color w:val="auto"/>
                <w:sz w:val="24"/>
                <w:lang w:bidi="ar"/>
              </w:rPr>
              <w:t>个月。</w:t>
            </w:r>
          </w:p>
          <w:p w14:paraId="3E72953B">
            <w:pPr>
              <w:adjustRightInd w:val="0"/>
              <w:snapToGrid w:val="0"/>
              <w:spacing w:before="120" w:beforeLines="50" w:line="360" w:lineRule="auto"/>
              <w:ind w:firstLine="482" w:firstLineChars="200"/>
              <w:rPr>
                <w:rFonts w:ascii="Times New Roman" w:hAnsi="Times New Roman"/>
                <w:b/>
                <w:color w:val="auto"/>
                <w:szCs w:val="21"/>
              </w:rPr>
            </w:pPr>
            <w:r>
              <w:rPr>
                <w:rFonts w:hint="eastAsia" w:ascii="Times New Roman" w:hAnsi="Times New Roman"/>
                <w:b/>
                <w:color w:val="auto"/>
                <w:szCs w:val="21"/>
                <w:lang w:val="en-US" w:eastAsia="zh-CN"/>
              </w:rPr>
              <w:t>10、</w:t>
            </w:r>
            <w:r>
              <w:rPr>
                <w:rFonts w:ascii="Times New Roman" w:hAnsi="Times New Roman"/>
                <w:b/>
                <w:color w:val="auto"/>
                <w:szCs w:val="21"/>
              </w:rPr>
              <w:t>物料平衡</w:t>
            </w:r>
          </w:p>
          <w:p w14:paraId="7D22FCCD">
            <w:pPr>
              <w:adjustRightInd w:val="0"/>
              <w:snapToGrid w:val="0"/>
              <w:spacing w:line="360" w:lineRule="auto"/>
              <w:ind w:firstLine="480" w:firstLineChars="200"/>
              <w:rPr>
                <w:rFonts w:ascii="Times New Roman" w:hAnsi="Times New Roman"/>
                <w:color w:val="auto"/>
                <w:szCs w:val="21"/>
              </w:rPr>
            </w:pPr>
            <w:r>
              <w:rPr>
                <w:rFonts w:ascii="Times New Roman" w:hAnsi="Times New Roman"/>
                <w:color w:val="auto"/>
                <w:szCs w:val="21"/>
              </w:rPr>
              <w:t>根据生产工艺相关参数及物料配比，沥青混凝土生产线物料平衡见表2-</w:t>
            </w:r>
            <w:r>
              <w:rPr>
                <w:rFonts w:hint="eastAsia"/>
                <w:color w:val="auto"/>
                <w:szCs w:val="21"/>
                <w:lang w:val="en-US" w:eastAsia="zh-CN"/>
              </w:rPr>
              <w:t>7</w:t>
            </w:r>
            <w:r>
              <w:rPr>
                <w:rFonts w:ascii="Times New Roman" w:hAnsi="Times New Roman"/>
                <w:color w:val="auto"/>
                <w:szCs w:val="21"/>
              </w:rPr>
              <w:t>。</w:t>
            </w:r>
          </w:p>
          <w:p w14:paraId="039CD031">
            <w:pPr>
              <w:snapToGrid w:val="0"/>
              <w:jc w:val="center"/>
              <w:rPr>
                <w:rFonts w:ascii="Times New Roman" w:hAnsi="Times New Roman"/>
                <w:b/>
                <w:bCs/>
                <w:color w:val="auto"/>
                <w:sz w:val="21"/>
                <w:szCs w:val="21"/>
              </w:rPr>
            </w:pPr>
            <w:r>
              <w:rPr>
                <w:rFonts w:ascii="Times New Roman" w:hAnsi="Times New Roman"/>
                <w:b/>
                <w:bCs/>
                <w:color w:val="auto"/>
                <w:sz w:val="21"/>
                <w:szCs w:val="21"/>
              </w:rPr>
              <w:t>表2-</w:t>
            </w:r>
            <w:r>
              <w:rPr>
                <w:rFonts w:hint="eastAsia"/>
                <w:b/>
                <w:bCs/>
                <w:color w:val="auto"/>
                <w:sz w:val="21"/>
                <w:szCs w:val="21"/>
                <w:lang w:val="en-US" w:eastAsia="zh-CN"/>
              </w:rPr>
              <w:t>7</w:t>
            </w:r>
            <w:r>
              <w:rPr>
                <w:rFonts w:ascii="Times New Roman" w:hAnsi="Times New Roman"/>
                <w:b/>
                <w:bCs/>
                <w:color w:val="auto"/>
                <w:sz w:val="21"/>
                <w:szCs w:val="21"/>
              </w:rPr>
              <w:t xml:space="preserve"> 沥青混凝土物料平衡表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381"/>
              <w:gridCol w:w="1061"/>
              <w:gridCol w:w="1260"/>
              <w:gridCol w:w="1755"/>
              <w:gridCol w:w="1290"/>
              <w:gridCol w:w="1688"/>
            </w:tblGrid>
            <w:tr w14:paraId="154D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noWrap w:val="0"/>
                  <w:vAlign w:val="center"/>
                </w:tcPr>
                <w:p w14:paraId="7CC9BBD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序号</w:t>
                  </w:r>
                </w:p>
              </w:tc>
              <w:tc>
                <w:tcPr>
                  <w:tcW w:w="918" w:type="pct"/>
                  <w:gridSpan w:val="2"/>
                  <w:noWrap w:val="0"/>
                  <w:vAlign w:val="center"/>
                </w:tcPr>
                <w:p w14:paraId="3AF8045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投入物料</w:t>
                  </w:r>
                </w:p>
              </w:tc>
              <w:tc>
                <w:tcPr>
                  <w:tcW w:w="802" w:type="pct"/>
                  <w:noWrap w:val="0"/>
                  <w:vAlign w:val="center"/>
                </w:tcPr>
                <w:p w14:paraId="56D4989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投入量（t/a）</w:t>
                  </w:r>
                </w:p>
              </w:tc>
              <w:tc>
                <w:tcPr>
                  <w:tcW w:w="1117" w:type="pct"/>
                  <w:noWrap w:val="0"/>
                  <w:vAlign w:val="center"/>
                </w:tcPr>
                <w:p w14:paraId="55FCC09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产出</w:t>
                  </w:r>
                </w:p>
              </w:tc>
              <w:tc>
                <w:tcPr>
                  <w:tcW w:w="821" w:type="pct"/>
                  <w:noWrap w:val="0"/>
                  <w:vAlign w:val="center"/>
                </w:tcPr>
                <w:p w14:paraId="628C0D8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产出量（t/a）</w:t>
                  </w:r>
                </w:p>
              </w:tc>
              <w:tc>
                <w:tcPr>
                  <w:tcW w:w="1075" w:type="pct"/>
                  <w:noWrap w:val="0"/>
                  <w:vAlign w:val="center"/>
                </w:tcPr>
                <w:p w14:paraId="1460F8D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备注</w:t>
                  </w:r>
                </w:p>
              </w:tc>
            </w:tr>
            <w:tr w14:paraId="3992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noWrap w:val="0"/>
                  <w:vAlign w:val="center"/>
                </w:tcPr>
                <w:p w14:paraId="0B48378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w:t>
                  </w:r>
                </w:p>
              </w:tc>
              <w:tc>
                <w:tcPr>
                  <w:tcW w:w="918" w:type="pct"/>
                  <w:gridSpan w:val="2"/>
                  <w:noWrap w:val="0"/>
                  <w:vAlign w:val="center"/>
                </w:tcPr>
                <w:p w14:paraId="1C3C78F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骨料</w:t>
                  </w:r>
                </w:p>
              </w:tc>
              <w:tc>
                <w:tcPr>
                  <w:tcW w:w="802" w:type="pct"/>
                  <w:noWrap w:val="0"/>
                  <w:vAlign w:val="center"/>
                </w:tcPr>
                <w:p w14:paraId="4AAECE7E">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default" w:ascii="Times New Roman" w:hAnsi="Times New Roman" w:eastAsia="宋体"/>
                      <w:color w:val="auto"/>
                      <w:sz w:val="21"/>
                      <w:szCs w:val="21"/>
                      <w:lang w:val="en-US" w:eastAsia="zh-CN"/>
                    </w:rPr>
                  </w:pPr>
                  <w:r>
                    <w:rPr>
                      <w:rFonts w:hint="eastAsia" w:cs="Times New Roman"/>
                      <w:i w:val="0"/>
                      <w:iCs w:val="0"/>
                      <w:color w:val="auto"/>
                      <w:kern w:val="0"/>
                      <w:sz w:val="21"/>
                      <w:szCs w:val="21"/>
                      <w:u w:val="none"/>
                      <w:lang w:val="en-US" w:eastAsia="zh-CN" w:bidi="ar"/>
                    </w:rPr>
                    <w:t>431880</w:t>
                  </w:r>
                </w:p>
              </w:tc>
              <w:tc>
                <w:tcPr>
                  <w:tcW w:w="1117" w:type="pct"/>
                  <w:noWrap w:val="0"/>
                  <w:vAlign w:val="center"/>
                </w:tcPr>
                <w:p w14:paraId="35C1A79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沥青混凝土</w:t>
                  </w:r>
                </w:p>
              </w:tc>
              <w:tc>
                <w:tcPr>
                  <w:tcW w:w="821" w:type="pct"/>
                  <w:noWrap w:val="0"/>
                  <w:vAlign w:val="center"/>
                </w:tcPr>
                <w:p w14:paraId="5F1276C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480</w:t>
                  </w:r>
                  <w:r>
                    <w:rPr>
                      <w:rFonts w:hint="eastAsia" w:ascii="Times New Roman" w:hAnsi="Times New Roman"/>
                      <w:color w:val="auto"/>
                      <w:sz w:val="21"/>
                      <w:szCs w:val="21"/>
                      <w:lang w:val="en-US" w:eastAsia="zh-CN"/>
                    </w:rPr>
                    <w:t>000</w:t>
                  </w:r>
                </w:p>
              </w:tc>
              <w:tc>
                <w:tcPr>
                  <w:tcW w:w="1075" w:type="pct"/>
                  <w:noWrap w:val="0"/>
                  <w:vAlign w:val="center"/>
                </w:tcPr>
                <w:p w14:paraId="5060D06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产品外售</w:t>
                  </w:r>
                </w:p>
              </w:tc>
            </w:tr>
            <w:tr w14:paraId="3E3B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63" w:type="pct"/>
                  <w:vMerge w:val="restart"/>
                  <w:noWrap w:val="0"/>
                  <w:vAlign w:val="center"/>
                </w:tcPr>
                <w:p w14:paraId="5044C4D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w:t>
                  </w:r>
                </w:p>
              </w:tc>
              <w:tc>
                <w:tcPr>
                  <w:tcW w:w="242" w:type="pct"/>
                  <w:vMerge w:val="restart"/>
                  <w:noWrap w:val="0"/>
                  <w:vAlign w:val="center"/>
                </w:tcPr>
                <w:p w14:paraId="24FE3DC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矿粉</w:t>
                  </w:r>
                </w:p>
              </w:tc>
              <w:tc>
                <w:tcPr>
                  <w:tcW w:w="675" w:type="pct"/>
                  <w:noWrap w:val="0"/>
                  <w:vAlign w:val="center"/>
                </w:tcPr>
                <w:p w14:paraId="3784D9C8">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both"/>
                    <w:textAlignment w:val="auto"/>
                    <w:rPr>
                      <w:rFonts w:ascii="Times New Roman" w:hAnsi="Times New Roman"/>
                      <w:color w:val="auto"/>
                      <w:sz w:val="21"/>
                      <w:szCs w:val="21"/>
                    </w:rPr>
                  </w:pPr>
                  <w:r>
                    <w:rPr>
                      <w:rFonts w:ascii="Times New Roman" w:hAnsi="Times New Roman"/>
                      <w:color w:val="auto"/>
                      <w:sz w:val="21"/>
                      <w:szCs w:val="21"/>
                    </w:rPr>
                    <w:t>外购</w:t>
                  </w:r>
                </w:p>
              </w:tc>
              <w:tc>
                <w:tcPr>
                  <w:tcW w:w="802" w:type="pct"/>
                  <w:noWrap w:val="0"/>
                  <w:vAlign w:val="center"/>
                </w:tcPr>
                <w:p w14:paraId="18CA3545">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default" w:ascii="Times New Roman" w:hAnsi="Times New Roman" w:eastAsia="宋体"/>
                      <w:color w:val="auto"/>
                      <w:sz w:val="21"/>
                      <w:szCs w:val="21"/>
                      <w:lang w:val="en-US" w:eastAsia="zh-CN"/>
                    </w:rPr>
                  </w:pPr>
                  <w:r>
                    <w:rPr>
                      <w:rFonts w:hint="default" w:ascii="Times New Roman" w:hAnsi="Times New Roman" w:eastAsia="宋体"/>
                      <w:color w:val="auto"/>
                      <w:sz w:val="21"/>
                      <w:szCs w:val="21"/>
                      <w:lang w:val="en-US" w:eastAsia="zh-CN"/>
                    </w:rPr>
                    <w:t>27523.817</w:t>
                  </w:r>
                </w:p>
              </w:tc>
              <w:tc>
                <w:tcPr>
                  <w:tcW w:w="1117" w:type="pct"/>
                  <w:vMerge w:val="restart"/>
                  <w:noWrap w:val="0"/>
                  <w:vAlign w:val="center"/>
                </w:tcPr>
                <w:p w14:paraId="671E1CB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有组织颗粒物</w:t>
                  </w:r>
                </w:p>
              </w:tc>
              <w:tc>
                <w:tcPr>
                  <w:tcW w:w="821" w:type="pct"/>
                  <w:vMerge w:val="restart"/>
                  <w:noWrap w:val="0"/>
                  <w:vAlign w:val="center"/>
                </w:tcPr>
                <w:p w14:paraId="2A3C3EF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olor w:val="auto"/>
                      <w:sz w:val="21"/>
                      <w:szCs w:val="21"/>
                      <w:lang w:val="en-US"/>
                    </w:rPr>
                  </w:pPr>
                  <w:r>
                    <w:rPr>
                      <w:rFonts w:hint="eastAsia"/>
                      <w:color w:val="auto"/>
                      <w:kern w:val="0"/>
                      <w:sz w:val="21"/>
                      <w:szCs w:val="21"/>
                      <w:lang w:val="en-US" w:eastAsia="zh-CN"/>
                    </w:rPr>
                    <w:t>3.385</w:t>
                  </w:r>
                </w:p>
              </w:tc>
              <w:tc>
                <w:tcPr>
                  <w:tcW w:w="1075" w:type="pct"/>
                  <w:vMerge w:val="restart"/>
                  <w:noWrap w:val="0"/>
                  <w:vAlign w:val="center"/>
                </w:tcPr>
                <w:p w14:paraId="3E0982F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val="en-US" w:eastAsia="zh-CN"/>
                    </w:rPr>
                    <w:t>不含燃烧器废气</w:t>
                  </w:r>
                </w:p>
              </w:tc>
            </w:tr>
            <w:tr w14:paraId="74B1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63" w:type="pct"/>
                  <w:vMerge w:val="continue"/>
                  <w:noWrap w:val="0"/>
                  <w:vAlign w:val="center"/>
                </w:tcPr>
                <w:p w14:paraId="2A4025A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p>
              </w:tc>
              <w:tc>
                <w:tcPr>
                  <w:tcW w:w="242" w:type="pct"/>
                  <w:vMerge w:val="continue"/>
                  <w:noWrap w:val="0"/>
                  <w:vAlign w:val="center"/>
                </w:tcPr>
                <w:p w14:paraId="32CE3C6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p>
              </w:tc>
              <w:tc>
                <w:tcPr>
                  <w:tcW w:w="675" w:type="pct"/>
                  <w:noWrap w:val="0"/>
                  <w:vAlign w:val="center"/>
                </w:tcPr>
                <w:p w14:paraId="7E3A7EF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回收粉尘</w:t>
                  </w:r>
                </w:p>
              </w:tc>
              <w:tc>
                <w:tcPr>
                  <w:tcW w:w="802" w:type="pct"/>
                  <w:noWrap w:val="0"/>
                  <w:vAlign w:val="center"/>
                </w:tcPr>
                <w:p w14:paraId="5D3E5D6B">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323.742</w:t>
                  </w:r>
                </w:p>
              </w:tc>
              <w:tc>
                <w:tcPr>
                  <w:tcW w:w="1117" w:type="pct"/>
                  <w:vMerge w:val="continue"/>
                  <w:noWrap w:val="0"/>
                  <w:vAlign w:val="center"/>
                </w:tcPr>
                <w:p w14:paraId="483B11F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p>
              </w:tc>
              <w:tc>
                <w:tcPr>
                  <w:tcW w:w="821" w:type="pct"/>
                  <w:vMerge w:val="continue"/>
                  <w:noWrap w:val="0"/>
                  <w:vAlign w:val="center"/>
                </w:tcPr>
                <w:p w14:paraId="251652F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1075" w:type="pct"/>
                  <w:vMerge w:val="continue"/>
                  <w:noWrap w:val="0"/>
                  <w:vAlign w:val="center"/>
                </w:tcPr>
                <w:p w14:paraId="706B49C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p>
              </w:tc>
            </w:tr>
            <w:tr w14:paraId="154E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noWrap w:val="0"/>
                  <w:vAlign w:val="center"/>
                </w:tcPr>
                <w:p w14:paraId="18A11E0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3</w:t>
                  </w:r>
                </w:p>
              </w:tc>
              <w:tc>
                <w:tcPr>
                  <w:tcW w:w="918" w:type="pct"/>
                  <w:gridSpan w:val="2"/>
                  <w:noWrap w:val="0"/>
                  <w:vAlign w:val="center"/>
                </w:tcPr>
                <w:p w14:paraId="1FA0A2A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沥青</w:t>
                  </w:r>
                </w:p>
              </w:tc>
              <w:tc>
                <w:tcPr>
                  <w:tcW w:w="802" w:type="pct"/>
                  <w:noWrap w:val="0"/>
                  <w:vAlign w:val="center"/>
                </w:tcPr>
                <w:p w14:paraId="07577AE2">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default" w:ascii="Times New Roman" w:hAnsi="Times New Roman" w:eastAsia="宋体"/>
                      <w:color w:val="auto"/>
                      <w:sz w:val="21"/>
                      <w:szCs w:val="21"/>
                      <w:lang w:val="en-US" w:eastAsia="zh-CN"/>
                    </w:rPr>
                  </w:pPr>
                  <w:r>
                    <w:rPr>
                      <w:rFonts w:hint="eastAsia" w:cs="Times New Roman"/>
                      <w:i w:val="0"/>
                      <w:iCs w:val="0"/>
                      <w:color w:val="auto"/>
                      <w:kern w:val="0"/>
                      <w:sz w:val="21"/>
                      <w:szCs w:val="21"/>
                      <w:u w:val="none"/>
                      <w:lang w:val="en-US" w:eastAsia="zh-CN" w:bidi="ar"/>
                    </w:rPr>
                    <w:t>20600</w:t>
                  </w:r>
                </w:p>
              </w:tc>
              <w:tc>
                <w:tcPr>
                  <w:tcW w:w="1117" w:type="pct"/>
                  <w:noWrap w:val="0"/>
                  <w:vAlign w:val="center"/>
                </w:tcPr>
                <w:p w14:paraId="0FD2A1D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回收粉尘</w:t>
                  </w:r>
                </w:p>
              </w:tc>
              <w:tc>
                <w:tcPr>
                  <w:tcW w:w="821" w:type="pct"/>
                  <w:noWrap w:val="0"/>
                  <w:vAlign w:val="center"/>
                </w:tcPr>
                <w:p w14:paraId="44EBDE4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323.742</w:t>
                  </w:r>
                </w:p>
              </w:tc>
              <w:tc>
                <w:tcPr>
                  <w:tcW w:w="1075" w:type="pct"/>
                  <w:noWrap w:val="0"/>
                  <w:vAlign w:val="center"/>
                </w:tcPr>
                <w:p w14:paraId="2E91EB3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color w:val="auto"/>
                      <w:sz w:val="21"/>
                      <w:szCs w:val="21"/>
                    </w:rPr>
                    <w:t>返回矿粉仓回用</w:t>
                  </w:r>
                </w:p>
              </w:tc>
            </w:tr>
            <w:tr w14:paraId="7CA5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noWrap w:val="0"/>
                  <w:vAlign w:val="center"/>
                </w:tcPr>
                <w:p w14:paraId="0944660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4</w:t>
                  </w:r>
                </w:p>
              </w:tc>
              <w:tc>
                <w:tcPr>
                  <w:tcW w:w="918" w:type="pct"/>
                  <w:gridSpan w:val="2"/>
                  <w:noWrap w:val="0"/>
                  <w:vAlign w:val="center"/>
                </w:tcPr>
                <w:p w14:paraId="56EE242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p>
              </w:tc>
              <w:tc>
                <w:tcPr>
                  <w:tcW w:w="802" w:type="pct"/>
                  <w:noWrap w:val="0"/>
                  <w:vAlign w:val="center"/>
                </w:tcPr>
                <w:p w14:paraId="5623966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p>
              </w:tc>
              <w:tc>
                <w:tcPr>
                  <w:tcW w:w="1117" w:type="pct"/>
                  <w:noWrap w:val="0"/>
                  <w:vAlign w:val="center"/>
                </w:tcPr>
                <w:p w14:paraId="272EEF9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bCs/>
                      <w:color w:val="auto"/>
                      <w:sz w:val="21"/>
                      <w:szCs w:val="21"/>
                      <w:lang w:val="en-US" w:eastAsia="zh-CN"/>
                    </w:rPr>
                  </w:pPr>
                  <w:r>
                    <w:rPr>
                      <w:rFonts w:hint="eastAsia" w:ascii="Times New Roman" w:hAnsi="Times New Roman"/>
                      <w:bCs/>
                      <w:color w:val="auto"/>
                      <w:sz w:val="21"/>
                      <w:szCs w:val="21"/>
                      <w:lang w:val="en-US" w:eastAsia="zh-CN"/>
                    </w:rPr>
                    <w:t>无组织粉尘</w:t>
                  </w:r>
                </w:p>
              </w:tc>
              <w:tc>
                <w:tcPr>
                  <w:tcW w:w="821" w:type="pct"/>
                  <w:noWrap w:val="0"/>
                  <w:vAlign w:val="center"/>
                </w:tcPr>
                <w:p w14:paraId="30E1643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0.432</w:t>
                  </w:r>
                </w:p>
              </w:tc>
              <w:tc>
                <w:tcPr>
                  <w:tcW w:w="1075" w:type="pct"/>
                  <w:noWrap w:val="0"/>
                  <w:vAlign w:val="center"/>
                </w:tcPr>
                <w:p w14:paraId="69935AE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外排</w:t>
                  </w:r>
                </w:p>
              </w:tc>
            </w:tr>
            <w:tr w14:paraId="3813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2" w:type="pct"/>
                  <w:gridSpan w:val="3"/>
                  <w:noWrap w:val="0"/>
                  <w:vAlign w:val="center"/>
                </w:tcPr>
                <w:p w14:paraId="5CBE641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合计</w:t>
                  </w:r>
                </w:p>
              </w:tc>
              <w:tc>
                <w:tcPr>
                  <w:tcW w:w="802" w:type="pct"/>
                  <w:noWrap w:val="0"/>
                  <w:vAlign w:val="center"/>
                </w:tcPr>
                <w:p w14:paraId="1589F4F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eastAsia="宋体" w:cs="Times New Roman"/>
                      <w:color w:val="auto"/>
                      <w:kern w:val="0"/>
                      <w:sz w:val="21"/>
                      <w:szCs w:val="21"/>
                      <w:lang w:val="en-US" w:eastAsia="zh-CN" w:bidi="ar-SA"/>
                    </w:rPr>
                    <w:t>480327.559</w:t>
                  </w:r>
                </w:p>
              </w:tc>
              <w:tc>
                <w:tcPr>
                  <w:tcW w:w="1117" w:type="pct"/>
                  <w:noWrap w:val="0"/>
                  <w:vAlign w:val="center"/>
                </w:tcPr>
                <w:p w14:paraId="0364ED1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rPr>
                  </w:pPr>
                </w:p>
              </w:tc>
              <w:tc>
                <w:tcPr>
                  <w:tcW w:w="821" w:type="pct"/>
                  <w:noWrap w:val="0"/>
                  <w:vAlign w:val="center"/>
                </w:tcPr>
                <w:p w14:paraId="350C79CE">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2"/>
                      <w:sz w:val="22"/>
                      <w:szCs w:val="22"/>
                      <w:u w:val="none"/>
                      <w:lang w:val="en-US" w:eastAsia="zh-CN" w:bidi="ar-SA"/>
                    </w:rPr>
                  </w:pPr>
                  <w:r>
                    <w:rPr>
                      <w:rFonts w:hint="eastAsia" w:ascii="Times New Roman" w:hAnsi="Times New Roman" w:eastAsia="宋体" w:cs="Times New Roman"/>
                      <w:color w:val="auto"/>
                      <w:kern w:val="0"/>
                      <w:sz w:val="21"/>
                      <w:szCs w:val="21"/>
                      <w:lang w:val="en-US" w:eastAsia="zh-CN" w:bidi="ar-SA"/>
                    </w:rPr>
                    <w:t>480327.559</w:t>
                  </w:r>
                </w:p>
              </w:tc>
              <w:tc>
                <w:tcPr>
                  <w:tcW w:w="1075" w:type="pct"/>
                  <w:noWrap w:val="0"/>
                  <w:vAlign w:val="center"/>
                </w:tcPr>
                <w:p w14:paraId="727347D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p>
              </w:tc>
            </w:tr>
          </w:tbl>
          <w:p w14:paraId="1FB78F09">
            <w:pPr>
              <w:spacing w:line="360" w:lineRule="auto"/>
              <w:ind w:left="0" w:leftChars="0" w:firstLine="482" w:firstLineChars="200"/>
              <w:jc w:val="both"/>
              <w:rPr>
                <w:rFonts w:hint="eastAsia"/>
                <w:b/>
                <w:bCs/>
                <w:color w:val="auto"/>
                <w:highlight w:val="none"/>
                <w:lang w:val="en-US" w:eastAsia="zh-CN"/>
              </w:rPr>
            </w:pPr>
            <w:r>
              <w:rPr>
                <w:rFonts w:hint="eastAsia"/>
                <w:b/>
                <w:bCs/>
                <w:color w:val="auto"/>
                <w:highlight w:val="none"/>
                <w:lang w:val="en-US" w:eastAsia="zh-CN"/>
              </w:rPr>
              <w:t>11、水平衡</w:t>
            </w:r>
          </w:p>
          <w:p w14:paraId="531EBF0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运营期废水主要来源于地面冲洗废水、初期雨水、</w:t>
            </w:r>
            <w:r>
              <w:rPr>
                <w:rFonts w:hint="eastAsia" w:cs="Times New Roman"/>
                <w:color w:val="auto"/>
                <w:sz w:val="24"/>
                <w:lang w:val="en-US" w:eastAsia="zh-CN"/>
              </w:rPr>
              <w:t>车辆和设备冲洗</w:t>
            </w:r>
            <w:r>
              <w:rPr>
                <w:rFonts w:hint="default" w:ascii="Times New Roman" w:hAnsi="Times New Roman" w:cs="Times New Roman"/>
                <w:color w:val="auto"/>
                <w:sz w:val="24"/>
              </w:rPr>
              <w:t>废水、职工人员日</w:t>
            </w:r>
            <w:r>
              <w:rPr>
                <w:rFonts w:hint="eastAsia" w:cs="Times New Roman"/>
                <w:color w:val="auto"/>
                <w:sz w:val="24"/>
                <w:lang w:val="en-US" w:eastAsia="zh-CN"/>
              </w:rPr>
              <w:t>生活污水</w:t>
            </w:r>
            <w:r>
              <w:rPr>
                <w:rFonts w:hint="default" w:ascii="Times New Roman" w:hAnsi="Times New Roman" w:cs="Times New Roman"/>
                <w:color w:val="auto"/>
                <w:sz w:val="24"/>
              </w:rPr>
              <w:t>等。</w:t>
            </w:r>
          </w:p>
          <w:p w14:paraId="79B9797F">
            <w:pPr>
              <w:pStyle w:val="9"/>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rPr>
              <w:t>搅拌工作区地面冲洗废水</w:t>
            </w:r>
          </w:p>
          <w:p w14:paraId="6342D1C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项目搅拌工作区地面冲洗废水面积约</w:t>
            </w:r>
            <w:r>
              <w:rPr>
                <w:rFonts w:hint="eastAsia" w:cs="Times New Roman"/>
                <w:color w:val="auto"/>
                <w:sz w:val="24"/>
                <w:lang w:val="en-US" w:eastAsia="zh-CN"/>
              </w:rPr>
              <w:t>10</w:t>
            </w:r>
            <w:r>
              <w:rPr>
                <w:rFonts w:hint="default" w:ascii="Times New Roman" w:hAnsi="Times New Roman" w:cs="Times New Roman"/>
                <w:color w:val="auto"/>
                <w:sz w:val="24"/>
              </w:rPr>
              <w:t>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，每天冲洗一次，冲洗水量按</w:t>
            </w:r>
            <w:r>
              <w:rPr>
                <w:rFonts w:hint="default" w:ascii="Times New Roman" w:hAnsi="Times New Roman" w:eastAsia="宋体" w:cs="Times New Roman"/>
                <w:color w:val="auto"/>
                <w:sz w:val="24"/>
                <w:lang w:val="en-US" w:eastAsia="zh-CN"/>
              </w:rPr>
              <w:t>1</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/100m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.d计，冲洗水用量为</w:t>
            </w:r>
            <w:r>
              <w:rPr>
                <w:rFonts w:hint="eastAsia" w:cs="Times New Roman"/>
                <w:color w:val="auto"/>
                <w:sz w:val="24"/>
                <w:lang w:val="en-US" w:eastAsia="zh-CN"/>
              </w:rPr>
              <w:t>10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val="en-US" w:eastAsia="zh-CN"/>
              </w:rPr>
              <w:t>2000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排放系数按0.8计算，则搅拌工作区地面冲洗废水产生量约</w:t>
            </w:r>
            <w:r>
              <w:rPr>
                <w:rFonts w:hint="eastAsia" w:cs="Times New Roman"/>
                <w:color w:val="auto"/>
                <w:sz w:val="24"/>
                <w:lang w:val="en-US" w:eastAsia="zh-CN"/>
              </w:rPr>
              <w:t>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/d，即</w:t>
            </w:r>
            <w:r>
              <w:rPr>
                <w:rFonts w:hint="eastAsia" w:cs="Times New Roman"/>
                <w:color w:val="auto"/>
                <w:sz w:val="24"/>
                <w:lang w:val="en-US" w:eastAsia="zh-CN"/>
              </w:rPr>
              <w:t>1600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/a，主要污染因子为SS、石油类，各污染物浓度为SS：1000mg/L，石油类：10mg/L。</w:t>
            </w:r>
          </w:p>
          <w:p w14:paraId="392148C5">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项目修建</w:t>
            </w:r>
            <w:r>
              <w:rPr>
                <w:rFonts w:hint="eastAsia" w:cs="Times New Roman"/>
                <w:color w:val="auto"/>
                <w:sz w:val="24"/>
                <w:lang w:val="en-US" w:eastAsia="zh-CN"/>
              </w:rPr>
              <w:t>1座</w:t>
            </w:r>
            <w:r>
              <w:rPr>
                <w:rFonts w:hint="default" w:ascii="Times New Roman" w:hAnsi="Times New Roman" w:cs="Times New Roman"/>
                <w:color w:val="auto"/>
                <w:sz w:val="24"/>
              </w:rPr>
              <w:t>三级隔油沉淀池，处理规模为</w:t>
            </w:r>
            <w:r>
              <w:rPr>
                <w:rFonts w:hint="eastAsia" w:cs="Times New Roman"/>
                <w:color w:val="auto"/>
                <w:sz w:val="24"/>
                <w:lang w:val="en-US" w:eastAsia="zh-CN"/>
              </w:rPr>
              <w:t>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/d，地面冲洗废水经过隔油沉淀池处理后</w:t>
            </w:r>
            <w:r>
              <w:rPr>
                <w:rFonts w:hint="eastAsia" w:cs="Times New Roman"/>
                <w:color w:val="auto"/>
                <w:sz w:val="24"/>
                <w:lang w:val="en-US" w:eastAsia="zh-CN"/>
              </w:rPr>
              <w:t>回</w:t>
            </w:r>
            <w:r>
              <w:rPr>
                <w:rFonts w:hint="default" w:ascii="Times New Roman" w:hAnsi="Times New Roman" w:cs="Times New Roman"/>
                <w:color w:val="auto"/>
                <w:sz w:val="24"/>
              </w:rPr>
              <w:t>用于</w:t>
            </w:r>
            <w:r>
              <w:rPr>
                <w:rFonts w:hint="eastAsia" w:cs="Times New Roman"/>
                <w:color w:val="auto"/>
                <w:sz w:val="24"/>
                <w:lang w:val="en-US" w:eastAsia="zh-CN"/>
              </w:rPr>
              <w:t>厂区地面</w:t>
            </w:r>
            <w:r>
              <w:rPr>
                <w:rFonts w:hint="default" w:ascii="Times New Roman" w:hAnsi="Times New Roman" w:cs="Times New Roman"/>
                <w:color w:val="auto"/>
                <w:sz w:val="24"/>
              </w:rPr>
              <w:t>冲洗</w:t>
            </w:r>
            <w:r>
              <w:rPr>
                <w:rFonts w:hint="eastAsia" w:ascii="Times New Roman" w:hAnsi="Times New Roman" w:cs="Times New Roman"/>
                <w:color w:val="auto"/>
                <w:sz w:val="24"/>
                <w:lang w:val="en-US" w:eastAsia="zh-CN"/>
              </w:rPr>
              <w:t>及</w:t>
            </w:r>
            <w:r>
              <w:rPr>
                <w:rFonts w:hint="eastAsia" w:cs="Times New Roman"/>
                <w:color w:val="auto"/>
                <w:sz w:val="24"/>
                <w:lang w:val="en-US" w:eastAsia="zh-CN"/>
              </w:rPr>
              <w:t>洒水降尘</w:t>
            </w:r>
            <w:r>
              <w:rPr>
                <w:rFonts w:hint="default" w:ascii="Times New Roman" w:hAnsi="Times New Roman" w:cs="Times New Roman"/>
                <w:color w:val="auto"/>
                <w:sz w:val="24"/>
              </w:rPr>
              <w:t>，不外排。</w:t>
            </w:r>
            <w:r>
              <w:rPr>
                <w:rFonts w:hint="default" w:ascii="Times New Roman" w:hAnsi="Times New Roman" w:eastAsia="宋体" w:cs="Times New Roman"/>
                <w:color w:val="auto"/>
                <w:sz w:val="24"/>
                <w:lang w:eastAsia="zh-CN"/>
              </w:rPr>
              <w:t>产生的少量废油暂存危险废物暂存间，后交由有资质单位处理。</w:t>
            </w:r>
          </w:p>
          <w:p w14:paraId="62FCF8DB">
            <w:pPr>
              <w:pStyle w:val="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（2）生活污水</w:t>
            </w:r>
          </w:p>
          <w:p w14:paraId="0A6CDEAD">
            <w:pPr>
              <w:pStyle w:val="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①职工人员生活污水</w:t>
            </w:r>
          </w:p>
          <w:p w14:paraId="662798F3">
            <w:pPr>
              <w:pStyle w:val="1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本项目有职工人员</w:t>
            </w:r>
            <w:r>
              <w:rPr>
                <w:rFonts w:hint="eastAsia" w:ascii="Times New Roman" w:hAnsi="Times New Roman" w:cs="Times New Roman"/>
                <w:color w:val="auto"/>
                <w:lang w:val="en-US" w:eastAsia="zh-CN"/>
              </w:rPr>
              <w:t>3</w:t>
            </w:r>
            <w:r>
              <w:rPr>
                <w:rFonts w:hint="default" w:ascii="Times New Roman" w:hAnsi="Times New Roman" w:cs="Times New Roman"/>
                <w:color w:val="auto"/>
              </w:rPr>
              <w:t>0人，</w:t>
            </w:r>
            <w:r>
              <w:rPr>
                <w:rFonts w:hint="eastAsia" w:ascii="Times New Roman" w:hAnsi="Times New Roman" w:cs="Times New Roman"/>
                <w:color w:val="auto"/>
                <w:lang w:val="en-US" w:eastAsia="zh-CN"/>
              </w:rPr>
              <w:t>均</w:t>
            </w:r>
            <w:r>
              <w:rPr>
                <w:rFonts w:hint="default" w:ascii="Times New Roman" w:hAnsi="Times New Roman" w:cs="Times New Roman"/>
                <w:color w:val="auto"/>
              </w:rPr>
              <w:t>在厂区内食宿。根据《云南省地方标准用水定额》（DB53/T168-2019），在项目区住宿人均用水量按80L/（人·d）计，则职工人员用水量为</w:t>
            </w:r>
            <w:r>
              <w:rPr>
                <w:rFonts w:hint="eastAsia" w:ascii="Times New Roman" w:hAnsi="Times New Roman" w:cs="Times New Roman"/>
                <w:color w:val="auto"/>
                <w:lang w:val="en-US" w:eastAsia="zh-CN"/>
              </w:rPr>
              <w:t>2.4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val="en-US" w:eastAsia="zh-CN"/>
              </w:rPr>
              <w:t>480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/a；废水产生量按用水量的80%计算，则废水产生量约为</w:t>
            </w:r>
            <w:r>
              <w:rPr>
                <w:rFonts w:hint="eastAsia" w:ascii="Times New Roman" w:hAnsi="Times New Roman" w:cs="Times New Roman"/>
                <w:color w:val="auto"/>
                <w:lang w:val="en-US" w:eastAsia="zh-CN"/>
              </w:rPr>
              <w:t>1.92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val="en-US" w:eastAsia="zh-CN"/>
              </w:rPr>
              <w:t>384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p w14:paraId="34132B4D">
            <w:pPr>
              <w:pStyle w:val="1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②食堂废水</w:t>
            </w:r>
          </w:p>
          <w:p w14:paraId="7E3800B7">
            <w:pPr>
              <w:pStyle w:val="1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本项目建成后职工人员在项目区就餐，根据《云南省地方标准用水定额》（DB53/T168-2019），用水量按20L/（人.d）计，则用水量为0.</w:t>
            </w:r>
            <w:r>
              <w:rPr>
                <w:rFonts w:hint="eastAsia" w:ascii="Times New Roman" w:hAnsi="Times New Roman" w:cs="Times New Roman"/>
                <w:color w:val="auto"/>
                <w:lang w:val="en-US" w:eastAsia="zh-CN"/>
              </w:rPr>
              <w:t>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val="en-US" w:eastAsia="zh-CN"/>
              </w:rPr>
              <w:t>120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/a，污水产生量按用水量的80%计算，则污水产生量约为</w:t>
            </w:r>
            <w:r>
              <w:rPr>
                <w:rFonts w:hint="eastAsia" w:ascii="Times New Roman" w:hAnsi="Times New Roman" w:cs="Times New Roman"/>
                <w:color w:val="auto"/>
                <w:lang w:val="en-US" w:eastAsia="zh-CN"/>
              </w:rPr>
              <w:t>0.48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val="en-US" w:eastAsia="zh-CN"/>
              </w:rPr>
              <w:t>96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p w14:paraId="652E4A2C">
            <w:pPr>
              <w:pStyle w:val="17"/>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项目区</w:t>
            </w:r>
            <w:r>
              <w:rPr>
                <w:rFonts w:hint="default" w:ascii="Times New Roman" w:hAnsi="Times New Roman" w:cs="Times New Roman"/>
                <w:color w:val="auto"/>
                <w:sz w:val="24"/>
                <w:szCs w:val="24"/>
              </w:rPr>
              <w:t>食堂废水先经</w:t>
            </w:r>
            <w:r>
              <w:rPr>
                <w:rFonts w:hint="eastAsia" w:cs="Times New Roman"/>
                <w:color w:val="auto"/>
                <w:sz w:val="24"/>
                <w:szCs w:val="24"/>
                <w:lang w:eastAsia="zh-CN"/>
              </w:rPr>
              <w:t>隔油池</w:t>
            </w:r>
            <w:r>
              <w:rPr>
                <w:rFonts w:hint="default" w:ascii="Times New Roman" w:hAnsi="Times New Roman" w:cs="Times New Roman"/>
                <w:color w:val="auto"/>
                <w:sz w:val="24"/>
                <w:szCs w:val="24"/>
              </w:rPr>
              <w:t>预处理后同</w:t>
            </w:r>
            <w:r>
              <w:rPr>
                <w:rFonts w:hint="eastAsia" w:cs="Times New Roman"/>
                <w:color w:val="auto"/>
                <w:sz w:val="24"/>
                <w:szCs w:val="24"/>
                <w:lang w:val="en-US" w:eastAsia="zh-CN"/>
              </w:rPr>
              <w:t>其他生活</w:t>
            </w:r>
            <w:r>
              <w:rPr>
                <w:rFonts w:hint="default" w:ascii="Times New Roman" w:hAnsi="Times New Roman" w:cs="Times New Roman"/>
                <w:color w:val="auto"/>
                <w:sz w:val="24"/>
                <w:szCs w:val="24"/>
              </w:rPr>
              <w:t>污水一起排入化粪池进行处理，</w:t>
            </w:r>
            <w:r>
              <w:rPr>
                <w:rFonts w:hint="default" w:ascii="Times New Roman" w:hAnsi="Times New Roman" w:cs="Times New Roman"/>
                <w:color w:val="auto"/>
                <w:sz w:val="24"/>
              </w:rPr>
              <w:t>再排入自建污水处理站处理，</w:t>
            </w:r>
            <w:r>
              <w:rPr>
                <w:rFonts w:hint="eastAsia" w:ascii="Times New Roman" w:hAnsi="Times New Roman" w:cs="Times New Roman"/>
                <w:color w:val="auto"/>
                <w:sz w:val="24"/>
                <w:lang w:val="en-US" w:eastAsia="zh-CN"/>
              </w:rPr>
              <w:t>达标后</w:t>
            </w:r>
            <w:r>
              <w:rPr>
                <w:rFonts w:hint="default" w:ascii="Times New Roman" w:hAnsi="Times New Roman" w:cs="Times New Roman"/>
                <w:color w:val="auto"/>
                <w:sz w:val="24"/>
                <w:szCs w:val="24"/>
              </w:rPr>
              <w:t>近期</w:t>
            </w:r>
            <w:r>
              <w:rPr>
                <w:rFonts w:hint="eastAsia" w:ascii="Times New Roman" w:hAnsi="Times New Roman" w:cs="Times New Roman"/>
                <w:color w:val="auto"/>
                <w:sz w:val="24"/>
                <w:szCs w:val="24"/>
                <w:lang w:val="en-US" w:eastAsia="zh-CN"/>
              </w:rPr>
              <w:t>用于绿化</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远期在污水管网覆盖项目区域后排入工业园区污水管网，进入</w:t>
            </w:r>
            <w:r>
              <w:rPr>
                <w:rFonts w:hint="default" w:ascii="Times New Roman" w:hAnsi="Times New Roman" w:eastAsia="宋体" w:cs="Times New Roman"/>
                <w:color w:val="auto"/>
                <w:sz w:val="24"/>
                <w:szCs w:val="24"/>
              </w:rPr>
              <w:t>帕底工业</w:t>
            </w:r>
            <w:r>
              <w:rPr>
                <w:rFonts w:hint="default" w:ascii="Times New Roman" w:hAnsi="Times New Roman" w:cs="Times New Roman"/>
                <w:color w:val="auto"/>
                <w:sz w:val="24"/>
                <w:szCs w:val="24"/>
              </w:rPr>
              <w:t>园区污水处理厂处理。</w:t>
            </w:r>
          </w:p>
          <w:p w14:paraId="41B5FB5E">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（3）洒水降尘用水</w:t>
            </w:r>
          </w:p>
          <w:p w14:paraId="0126E56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项目运营期间洒水降尘主要为堆料棚、搅拌场地四周的运输和回车场地，需要洒水降尘面积按</w:t>
            </w:r>
            <w:r>
              <w:rPr>
                <w:rFonts w:hint="eastAsia" w:cs="Times New Roman"/>
                <w:color w:val="auto"/>
                <w:sz w:val="24"/>
                <w:lang w:val="en-US" w:eastAsia="zh-CN"/>
              </w:rPr>
              <w:t>5000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进行估算，洒水量按0.5L/m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·次，每天5次进行计算，则用水量为</w:t>
            </w:r>
            <w:r>
              <w:rPr>
                <w:rFonts w:hint="eastAsia" w:cs="Times New Roman"/>
                <w:color w:val="auto"/>
                <w:sz w:val="24"/>
                <w:lang w:val="en-US" w:eastAsia="zh-CN"/>
              </w:rPr>
              <w:t>12.5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/d，其中非雨天按</w:t>
            </w:r>
            <w:r>
              <w:rPr>
                <w:rFonts w:hint="eastAsia" w:cs="Times New Roman"/>
                <w:color w:val="auto"/>
                <w:sz w:val="24"/>
                <w:lang w:val="en-US" w:eastAsia="zh-CN"/>
              </w:rPr>
              <w:t>200</w:t>
            </w:r>
            <w:r>
              <w:rPr>
                <w:rFonts w:hint="default" w:ascii="Times New Roman" w:hAnsi="Times New Roman" w:cs="Times New Roman"/>
                <w:color w:val="auto"/>
                <w:sz w:val="24"/>
              </w:rPr>
              <w:t>天进行计算，则降尘用水量为</w:t>
            </w:r>
            <w:r>
              <w:rPr>
                <w:rFonts w:hint="eastAsia" w:cs="Times New Roman"/>
                <w:color w:val="auto"/>
                <w:sz w:val="24"/>
                <w:lang w:val="en-US" w:eastAsia="zh-CN"/>
              </w:rPr>
              <w:t>2500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/a，该部分用水通过场地自然蒸发消耗。</w:t>
            </w:r>
          </w:p>
          <w:p w14:paraId="1B66570A">
            <w:pPr>
              <w:numPr>
                <w:ilvl w:val="0"/>
                <w:numId w:val="0"/>
              </w:numPr>
              <w:spacing w:line="360" w:lineRule="auto"/>
              <w:ind w:leftChars="200"/>
              <w:rPr>
                <w:rFonts w:hint="default" w:ascii="Times New Roman" w:hAnsi="Times New Roman" w:cs="Times New Roman"/>
                <w:color w:val="auto"/>
                <w:sz w:val="24"/>
              </w:rPr>
            </w:pPr>
            <w:r>
              <w:rPr>
                <w:rFonts w:hint="eastAsia" w:cs="Times New Roman"/>
                <w:color w:val="auto"/>
                <w:sz w:val="24"/>
                <w:lang w:val="en-US" w:eastAsia="zh-CN"/>
              </w:rPr>
              <w:t>（4）车辆和设备冲洗</w:t>
            </w:r>
            <w:r>
              <w:rPr>
                <w:rFonts w:hint="default" w:ascii="Times New Roman" w:hAnsi="Times New Roman" w:cs="Times New Roman"/>
                <w:color w:val="auto"/>
                <w:sz w:val="24"/>
              </w:rPr>
              <w:t>废水</w:t>
            </w:r>
          </w:p>
          <w:p w14:paraId="348D7643">
            <w:pPr>
              <w:numPr>
                <w:ilvl w:val="0"/>
                <w:numId w:val="0"/>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本项目设置</w:t>
            </w:r>
            <w:r>
              <w:rPr>
                <w:rFonts w:hint="eastAsia" w:cs="Times New Roman"/>
                <w:color w:val="auto"/>
                <w:sz w:val="24"/>
                <w:lang w:val="en-US" w:eastAsia="zh-CN"/>
              </w:rPr>
              <w:t>冲洗</w:t>
            </w:r>
            <w:r>
              <w:rPr>
                <w:rFonts w:hint="default" w:ascii="Times New Roman" w:hAnsi="Times New Roman" w:cs="Times New Roman"/>
                <w:color w:val="auto"/>
                <w:sz w:val="24"/>
              </w:rPr>
              <w:t>平台</w:t>
            </w:r>
            <w:r>
              <w:rPr>
                <w:rFonts w:hint="default" w:ascii="Times New Roman" w:hAnsi="Times New Roman" w:eastAsia="宋体" w:cs="Times New Roman"/>
                <w:color w:val="auto"/>
                <w:sz w:val="24"/>
                <w:lang w:eastAsia="zh-CN"/>
              </w:rPr>
              <w:t>对车</w:t>
            </w:r>
            <w:r>
              <w:rPr>
                <w:rFonts w:hint="eastAsia" w:cs="Times New Roman"/>
                <w:color w:val="auto"/>
                <w:sz w:val="24"/>
                <w:lang w:val="en-US" w:eastAsia="zh-CN"/>
              </w:rPr>
              <w:t>辆和设备</w:t>
            </w:r>
            <w:r>
              <w:rPr>
                <w:rFonts w:hint="default" w:ascii="Times New Roman" w:hAnsi="Times New Roman" w:eastAsia="宋体" w:cs="Times New Roman"/>
                <w:color w:val="auto"/>
                <w:sz w:val="24"/>
                <w:lang w:eastAsia="zh-CN"/>
              </w:rPr>
              <w:t>进行清洗，</w:t>
            </w:r>
            <w:r>
              <w:rPr>
                <w:rFonts w:hint="default" w:ascii="Times New Roman" w:hAnsi="Times New Roman" w:cs="Times New Roman"/>
                <w:color w:val="auto"/>
                <w:sz w:val="24"/>
              </w:rPr>
              <w:t>每天损耗水量为</w:t>
            </w:r>
            <w:r>
              <w:rPr>
                <w:rFonts w:hint="eastAsia" w:cs="Times New Roman"/>
                <w:color w:val="auto"/>
                <w:sz w:val="24"/>
                <w:lang w:val="en-US" w:eastAsia="zh-CN"/>
              </w:rPr>
              <w:t>3</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/d，污水产生量按用水量的80%计算，则污水产生量约为</w:t>
            </w:r>
            <w:r>
              <w:rPr>
                <w:rFonts w:hint="eastAsia" w:cs="Times New Roman"/>
                <w:color w:val="auto"/>
                <w:sz w:val="24"/>
                <w:lang w:val="en-US" w:eastAsia="zh-CN"/>
              </w:rPr>
              <w:t>2.4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/d，产生的</w:t>
            </w:r>
            <w:r>
              <w:rPr>
                <w:rFonts w:hint="eastAsia" w:cs="Times New Roman"/>
                <w:color w:val="auto"/>
                <w:sz w:val="24"/>
                <w:lang w:val="en-US" w:eastAsia="zh-CN"/>
              </w:rPr>
              <w:t>车辆和设备冲洗</w:t>
            </w:r>
            <w:r>
              <w:rPr>
                <w:rFonts w:hint="default" w:ascii="Times New Roman" w:hAnsi="Times New Roman" w:cs="Times New Roman"/>
                <w:color w:val="auto"/>
                <w:sz w:val="24"/>
              </w:rPr>
              <w:t>废水</w:t>
            </w:r>
            <w:r>
              <w:rPr>
                <w:rFonts w:hint="eastAsia" w:ascii="Times New Roman" w:hAnsi="Times New Roman" w:cs="Times New Roman"/>
                <w:color w:val="auto"/>
                <w:lang w:val="en-US" w:eastAsia="zh-CN"/>
              </w:rPr>
              <w:t>排入</w:t>
            </w:r>
            <w:r>
              <w:rPr>
                <w:rFonts w:hint="default" w:ascii="Times New Roman" w:hAnsi="Times New Roman" w:cs="Times New Roman"/>
                <w:color w:val="auto"/>
                <w:sz w:val="24"/>
              </w:rPr>
              <w:t>三级隔油沉淀池</w:t>
            </w:r>
            <w:r>
              <w:rPr>
                <w:rFonts w:hint="eastAsia" w:ascii="Times New Roman" w:hAnsi="Times New Roman" w:cs="Times New Roman"/>
                <w:color w:val="auto"/>
                <w:sz w:val="24"/>
                <w:lang w:val="en-US" w:eastAsia="zh-CN"/>
              </w:rPr>
              <w:t>处理后回用</w:t>
            </w:r>
            <w:r>
              <w:rPr>
                <w:rFonts w:hint="default" w:ascii="Times New Roman" w:hAnsi="Times New Roman" w:cs="Times New Roman"/>
                <w:color w:val="auto"/>
                <w:sz w:val="24"/>
              </w:rPr>
              <w:t>于</w:t>
            </w:r>
            <w:r>
              <w:rPr>
                <w:rFonts w:hint="eastAsia" w:cs="Times New Roman"/>
                <w:color w:val="auto"/>
                <w:sz w:val="24"/>
                <w:lang w:val="en-US" w:eastAsia="zh-CN"/>
              </w:rPr>
              <w:t>厂区地面</w:t>
            </w:r>
            <w:r>
              <w:rPr>
                <w:rFonts w:hint="default" w:ascii="Times New Roman" w:hAnsi="Times New Roman" w:cs="Times New Roman"/>
                <w:color w:val="auto"/>
                <w:sz w:val="24"/>
              </w:rPr>
              <w:t>冲洗</w:t>
            </w:r>
            <w:r>
              <w:rPr>
                <w:rFonts w:hint="eastAsia" w:ascii="Times New Roman" w:hAnsi="Times New Roman" w:cs="Times New Roman"/>
                <w:color w:val="auto"/>
                <w:sz w:val="24"/>
                <w:lang w:val="en-US" w:eastAsia="zh-CN"/>
              </w:rPr>
              <w:t>及</w:t>
            </w:r>
            <w:r>
              <w:rPr>
                <w:rFonts w:hint="eastAsia" w:cs="Times New Roman"/>
                <w:color w:val="auto"/>
                <w:sz w:val="24"/>
                <w:lang w:val="en-US" w:eastAsia="zh-CN"/>
              </w:rPr>
              <w:t>洒水降尘</w:t>
            </w:r>
            <w:r>
              <w:rPr>
                <w:rFonts w:hint="default" w:ascii="Times New Roman" w:hAnsi="Times New Roman" w:cs="Times New Roman"/>
                <w:color w:val="auto"/>
                <w:sz w:val="24"/>
              </w:rPr>
              <w:t>，不外排。</w:t>
            </w:r>
          </w:p>
          <w:p w14:paraId="38B933DD">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（5）绿化用水</w:t>
            </w:r>
          </w:p>
          <w:p w14:paraId="46793A43">
            <w:pPr>
              <w:spacing w:line="360" w:lineRule="auto"/>
              <w:ind w:firstLine="480" w:firstLineChars="200"/>
              <w:rPr>
                <w:rFonts w:hint="default" w:ascii="Times New Roman" w:hAnsi="Times New Roman" w:cs="Times New Roman"/>
                <w:color w:val="auto"/>
                <w:spacing w:val="6"/>
                <w:kern w:val="15"/>
                <w:sz w:val="24"/>
              </w:rPr>
            </w:pPr>
            <w:r>
              <w:rPr>
                <w:rFonts w:hint="default" w:ascii="Times New Roman" w:hAnsi="Times New Roman" w:cs="Times New Roman"/>
                <w:color w:val="auto"/>
                <w:sz w:val="24"/>
              </w:rPr>
              <w:t>项目内绿化面积</w:t>
            </w:r>
            <w:r>
              <w:rPr>
                <w:rFonts w:hint="eastAsia" w:cs="Times New Roman"/>
                <w:color w:val="auto"/>
                <w:sz w:val="24"/>
                <w:lang w:val="en-US" w:eastAsia="zh-CN"/>
              </w:rPr>
              <w:t>40</w:t>
            </w:r>
            <w:r>
              <w:rPr>
                <w:rFonts w:hint="default" w:ascii="Times New Roman" w:hAnsi="Times New Roman" w:cs="Times New Roman"/>
                <w:color w:val="auto"/>
                <w:sz w:val="24"/>
              </w:rPr>
              <w:t>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，非雨天每天进行一次浇水，绿化用水按3.0L/（m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•d）计，雨天不用浇水</w:t>
            </w:r>
            <w:r>
              <w:rPr>
                <w:rFonts w:hint="default" w:ascii="Times New Roman" w:hAnsi="Times New Roman" w:cs="Times New Roman"/>
                <w:color w:val="auto"/>
                <w:spacing w:val="6"/>
                <w:kern w:val="15"/>
                <w:sz w:val="24"/>
              </w:rPr>
              <w:t>。该项目非雨天约</w:t>
            </w:r>
            <w:r>
              <w:rPr>
                <w:rFonts w:hint="eastAsia" w:cs="Times New Roman"/>
                <w:color w:val="auto"/>
                <w:spacing w:val="6"/>
                <w:kern w:val="15"/>
                <w:sz w:val="24"/>
                <w:lang w:val="en-US" w:eastAsia="zh-CN"/>
              </w:rPr>
              <w:t>200</w:t>
            </w:r>
            <w:r>
              <w:rPr>
                <w:rFonts w:hint="default" w:ascii="Times New Roman" w:hAnsi="Times New Roman" w:cs="Times New Roman"/>
                <w:color w:val="auto"/>
                <w:spacing w:val="6"/>
                <w:kern w:val="15"/>
                <w:sz w:val="24"/>
              </w:rPr>
              <w:t>天，则项目绿化用水量为</w:t>
            </w:r>
            <w:r>
              <w:rPr>
                <w:rFonts w:hint="eastAsia" w:cs="Times New Roman"/>
                <w:color w:val="auto"/>
                <w:spacing w:val="6"/>
                <w:kern w:val="15"/>
                <w:sz w:val="24"/>
                <w:lang w:val="en-US" w:eastAsia="zh-CN"/>
              </w:rPr>
              <w:t>12</w:t>
            </w:r>
            <w:r>
              <w:rPr>
                <w:rFonts w:hint="default" w:ascii="Times New Roman" w:hAnsi="Times New Roman" w:cs="Times New Roman"/>
                <w:color w:val="auto"/>
                <w:spacing w:val="6"/>
                <w:kern w:val="15"/>
                <w:sz w:val="24"/>
              </w:rPr>
              <w:t>m</w:t>
            </w:r>
            <w:r>
              <w:rPr>
                <w:rFonts w:hint="default" w:ascii="Times New Roman" w:hAnsi="Times New Roman" w:cs="Times New Roman"/>
                <w:color w:val="auto"/>
                <w:spacing w:val="6"/>
                <w:kern w:val="15"/>
                <w:sz w:val="24"/>
                <w:vertAlign w:val="superscript"/>
              </w:rPr>
              <w:t>3</w:t>
            </w:r>
            <w:r>
              <w:rPr>
                <w:rFonts w:hint="default" w:ascii="Times New Roman" w:hAnsi="Times New Roman" w:cs="Times New Roman"/>
                <w:color w:val="auto"/>
                <w:spacing w:val="6"/>
                <w:kern w:val="15"/>
                <w:sz w:val="24"/>
              </w:rPr>
              <w:t>/d，</w:t>
            </w:r>
            <w:r>
              <w:rPr>
                <w:rFonts w:hint="eastAsia" w:cs="Times New Roman"/>
                <w:color w:val="auto"/>
                <w:spacing w:val="6"/>
                <w:kern w:val="15"/>
                <w:sz w:val="24"/>
                <w:lang w:val="en-US" w:eastAsia="zh-CN"/>
              </w:rPr>
              <w:t>2400</w:t>
            </w:r>
            <w:r>
              <w:rPr>
                <w:rFonts w:hint="default" w:ascii="Times New Roman" w:hAnsi="Times New Roman" w:cs="Times New Roman"/>
                <w:color w:val="auto"/>
                <w:spacing w:val="6"/>
                <w:kern w:val="15"/>
                <w:sz w:val="24"/>
              </w:rPr>
              <w:t>m</w:t>
            </w:r>
            <w:r>
              <w:rPr>
                <w:rFonts w:hint="default" w:ascii="Times New Roman" w:hAnsi="Times New Roman" w:cs="Times New Roman"/>
                <w:color w:val="auto"/>
                <w:spacing w:val="6"/>
                <w:kern w:val="15"/>
                <w:sz w:val="24"/>
                <w:vertAlign w:val="superscript"/>
              </w:rPr>
              <w:t>3</w:t>
            </w:r>
            <w:r>
              <w:rPr>
                <w:rFonts w:hint="default" w:ascii="Times New Roman" w:hAnsi="Times New Roman" w:cs="Times New Roman"/>
                <w:color w:val="auto"/>
                <w:spacing w:val="6"/>
                <w:kern w:val="15"/>
                <w:sz w:val="24"/>
              </w:rPr>
              <w:t>/a。</w:t>
            </w:r>
          </w:p>
          <w:p w14:paraId="610714F5">
            <w:pPr>
              <w:spacing w:line="360" w:lineRule="auto"/>
              <w:ind w:firstLine="480" w:firstLineChars="200"/>
              <w:rPr>
                <w:rFonts w:hint="eastAsia" w:ascii="Times New Roman" w:hAnsi="Times New Roman" w:eastAsia="宋体" w:cs="Times New Roman"/>
                <w:bCs/>
                <w:color w:val="auto"/>
                <w:sz w:val="24"/>
                <w:lang w:eastAsia="zh-CN"/>
              </w:rPr>
            </w:pPr>
            <w:r>
              <w:rPr>
                <w:rFonts w:hint="default" w:ascii="Times New Roman" w:hAnsi="Times New Roman" w:cs="Times New Roman"/>
                <w:bCs/>
                <w:color w:val="auto"/>
                <w:sz w:val="24"/>
              </w:rPr>
              <w:t>（6）雨天</w:t>
            </w:r>
            <w:r>
              <w:rPr>
                <w:rFonts w:hint="eastAsia" w:cs="Times New Roman"/>
                <w:bCs/>
                <w:color w:val="auto"/>
                <w:sz w:val="24"/>
                <w:lang w:val="en-US" w:eastAsia="zh-CN"/>
              </w:rPr>
              <w:t>初期雨水</w:t>
            </w:r>
          </w:p>
          <w:p w14:paraId="742966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zh-CN"/>
              </w:rPr>
              <w:t>项目厂区</w:t>
            </w:r>
            <w:r>
              <w:rPr>
                <w:rFonts w:hint="eastAsia" w:ascii="Times New Roman" w:hAnsi="Times New Roman" w:cs="Times New Roman"/>
                <w:color w:val="auto"/>
                <w:sz w:val="24"/>
                <w:szCs w:val="24"/>
                <w:highlight w:val="none"/>
                <w:lang w:val="en-US" w:eastAsia="zh-CN"/>
              </w:rPr>
              <w:t>各类原辅料</w:t>
            </w:r>
            <w:r>
              <w:rPr>
                <w:rFonts w:hint="default" w:ascii="Times New Roman" w:hAnsi="Times New Roman" w:cs="Times New Roman"/>
                <w:color w:val="auto"/>
                <w:sz w:val="24"/>
                <w:szCs w:val="24"/>
                <w:highlight w:val="none"/>
                <w:lang w:val="zh-CN"/>
              </w:rPr>
              <w:t>贮存及运输过程中可能有各种污染物滴漏、散落在露天场地及路面上，遇雨天形成地表径流，污染物会随流带入周边水体，造成一定的环境污染。要求建设单位对厂区</w:t>
            </w:r>
            <w:r>
              <w:rPr>
                <w:rFonts w:hint="eastAsia" w:cs="Times New Roman"/>
                <w:color w:val="auto"/>
                <w:sz w:val="24"/>
                <w:szCs w:val="24"/>
                <w:highlight w:val="none"/>
                <w:lang w:val="en-US" w:eastAsia="zh-CN"/>
              </w:rPr>
              <w:t>产生的</w:t>
            </w:r>
            <w:r>
              <w:rPr>
                <w:rFonts w:hint="default" w:ascii="Times New Roman" w:hAnsi="Times New Roman" w:cs="Times New Roman"/>
                <w:color w:val="auto"/>
                <w:sz w:val="24"/>
                <w:szCs w:val="24"/>
                <w:highlight w:val="none"/>
                <w:lang w:val="zh-CN"/>
              </w:rPr>
              <w:t>初期雨</w:t>
            </w:r>
            <w:r>
              <w:rPr>
                <w:rFonts w:hint="default" w:ascii="Times New Roman" w:hAnsi="Times New Roman" w:cs="Times New Roman"/>
                <w:color w:val="auto"/>
                <w:sz w:val="24"/>
                <w:szCs w:val="24"/>
                <w:highlight w:val="none"/>
                <w:lang w:val="en-US" w:eastAsia="zh-CN"/>
              </w:rPr>
              <w:t>污</w:t>
            </w:r>
            <w:r>
              <w:rPr>
                <w:rFonts w:hint="default" w:ascii="Times New Roman" w:hAnsi="Times New Roman" w:cs="Times New Roman"/>
                <w:color w:val="auto"/>
                <w:sz w:val="24"/>
                <w:szCs w:val="24"/>
                <w:highlight w:val="none"/>
                <w:lang w:val="zh-CN"/>
              </w:rPr>
              <w:t>水进行收集处理。</w:t>
            </w:r>
          </w:p>
          <w:p w14:paraId="2083D1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s="Times New Roman"/>
                <w:color w:val="auto"/>
                <w:spacing w:val="0"/>
                <w:kern w:val="0"/>
                <w:sz w:val="24"/>
                <w:szCs w:val="24"/>
                <w:lang w:val="en-US" w:eastAsia="zh-CN" w:bidi="ar"/>
              </w:rPr>
            </w:pPr>
            <w:r>
              <w:rPr>
                <w:rFonts w:hint="eastAsia" w:cs="Times New Roman"/>
                <w:color w:val="auto"/>
                <w:spacing w:val="0"/>
                <w:kern w:val="0"/>
                <w:sz w:val="24"/>
                <w:szCs w:val="24"/>
                <w:lang w:val="en-US" w:eastAsia="zh-CN" w:bidi="ar"/>
              </w:rPr>
              <w:t>全年初期雨水量计算公式为：Wi=10×δ×F。</w:t>
            </w:r>
          </w:p>
          <w:p w14:paraId="620457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pacing w:val="2"/>
                <w:sz w:val="24"/>
                <w:szCs w:val="24"/>
                <w:highlight w:val="none"/>
                <w:lang w:val="en-US" w:eastAsia="zh-CN"/>
              </w:rPr>
            </w:pPr>
            <w:r>
              <w:rPr>
                <w:rFonts w:hint="eastAsia" w:cs="Times New Roman"/>
                <w:color w:val="auto"/>
                <w:spacing w:val="0"/>
                <w:kern w:val="0"/>
                <w:sz w:val="24"/>
                <w:szCs w:val="24"/>
                <w:lang w:val="en-US" w:eastAsia="zh-CN" w:bidi="ar"/>
              </w:rPr>
              <w:t>式中：Wi为初期雨水量(m</w:t>
            </w:r>
            <w:r>
              <w:rPr>
                <w:rFonts w:hint="eastAsia" w:cs="Times New Roman"/>
                <w:color w:val="auto"/>
                <w:spacing w:val="0"/>
                <w:kern w:val="0"/>
                <w:sz w:val="24"/>
                <w:szCs w:val="24"/>
                <w:vertAlign w:val="superscript"/>
                <w:lang w:val="en-US" w:eastAsia="zh-CN" w:bidi="ar"/>
              </w:rPr>
              <w:t>3</w:t>
            </w:r>
            <w:r>
              <w:rPr>
                <w:rFonts w:hint="eastAsia" w:cs="Times New Roman"/>
                <w:color w:val="auto"/>
                <w:spacing w:val="0"/>
                <w:kern w:val="0"/>
                <w:sz w:val="24"/>
                <w:szCs w:val="24"/>
                <w:lang w:val="en-US" w:eastAsia="zh-CN" w:bidi="ar"/>
              </w:rPr>
              <w:t>)，δ为初期雨水径流厚度(mm)，本评价δ取多年平均降水量的10%；F为集水面积(hm</w:t>
            </w:r>
            <w:r>
              <w:rPr>
                <w:rFonts w:hint="eastAsia" w:cs="Times New Roman"/>
                <w:color w:val="auto"/>
                <w:spacing w:val="0"/>
                <w:kern w:val="0"/>
                <w:sz w:val="24"/>
                <w:szCs w:val="24"/>
                <w:vertAlign w:val="superscript"/>
                <w:lang w:val="en-US" w:eastAsia="zh-CN" w:bidi="ar"/>
              </w:rPr>
              <w:t>2</w:t>
            </w:r>
            <w:r>
              <w:rPr>
                <w:rFonts w:hint="eastAsia" w:cs="Times New Roman"/>
                <w:color w:val="auto"/>
                <w:spacing w:val="0"/>
                <w:kern w:val="0"/>
                <w:sz w:val="24"/>
                <w:szCs w:val="24"/>
                <w:lang w:val="en-US" w:eastAsia="zh-CN" w:bidi="ar"/>
              </w:rPr>
              <w:t>)，本次取16000m</w:t>
            </w:r>
            <w:r>
              <w:rPr>
                <w:rFonts w:hint="eastAsia" w:cs="Times New Roman"/>
                <w:color w:val="auto"/>
                <w:spacing w:val="0"/>
                <w:kern w:val="0"/>
                <w:sz w:val="24"/>
                <w:szCs w:val="24"/>
                <w:vertAlign w:val="superscript"/>
                <w:lang w:val="en-US" w:eastAsia="zh-CN" w:bidi="ar"/>
              </w:rPr>
              <w:t>2</w:t>
            </w:r>
            <w:r>
              <w:rPr>
                <w:rFonts w:hint="eastAsia" w:cs="Times New Roman"/>
                <w:color w:val="auto"/>
                <w:spacing w:val="0"/>
                <w:kern w:val="0"/>
                <w:sz w:val="24"/>
                <w:szCs w:val="24"/>
                <w:lang w:val="en-US" w:eastAsia="zh-CN" w:bidi="ar"/>
              </w:rPr>
              <w:t>。芒市多年平均降水量为1653.4mm，则该项目全年初期雨水量为：Wi=10×1653.4×10%×0.2233=2645.44m</w:t>
            </w:r>
            <w:r>
              <w:rPr>
                <w:rFonts w:hint="eastAsia" w:cs="Times New Roman"/>
                <w:color w:val="auto"/>
                <w:spacing w:val="0"/>
                <w:kern w:val="0"/>
                <w:sz w:val="24"/>
                <w:szCs w:val="24"/>
                <w:vertAlign w:val="superscript"/>
                <w:lang w:val="en-US" w:eastAsia="zh-CN" w:bidi="ar"/>
              </w:rPr>
              <w:t>3</w:t>
            </w:r>
            <w:r>
              <w:rPr>
                <w:rFonts w:hint="eastAsia" w:cs="Times New Roman"/>
                <w:color w:val="auto"/>
                <w:spacing w:val="0"/>
                <w:kern w:val="0"/>
                <w:sz w:val="24"/>
                <w:szCs w:val="24"/>
                <w:lang w:val="en-US" w:eastAsia="zh-CN" w:bidi="ar"/>
              </w:rPr>
              <w:t>。</w:t>
            </w:r>
            <w:r>
              <w:rPr>
                <w:rFonts w:hint="eastAsia" w:ascii="Times New Roman" w:hAnsi="Times New Roman" w:cs="Times New Roman"/>
                <w:color w:val="auto"/>
                <w:spacing w:val="2"/>
                <w:sz w:val="24"/>
                <w:szCs w:val="24"/>
                <w:highlight w:val="none"/>
                <w:lang w:val="en-US" w:eastAsia="zh-CN"/>
              </w:rPr>
              <w:t>则</w:t>
            </w:r>
            <w:r>
              <w:rPr>
                <w:rFonts w:hint="default" w:ascii="Times New Roman" w:hAnsi="Times New Roman" w:eastAsia="宋体" w:cs="Times New Roman"/>
                <w:color w:val="auto"/>
                <w:sz w:val="24"/>
                <w:szCs w:val="24"/>
                <w:highlight w:val="none"/>
                <w:lang w:val="en-US" w:eastAsia="zh-CN"/>
              </w:rPr>
              <w:t>初期雨污水</w:t>
            </w:r>
            <w:r>
              <w:rPr>
                <w:rFonts w:hint="default" w:ascii="Times New Roman" w:hAnsi="Times New Roman" w:cs="Times New Roman"/>
                <w:color w:val="auto"/>
                <w:spacing w:val="2"/>
                <w:sz w:val="24"/>
                <w:szCs w:val="24"/>
                <w:highlight w:val="none"/>
              </w:rPr>
              <w:t>量为</w:t>
            </w:r>
            <w:r>
              <w:rPr>
                <w:rFonts w:hint="eastAsia" w:cs="Times New Roman"/>
                <w:color w:val="auto"/>
                <w:spacing w:val="2"/>
                <w:sz w:val="24"/>
                <w:szCs w:val="24"/>
                <w:highlight w:val="none"/>
                <w:lang w:val="en-US" w:eastAsia="zh-CN"/>
              </w:rPr>
              <w:t>16.03</w:t>
            </w:r>
            <w:r>
              <w:rPr>
                <w:rFonts w:hint="default" w:ascii="Times New Roman" w:hAnsi="Times New Roman" w:cs="Times New Roman"/>
                <w:color w:val="auto"/>
                <w:spacing w:val="2"/>
                <w:sz w:val="24"/>
                <w:szCs w:val="24"/>
                <w:highlight w:val="none"/>
              </w:rPr>
              <w:t>m</w:t>
            </w:r>
            <w:r>
              <w:rPr>
                <w:rFonts w:hint="default" w:ascii="Times New Roman" w:hAnsi="Times New Roman" w:cs="Times New Roman"/>
                <w:color w:val="auto"/>
                <w:spacing w:val="2"/>
                <w:sz w:val="24"/>
                <w:szCs w:val="24"/>
                <w:highlight w:val="none"/>
                <w:vertAlign w:val="superscript"/>
              </w:rPr>
              <w:t>3</w:t>
            </w:r>
            <w:r>
              <w:rPr>
                <w:rFonts w:hint="default" w:ascii="Times New Roman" w:hAnsi="Times New Roman" w:cs="Times New Roman"/>
                <w:color w:val="auto"/>
                <w:spacing w:val="2"/>
                <w:sz w:val="24"/>
                <w:szCs w:val="24"/>
                <w:highlight w:val="none"/>
              </w:rPr>
              <w:t>/</w:t>
            </w:r>
            <w:r>
              <w:rPr>
                <w:rFonts w:hint="eastAsia" w:cs="Times New Roman"/>
                <w:color w:val="auto"/>
                <w:spacing w:val="2"/>
                <w:sz w:val="24"/>
                <w:szCs w:val="24"/>
                <w:highlight w:val="none"/>
                <w:lang w:val="en-US" w:eastAsia="zh-CN"/>
              </w:rPr>
              <w:t>d</w:t>
            </w:r>
            <w:r>
              <w:rPr>
                <w:rFonts w:hint="eastAsia" w:ascii="Times New Roman" w:hAnsi="Times New Roman" w:cs="Times New Roman"/>
                <w:color w:val="auto"/>
                <w:spacing w:val="2"/>
                <w:sz w:val="24"/>
                <w:szCs w:val="24"/>
                <w:highlight w:val="none"/>
                <w:lang w:val="en-US" w:eastAsia="zh-CN"/>
              </w:rPr>
              <w:t>（雨天按照</w:t>
            </w:r>
            <w:r>
              <w:rPr>
                <w:rFonts w:hint="eastAsia" w:cs="Times New Roman"/>
                <w:color w:val="auto"/>
                <w:spacing w:val="2"/>
                <w:sz w:val="24"/>
                <w:szCs w:val="24"/>
                <w:highlight w:val="none"/>
                <w:lang w:val="en-US" w:eastAsia="zh-CN"/>
              </w:rPr>
              <w:t>全年165</w:t>
            </w:r>
            <w:r>
              <w:rPr>
                <w:rFonts w:hint="eastAsia" w:ascii="Times New Roman" w:hAnsi="Times New Roman" w:cs="Times New Roman"/>
                <w:color w:val="auto"/>
                <w:spacing w:val="2"/>
                <w:sz w:val="24"/>
                <w:szCs w:val="24"/>
                <w:highlight w:val="none"/>
                <w:lang w:val="en-US" w:eastAsia="zh-CN"/>
              </w:rPr>
              <w:t>天计算）</w:t>
            </w:r>
            <w:r>
              <w:rPr>
                <w:rFonts w:hint="eastAsia" w:cs="Times New Roman"/>
                <w:color w:val="auto"/>
                <w:spacing w:val="2"/>
                <w:sz w:val="24"/>
                <w:szCs w:val="24"/>
                <w:highlight w:val="none"/>
                <w:lang w:val="en-US" w:eastAsia="zh-CN"/>
              </w:rPr>
              <w:t>，初期雨水</w:t>
            </w:r>
            <w:r>
              <w:rPr>
                <w:rFonts w:hint="eastAsia" w:ascii="Times New Roman" w:hAnsi="Times New Roman" w:eastAsia="宋体" w:cs="Times New Roman"/>
                <w:color w:val="auto"/>
                <w:spacing w:val="2"/>
                <w:sz w:val="24"/>
                <w:szCs w:val="24"/>
                <w:highlight w:val="none"/>
                <w:lang w:eastAsia="zh-CN"/>
              </w:rPr>
              <w:t>经排污沟流入</w:t>
            </w:r>
            <w:r>
              <w:rPr>
                <w:rFonts w:hint="eastAsia" w:cs="Times New Roman"/>
                <w:color w:val="auto"/>
                <w:spacing w:val="2"/>
                <w:sz w:val="24"/>
                <w:szCs w:val="24"/>
                <w:highlight w:val="none"/>
                <w:lang w:val="en-US" w:eastAsia="zh-CN"/>
              </w:rPr>
              <w:t>三级隔油沉淀池</w:t>
            </w:r>
            <w:r>
              <w:rPr>
                <w:rFonts w:hint="eastAsia"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lang w:val="en-US" w:eastAsia="zh-CN"/>
              </w:rPr>
              <w:t>经</w:t>
            </w:r>
            <w:r>
              <w:rPr>
                <w:rFonts w:hint="eastAsia" w:cs="Times New Roman"/>
                <w:color w:val="auto"/>
                <w:spacing w:val="2"/>
                <w:sz w:val="24"/>
                <w:szCs w:val="24"/>
                <w:highlight w:val="none"/>
                <w:lang w:val="en-US" w:eastAsia="zh-CN"/>
              </w:rPr>
              <w:t>隔油沉淀</w:t>
            </w:r>
            <w:r>
              <w:rPr>
                <w:rFonts w:hint="eastAsia" w:ascii="Times New Roman" w:hAnsi="Times New Roman" w:eastAsia="宋体" w:cs="Times New Roman"/>
                <w:color w:val="auto"/>
                <w:spacing w:val="2"/>
                <w:sz w:val="24"/>
                <w:szCs w:val="24"/>
                <w:highlight w:val="none"/>
                <w:lang w:val="en-US" w:eastAsia="zh-CN"/>
              </w:rPr>
              <w:t>处理后用于厂区地面冲洗及洒水降尘，不外排</w:t>
            </w:r>
            <w:r>
              <w:rPr>
                <w:rFonts w:hint="eastAsia" w:ascii="Times New Roman" w:hAnsi="Times New Roman" w:eastAsia="宋体" w:cs="Times New Roman"/>
                <w:color w:val="auto"/>
                <w:sz w:val="24"/>
                <w:szCs w:val="24"/>
                <w:highlight w:val="none"/>
                <w:lang w:val="en-US" w:eastAsia="zh-CN"/>
              </w:rPr>
              <w:t>。</w:t>
            </w:r>
          </w:p>
          <w:p w14:paraId="743B35A2">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本项目用水量及污水产生量见表</w:t>
            </w:r>
            <w:r>
              <w:rPr>
                <w:rFonts w:hint="eastAsia" w:cs="Times New Roman"/>
                <w:color w:val="auto"/>
                <w:sz w:val="24"/>
                <w:lang w:val="en-US" w:eastAsia="zh-CN"/>
              </w:rPr>
              <w:t>2</w:t>
            </w:r>
            <w:r>
              <w:rPr>
                <w:rFonts w:hint="default" w:ascii="Times New Roman" w:hAnsi="Times New Roman" w:cs="Times New Roman"/>
                <w:color w:val="auto"/>
                <w:sz w:val="24"/>
              </w:rPr>
              <w:t>-</w:t>
            </w:r>
            <w:r>
              <w:rPr>
                <w:rFonts w:hint="eastAsia" w:cs="Times New Roman"/>
                <w:color w:val="auto"/>
                <w:sz w:val="24"/>
                <w:lang w:val="en-US" w:eastAsia="zh-CN"/>
              </w:rPr>
              <w:t>8</w:t>
            </w:r>
            <w:r>
              <w:rPr>
                <w:rFonts w:hint="default" w:ascii="Times New Roman" w:hAnsi="Times New Roman" w:cs="Times New Roman"/>
                <w:color w:val="auto"/>
                <w:sz w:val="24"/>
              </w:rPr>
              <w:t>。</w:t>
            </w:r>
          </w:p>
          <w:p w14:paraId="0CC2CB72">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w:t>
            </w:r>
            <w:r>
              <w:rPr>
                <w:rFonts w:hint="eastAsia" w:cs="Times New Roman"/>
                <w:b/>
                <w:color w:val="auto"/>
                <w:sz w:val="21"/>
                <w:szCs w:val="21"/>
                <w:lang w:val="en-US" w:eastAsia="zh-CN"/>
              </w:rPr>
              <w:t xml:space="preserve">8 </w:t>
            </w:r>
            <w:r>
              <w:rPr>
                <w:rFonts w:hint="default" w:ascii="Times New Roman" w:hAnsi="Times New Roman" w:cs="Times New Roman"/>
                <w:b/>
                <w:color w:val="auto"/>
                <w:sz w:val="21"/>
                <w:szCs w:val="21"/>
              </w:rPr>
              <w:t>项目用水量及污水产生情况</w:t>
            </w:r>
          </w:p>
          <w:tbl>
            <w:tblPr>
              <w:tblStyle w:val="27"/>
              <w:tblW w:w="7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
              <w:gridCol w:w="945"/>
              <w:gridCol w:w="870"/>
              <w:gridCol w:w="705"/>
              <w:gridCol w:w="795"/>
              <w:gridCol w:w="630"/>
              <w:gridCol w:w="690"/>
              <w:gridCol w:w="870"/>
              <w:gridCol w:w="706"/>
              <w:gridCol w:w="1416"/>
            </w:tblGrid>
            <w:tr w14:paraId="728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18" w:type="pct"/>
                  <w:vMerge w:val="restart"/>
                  <w:noWrap w:val="0"/>
                  <w:vAlign w:val="center"/>
                </w:tcPr>
                <w:p w14:paraId="47CC13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92" w:type="pct"/>
                  <w:vMerge w:val="restart"/>
                  <w:noWrap w:val="0"/>
                  <w:vAlign w:val="center"/>
                </w:tcPr>
                <w:p w14:paraId="0383A3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545" w:type="pct"/>
                  <w:vMerge w:val="restart"/>
                  <w:noWrap w:val="0"/>
                  <w:vAlign w:val="center"/>
                </w:tcPr>
                <w:p w14:paraId="734079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940" w:type="pct"/>
                  <w:gridSpan w:val="2"/>
                  <w:noWrap w:val="0"/>
                  <w:vAlign w:val="center"/>
                </w:tcPr>
                <w:p w14:paraId="07A8E6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用水量</w:t>
                  </w:r>
                </w:p>
              </w:tc>
              <w:tc>
                <w:tcPr>
                  <w:tcW w:w="394" w:type="pct"/>
                  <w:vMerge w:val="restart"/>
                  <w:noWrap w:val="0"/>
                  <w:vAlign w:val="center"/>
                </w:tcPr>
                <w:p w14:paraId="60583D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产污系数</w:t>
                  </w:r>
                </w:p>
              </w:tc>
              <w:tc>
                <w:tcPr>
                  <w:tcW w:w="977" w:type="pct"/>
                  <w:gridSpan w:val="2"/>
                  <w:noWrap w:val="0"/>
                  <w:vAlign w:val="center"/>
                </w:tcPr>
                <w:p w14:paraId="00B91D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污水量</w:t>
                  </w:r>
                </w:p>
              </w:tc>
              <w:tc>
                <w:tcPr>
                  <w:tcW w:w="442" w:type="pct"/>
                  <w:vMerge w:val="restart"/>
                  <w:noWrap w:val="0"/>
                  <w:vAlign w:val="center"/>
                </w:tcPr>
                <w:p w14:paraId="1DF0F2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排放量m</w:t>
                  </w:r>
                  <w:r>
                    <w:rPr>
                      <w:rFonts w:hint="default" w:ascii="Times New Roman" w:hAnsi="Times New Roman" w:cs="Times New Roman"/>
                      <w:b/>
                      <w:bCs/>
                      <w:color w:val="auto"/>
                      <w:sz w:val="21"/>
                      <w:szCs w:val="21"/>
                      <w:vertAlign w:val="superscript"/>
                    </w:rPr>
                    <w:t>3</w:t>
                  </w:r>
                </w:p>
              </w:tc>
              <w:tc>
                <w:tcPr>
                  <w:tcW w:w="887" w:type="pct"/>
                  <w:vMerge w:val="restart"/>
                  <w:noWrap w:val="0"/>
                  <w:vAlign w:val="center"/>
                </w:tcPr>
                <w:p w14:paraId="561178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14:paraId="1C69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18" w:type="pct"/>
                  <w:vMerge w:val="continue"/>
                  <w:noWrap w:val="0"/>
                  <w:vAlign w:val="center"/>
                </w:tcPr>
                <w:p w14:paraId="320E15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592" w:type="pct"/>
                  <w:vMerge w:val="continue"/>
                  <w:noWrap w:val="0"/>
                  <w:vAlign w:val="center"/>
                </w:tcPr>
                <w:p w14:paraId="0D74F0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545" w:type="pct"/>
                  <w:vMerge w:val="continue"/>
                  <w:noWrap w:val="0"/>
                  <w:vAlign w:val="center"/>
                </w:tcPr>
                <w:p w14:paraId="737093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441" w:type="pct"/>
                  <w:noWrap w:val="0"/>
                  <w:vAlign w:val="center"/>
                </w:tcPr>
                <w:p w14:paraId="3D994C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tc>
              <w:tc>
                <w:tcPr>
                  <w:tcW w:w="498" w:type="pct"/>
                  <w:noWrap w:val="0"/>
                  <w:vAlign w:val="center"/>
                </w:tcPr>
                <w:p w14:paraId="241F2B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a</w:t>
                  </w:r>
                </w:p>
              </w:tc>
              <w:tc>
                <w:tcPr>
                  <w:tcW w:w="394" w:type="pct"/>
                  <w:vMerge w:val="continue"/>
                  <w:noWrap w:val="0"/>
                  <w:vAlign w:val="center"/>
                </w:tcPr>
                <w:p w14:paraId="6D22F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p>
              </w:tc>
              <w:tc>
                <w:tcPr>
                  <w:tcW w:w="432" w:type="pct"/>
                  <w:noWrap w:val="0"/>
                  <w:vAlign w:val="center"/>
                </w:tcPr>
                <w:p w14:paraId="51CDB5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tc>
              <w:tc>
                <w:tcPr>
                  <w:tcW w:w="545" w:type="pct"/>
                  <w:noWrap w:val="0"/>
                  <w:vAlign w:val="center"/>
                </w:tcPr>
                <w:p w14:paraId="3C502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a</w:t>
                  </w:r>
                </w:p>
              </w:tc>
              <w:tc>
                <w:tcPr>
                  <w:tcW w:w="442" w:type="pct"/>
                  <w:vMerge w:val="continue"/>
                  <w:noWrap w:val="0"/>
                  <w:vAlign w:val="center"/>
                </w:tcPr>
                <w:p w14:paraId="240240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p>
              </w:tc>
              <w:tc>
                <w:tcPr>
                  <w:tcW w:w="887" w:type="pct"/>
                  <w:vMerge w:val="continue"/>
                  <w:noWrap w:val="0"/>
                  <w:vAlign w:val="center"/>
                </w:tcPr>
                <w:p w14:paraId="23E55F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p>
              </w:tc>
            </w:tr>
            <w:tr w14:paraId="7CE6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218" w:type="pct"/>
                  <w:noWrap w:val="0"/>
                  <w:vAlign w:val="center"/>
                </w:tcPr>
                <w:p w14:paraId="2650B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92" w:type="pct"/>
                  <w:noWrap w:val="0"/>
                  <w:vAlign w:val="center"/>
                </w:tcPr>
                <w:p w14:paraId="157230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地面冲洗废水</w:t>
                  </w:r>
                </w:p>
              </w:tc>
              <w:tc>
                <w:tcPr>
                  <w:tcW w:w="545" w:type="pct"/>
                  <w:noWrap w:val="0"/>
                  <w:vAlign w:val="center"/>
                </w:tcPr>
                <w:p w14:paraId="585E6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10</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p>
              </w:tc>
              <w:tc>
                <w:tcPr>
                  <w:tcW w:w="441" w:type="pct"/>
                  <w:noWrap w:val="0"/>
                  <w:vAlign w:val="center"/>
                </w:tcPr>
                <w:p w14:paraId="4BD3E0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498" w:type="pct"/>
                  <w:noWrap w:val="0"/>
                  <w:vAlign w:val="center"/>
                </w:tcPr>
                <w:p w14:paraId="5D97A2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2000</w:t>
                  </w:r>
                </w:p>
              </w:tc>
              <w:tc>
                <w:tcPr>
                  <w:tcW w:w="394" w:type="pct"/>
                  <w:noWrap w:val="0"/>
                  <w:vAlign w:val="center"/>
                </w:tcPr>
                <w:p w14:paraId="2C742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432" w:type="pct"/>
                  <w:noWrap w:val="0"/>
                  <w:vAlign w:val="center"/>
                </w:tcPr>
                <w:p w14:paraId="4A9CED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p>
              </w:tc>
              <w:tc>
                <w:tcPr>
                  <w:tcW w:w="545" w:type="pct"/>
                  <w:noWrap w:val="0"/>
                  <w:vAlign w:val="center"/>
                </w:tcPr>
                <w:p w14:paraId="0C54F1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1600</w:t>
                  </w:r>
                </w:p>
              </w:tc>
              <w:tc>
                <w:tcPr>
                  <w:tcW w:w="442" w:type="pct"/>
                  <w:noWrap w:val="0"/>
                  <w:vAlign w:val="center"/>
                </w:tcPr>
                <w:p w14:paraId="2A3AE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87" w:type="pct"/>
                  <w:noWrap w:val="0"/>
                  <w:vAlign w:val="center"/>
                </w:tcPr>
                <w:p w14:paraId="33F244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cs="Times New Roman"/>
                      <w:b w:val="0"/>
                      <w:bCs w:val="0"/>
                      <w:color w:val="auto"/>
                      <w:sz w:val="21"/>
                      <w:szCs w:val="21"/>
                      <w:lang w:val="en-US" w:eastAsia="zh-CN"/>
                    </w:rPr>
                    <w:t>用水全部来于三级隔油沉淀池</w:t>
                  </w:r>
                </w:p>
              </w:tc>
            </w:tr>
            <w:tr w14:paraId="6650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18" w:type="pct"/>
                  <w:noWrap w:val="0"/>
                  <w:vAlign w:val="center"/>
                </w:tcPr>
                <w:p w14:paraId="0CDD4E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92" w:type="pct"/>
                  <w:noWrap w:val="0"/>
                  <w:vAlign w:val="center"/>
                </w:tcPr>
                <w:p w14:paraId="01CD5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车辆和设备冲洗</w:t>
                  </w:r>
                  <w:r>
                    <w:rPr>
                      <w:rFonts w:hint="default" w:ascii="Times New Roman" w:hAnsi="Times New Roman" w:cs="Times New Roman"/>
                      <w:color w:val="auto"/>
                      <w:sz w:val="21"/>
                      <w:szCs w:val="21"/>
                    </w:rPr>
                    <w:t>废水</w:t>
                  </w:r>
                </w:p>
              </w:tc>
              <w:tc>
                <w:tcPr>
                  <w:tcW w:w="545" w:type="pct"/>
                  <w:noWrap w:val="0"/>
                  <w:vAlign w:val="center"/>
                </w:tcPr>
                <w:p w14:paraId="14AEC2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441" w:type="pct"/>
                  <w:noWrap w:val="0"/>
                  <w:vAlign w:val="center"/>
                </w:tcPr>
                <w:p w14:paraId="44E866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3</w:t>
                  </w:r>
                  <w:r>
                    <w:rPr>
                      <w:rFonts w:hint="default" w:ascii="Times New Roman" w:hAnsi="Times New Roman" w:cs="Times New Roman"/>
                      <w:color w:val="auto"/>
                      <w:sz w:val="21"/>
                      <w:szCs w:val="21"/>
                    </w:rPr>
                    <w:t>.0</w:t>
                  </w:r>
                </w:p>
              </w:tc>
              <w:tc>
                <w:tcPr>
                  <w:tcW w:w="498" w:type="pct"/>
                  <w:noWrap w:val="0"/>
                  <w:vAlign w:val="center"/>
                </w:tcPr>
                <w:p w14:paraId="3F9A8A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600</w:t>
                  </w:r>
                </w:p>
              </w:tc>
              <w:tc>
                <w:tcPr>
                  <w:tcW w:w="394" w:type="pct"/>
                  <w:noWrap w:val="0"/>
                  <w:vAlign w:val="center"/>
                </w:tcPr>
                <w:p w14:paraId="65C59D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432" w:type="pct"/>
                  <w:noWrap w:val="0"/>
                  <w:vAlign w:val="center"/>
                </w:tcPr>
                <w:p w14:paraId="0E5AAF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c>
                <w:tcPr>
                  <w:tcW w:w="545" w:type="pct"/>
                  <w:noWrap w:val="0"/>
                  <w:vAlign w:val="center"/>
                </w:tcPr>
                <w:p w14:paraId="1B7165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480</w:t>
                  </w:r>
                </w:p>
              </w:tc>
              <w:tc>
                <w:tcPr>
                  <w:tcW w:w="442" w:type="pct"/>
                  <w:noWrap w:val="0"/>
                  <w:vAlign w:val="center"/>
                </w:tcPr>
                <w:p w14:paraId="24DE9A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87" w:type="pct"/>
                  <w:noWrap w:val="0"/>
                  <w:vAlign w:val="center"/>
                </w:tcPr>
                <w:p w14:paraId="43C25C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14:paraId="36C4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18" w:type="pct"/>
                  <w:noWrap w:val="0"/>
                  <w:vAlign w:val="center"/>
                </w:tcPr>
                <w:p w14:paraId="43B3FD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92" w:type="pct"/>
                  <w:noWrap w:val="0"/>
                  <w:vAlign w:val="center"/>
                </w:tcPr>
                <w:p w14:paraId="3C42D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初期雨水</w:t>
                  </w:r>
                </w:p>
              </w:tc>
              <w:tc>
                <w:tcPr>
                  <w:tcW w:w="545" w:type="pct"/>
                  <w:noWrap w:val="0"/>
                  <w:vAlign w:val="center"/>
                </w:tcPr>
                <w:p w14:paraId="1A195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16000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441" w:type="pct"/>
                  <w:noWrap w:val="0"/>
                  <w:vAlign w:val="center"/>
                </w:tcPr>
                <w:p w14:paraId="20EA79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98" w:type="pct"/>
                  <w:noWrap w:val="0"/>
                  <w:vAlign w:val="center"/>
                </w:tcPr>
                <w:p w14:paraId="310CD6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394" w:type="pct"/>
                  <w:noWrap w:val="0"/>
                  <w:vAlign w:val="center"/>
                </w:tcPr>
                <w:p w14:paraId="2A1A96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32" w:type="pct"/>
                  <w:noWrap w:val="0"/>
                  <w:vAlign w:val="center"/>
                </w:tcPr>
                <w:p w14:paraId="15A8D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16.03</w:t>
                  </w:r>
                </w:p>
              </w:tc>
              <w:tc>
                <w:tcPr>
                  <w:tcW w:w="545" w:type="pct"/>
                  <w:noWrap w:val="0"/>
                  <w:vAlign w:val="center"/>
                </w:tcPr>
                <w:p w14:paraId="2FA4A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1653.4</w:t>
                  </w:r>
                </w:p>
              </w:tc>
              <w:tc>
                <w:tcPr>
                  <w:tcW w:w="442" w:type="pct"/>
                  <w:noWrap w:val="0"/>
                  <w:vAlign w:val="center"/>
                </w:tcPr>
                <w:p w14:paraId="1B1BBC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0</w:t>
                  </w:r>
                </w:p>
              </w:tc>
              <w:tc>
                <w:tcPr>
                  <w:tcW w:w="887" w:type="pct"/>
                  <w:noWrap w:val="0"/>
                  <w:vAlign w:val="center"/>
                </w:tcPr>
                <w:p w14:paraId="29795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14:paraId="38F7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jc w:val="center"/>
              </w:trPr>
              <w:tc>
                <w:tcPr>
                  <w:tcW w:w="218" w:type="pct"/>
                  <w:vMerge w:val="restart"/>
                  <w:noWrap w:val="0"/>
                  <w:vAlign w:val="center"/>
                </w:tcPr>
                <w:p w14:paraId="372C5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4</w:t>
                  </w:r>
                </w:p>
              </w:tc>
              <w:tc>
                <w:tcPr>
                  <w:tcW w:w="592" w:type="pct"/>
                  <w:noWrap w:val="0"/>
                  <w:vAlign w:val="center"/>
                </w:tcPr>
                <w:p w14:paraId="77F764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其他生活</w:t>
                  </w:r>
                  <w:r>
                    <w:rPr>
                      <w:rFonts w:hint="default" w:ascii="Times New Roman" w:hAnsi="Times New Roman" w:cs="Times New Roman"/>
                      <w:color w:val="auto"/>
                      <w:sz w:val="21"/>
                      <w:szCs w:val="21"/>
                    </w:rPr>
                    <w:t>污水</w:t>
                  </w:r>
                </w:p>
              </w:tc>
              <w:tc>
                <w:tcPr>
                  <w:tcW w:w="545" w:type="pct"/>
                  <w:noWrap w:val="0"/>
                  <w:vAlign w:val="center"/>
                </w:tcPr>
                <w:p w14:paraId="32936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30</w:t>
                  </w:r>
                  <w:r>
                    <w:rPr>
                      <w:rFonts w:hint="default" w:ascii="Times New Roman" w:hAnsi="Times New Roman" w:cs="Times New Roman"/>
                      <w:color w:val="auto"/>
                      <w:sz w:val="21"/>
                      <w:szCs w:val="21"/>
                    </w:rPr>
                    <w:t>人</w:t>
                  </w:r>
                </w:p>
              </w:tc>
              <w:tc>
                <w:tcPr>
                  <w:tcW w:w="441" w:type="pct"/>
                  <w:noWrap w:val="0"/>
                  <w:vAlign w:val="center"/>
                </w:tcPr>
                <w:p w14:paraId="20393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2.4</w:t>
                  </w:r>
                </w:p>
              </w:tc>
              <w:tc>
                <w:tcPr>
                  <w:tcW w:w="498" w:type="pct"/>
                  <w:noWrap w:val="0"/>
                  <w:vAlign w:val="center"/>
                </w:tcPr>
                <w:p w14:paraId="68832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480</w:t>
                  </w:r>
                </w:p>
              </w:tc>
              <w:tc>
                <w:tcPr>
                  <w:tcW w:w="394" w:type="pct"/>
                  <w:vMerge w:val="restart"/>
                  <w:noWrap w:val="0"/>
                  <w:vAlign w:val="center"/>
                </w:tcPr>
                <w:p w14:paraId="17AB3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432" w:type="pct"/>
                  <w:noWrap w:val="0"/>
                  <w:vAlign w:val="center"/>
                </w:tcPr>
                <w:p w14:paraId="51730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1.92</w:t>
                  </w:r>
                </w:p>
              </w:tc>
              <w:tc>
                <w:tcPr>
                  <w:tcW w:w="545" w:type="pct"/>
                  <w:noWrap w:val="0"/>
                  <w:vAlign w:val="center"/>
                </w:tcPr>
                <w:p w14:paraId="1482F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384</w:t>
                  </w:r>
                </w:p>
              </w:tc>
              <w:tc>
                <w:tcPr>
                  <w:tcW w:w="442" w:type="pct"/>
                  <w:noWrap w:val="0"/>
                  <w:vAlign w:val="center"/>
                </w:tcPr>
                <w:p w14:paraId="41358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rPr>
                    <w:t>0</w:t>
                  </w:r>
                </w:p>
              </w:tc>
              <w:tc>
                <w:tcPr>
                  <w:tcW w:w="887" w:type="pct"/>
                  <w:noWrap w:val="0"/>
                  <w:vAlign w:val="center"/>
                </w:tcPr>
                <w:p w14:paraId="6CD5C6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14:paraId="4758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18" w:type="pct"/>
                  <w:vMerge w:val="continue"/>
                  <w:noWrap w:val="0"/>
                  <w:vAlign w:val="center"/>
                </w:tcPr>
                <w:p w14:paraId="5B7556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592" w:type="pct"/>
                  <w:noWrap w:val="0"/>
                  <w:vAlign w:val="center"/>
                </w:tcPr>
                <w:p w14:paraId="785239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食堂废水</w:t>
                  </w:r>
                </w:p>
              </w:tc>
              <w:tc>
                <w:tcPr>
                  <w:tcW w:w="545" w:type="pct"/>
                  <w:noWrap w:val="0"/>
                  <w:vAlign w:val="center"/>
                </w:tcPr>
                <w:p w14:paraId="0EE55E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30</w:t>
                  </w:r>
                  <w:r>
                    <w:rPr>
                      <w:rFonts w:hint="default" w:ascii="Times New Roman" w:hAnsi="Times New Roman" w:cs="Times New Roman"/>
                      <w:color w:val="auto"/>
                      <w:sz w:val="21"/>
                      <w:szCs w:val="21"/>
                    </w:rPr>
                    <w:t>人</w:t>
                  </w:r>
                </w:p>
              </w:tc>
              <w:tc>
                <w:tcPr>
                  <w:tcW w:w="441" w:type="pct"/>
                  <w:noWrap w:val="0"/>
                  <w:vAlign w:val="center"/>
                </w:tcPr>
                <w:p w14:paraId="77DCD4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w:t>
                  </w:r>
                  <w:r>
                    <w:rPr>
                      <w:rFonts w:hint="eastAsia" w:cs="Times New Roman"/>
                      <w:color w:val="auto"/>
                      <w:sz w:val="21"/>
                      <w:szCs w:val="21"/>
                      <w:lang w:val="en-US" w:eastAsia="zh-CN"/>
                    </w:rPr>
                    <w:t>6</w:t>
                  </w:r>
                </w:p>
              </w:tc>
              <w:tc>
                <w:tcPr>
                  <w:tcW w:w="498" w:type="pct"/>
                  <w:noWrap w:val="0"/>
                  <w:vAlign w:val="center"/>
                </w:tcPr>
                <w:p w14:paraId="7F2184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w:t>
                  </w:r>
                </w:p>
              </w:tc>
              <w:tc>
                <w:tcPr>
                  <w:tcW w:w="394" w:type="pct"/>
                  <w:vMerge w:val="continue"/>
                  <w:noWrap w:val="0"/>
                  <w:vAlign w:val="center"/>
                </w:tcPr>
                <w:p w14:paraId="6AC940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432" w:type="pct"/>
                  <w:noWrap w:val="0"/>
                  <w:vAlign w:val="center"/>
                </w:tcPr>
                <w:p w14:paraId="2C10EA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eastAsia" w:cs="Times New Roman"/>
                      <w:color w:val="auto"/>
                      <w:sz w:val="21"/>
                      <w:szCs w:val="21"/>
                      <w:lang w:val="en-US" w:eastAsia="zh-CN"/>
                    </w:rPr>
                    <w:t>48</w:t>
                  </w:r>
                </w:p>
              </w:tc>
              <w:tc>
                <w:tcPr>
                  <w:tcW w:w="545" w:type="pct"/>
                  <w:noWrap w:val="0"/>
                  <w:vAlign w:val="center"/>
                </w:tcPr>
                <w:p w14:paraId="516F3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w:t>
                  </w:r>
                </w:p>
              </w:tc>
              <w:tc>
                <w:tcPr>
                  <w:tcW w:w="442" w:type="pct"/>
                  <w:noWrap w:val="0"/>
                  <w:vAlign w:val="center"/>
                </w:tcPr>
                <w:p w14:paraId="37696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87" w:type="pct"/>
                  <w:noWrap w:val="0"/>
                  <w:vAlign w:val="center"/>
                </w:tcPr>
                <w:p w14:paraId="498F23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14:paraId="1945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218" w:type="pct"/>
                  <w:noWrap w:val="0"/>
                  <w:vAlign w:val="center"/>
                </w:tcPr>
                <w:p w14:paraId="210B4F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592" w:type="pct"/>
                  <w:noWrap w:val="0"/>
                  <w:vAlign w:val="center"/>
                </w:tcPr>
                <w:p w14:paraId="114F50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洒水降尘</w:t>
                  </w:r>
                </w:p>
              </w:tc>
              <w:tc>
                <w:tcPr>
                  <w:tcW w:w="545" w:type="pct"/>
                  <w:noWrap w:val="0"/>
                  <w:vAlign w:val="center"/>
                </w:tcPr>
                <w:p w14:paraId="5F3787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5000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441" w:type="pct"/>
                  <w:noWrap w:val="0"/>
                  <w:vAlign w:val="center"/>
                </w:tcPr>
                <w:p w14:paraId="2579F6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12.5</w:t>
                  </w:r>
                </w:p>
              </w:tc>
              <w:tc>
                <w:tcPr>
                  <w:tcW w:w="498" w:type="pct"/>
                  <w:noWrap w:val="0"/>
                  <w:vAlign w:val="center"/>
                </w:tcPr>
                <w:p w14:paraId="363971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2500</w:t>
                  </w:r>
                </w:p>
              </w:tc>
              <w:tc>
                <w:tcPr>
                  <w:tcW w:w="394" w:type="pct"/>
                  <w:noWrap w:val="0"/>
                  <w:vAlign w:val="center"/>
                </w:tcPr>
                <w:p w14:paraId="7A02F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432" w:type="pct"/>
                  <w:noWrap w:val="0"/>
                  <w:vAlign w:val="center"/>
                </w:tcPr>
                <w:p w14:paraId="2EFF96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545" w:type="pct"/>
                  <w:noWrap w:val="0"/>
                  <w:vAlign w:val="center"/>
                </w:tcPr>
                <w:p w14:paraId="5D3A6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42" w:type="pct"/>
                  <w:noWrap w:val="0"/>
                  <w:vAlign w:val="center"/>
                </w:tcPr>
                <w:p w14:paraId="2259BC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87" w:type="pct"/>
                  <w:noWrap w:val="0"/>
                  <w:vAlign w:val="center"/>
                </w:tcPr>
                <w:p w14:paraId="6C83F7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1966.6</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eastAsia" w:cs="Times New Roman"/>
                      <w:b w:val="0"/>
                      <w:bCs w:val="0"/>
                      <w:color w:val="auto"/>
                      <w:sz w:val="21"/>
                      <w:szCs w:val="21"/>
                      <w:lang w:val="en-US" w:eastAsia="zh-CN"/>
                    </w:rPr>
                    <w:t>来于新鲜水，533.4</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eastAsia" w:cs="Times New Roman"/>
                      <w:b w:val="0"/>
                      <w:bCs w:val="0"/>
                      <w:color w:val="auto"/>
                      <w:sz w:val="21"/>
                      <w:szCs w:val="21"/>
                      <w:lang w:val="en-US" w:eastAsia="zh-CN"/>
                    </w:rPr>
                    <w:t>来于三级隔油沉淀池</w:t>
                  </w:r>
                </w:p>
              </w:tc>
            </w:tr>
            <w:tr w14:paraId="0102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8" w:type="pct"/>
                  <w:noWrap w:val="0"/>
                  <w:vAlign w:val="center"/>
                </w:tcPr>
                <w:p w14:paraId="743916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6</w:t>
                  </w:r>
                </w:p>
              </w:tc>
              <w:tc>
                <w:tcPr>
                  <w:tcW w:w="592" w:type="pct"/>
                  <w:noWrap w:val="0"/>
                  <w:vAlign w:val="center"/>
                </w:tcPr>
                <w:p w14:paraId="08C335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绿化</w:t>
                  </w:r>
                </w:p>
              </w:tc>
              <w:tc>
                <w:tcPr>
                  <w:tcW w:w="545" w:type="pct"/>
                  <w:noWrap w:val="0"/>
                  <w:vAlign w:val="center"/>
                </w:tcPr>
                <w:p w14:paraId="23FD4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40</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p>
              </w:tc>
              <w:tc>
                <w:tcPr>
                  <w:tcW w:w="441" w:type="pct"/>
                  <w:noWrap w:val="0"/>
                  <w:vAlign w:val="center"/>
                </w:tcPr>
                <w:p w14:paraId="1D2FE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498" w:type="pct"/>
                  <w:noWrap w:val="0"/>
                  <w:vAlign w:val="center"/>
                </w:tcPr>
                <w:p w14:paraId="01004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2400</w:t>
                  </w:r>
                </w:p>
              </w:tc>
              <w:tc>
                <w:tcPr>
                  <w:tcW w:w="394" w:type="pct"/>
                  <w:noWrap w:val="0"/>
                  <w:vAlign w:val="center"/>
                </w:tcPr>
                <w:p w14:paraId="7000CD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432" w:type="pct"/>
                  <w:noWrap w:val="0"/>
                  <w:vAlign w:val="center"/>
                </w:tcPr>
                <w:p w14:paraId="5F3E6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545" w:type="pct"/>
                  <w:noWrap w:val="0"/>
                  <w:vAlign w:val="center"/>
                </w:tcPr>
                <w:p w14:paraId="123E02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42" w:type="pct"/>
                  <w:noWrap w:val="0"/>
                  <w:vAlign w:val="center"/>
                </w:tcPr>
                <w:p w14:paraId="0245D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87" w:type="pct"/>
                  <w:noWrap w:val="0"/>
                  <w:vAlign w:val="center"/>
                </w:tcPr>
                <w:p w14:paraId="417BC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近期</w:t>
                  </w:r>
                  <w:r>
                    <w:rPr>
                      <w:rFonts w:hint="eastAsia" w:cs="Times New Roman"/>
                      <w:b w:val="0"/>
                      <w:bCs w:val="0"/>
                      <w:color w:val="auto"/>
                      <w:sz w:val="21"/>
                      <w:szCs w:val="21"/>
                      <w:lang w:val="en-US" w:eastAsia="zh-CN"/>
                    </w:rPr>
                    <w:t>480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eastAsia" w:cs="Times New Roman"/>
                      <w:color w:val="auto"/>
                      <w:sz w:val="21"/>
                      <w:szCs w:val="21"/>
                      <w:lang w:val="en-US" w:eastAsia="zh-CN"/>
                    </w:rPr>
                    <w:t>来自于污水站，其余</w:t>
                  </w:r>
                  <w:r>
                    <w:rPr>
                      <w:rFonts w:hint="eastAsia" w:cs="Times New Roman"/>
                      <w:b w:val="0"/>
                      <w:bCs w:val="0"/>
                      <w:color w:val="auto"/>
                      <w:sz w:val="21"/>
                      <w:szCs w:val="21"/>
                      <w:lang w:val="en-US" w:eastAsia="zh-CN"/>
                    </w:rPr>
                    <w:t>来于新鲜水；</w:t>
                  </w:r>
                  <w:r>
                    <w:rPr>
                      <w:rFonts w:hint="eastAsia" w:cs="Times New Roman"/>
                      <w:color w:val="auto"/>
                      <w:sz w:val="21"/>
                      <w:szCs w:val="21"/>
                      <w:lang w:val="en-US" w:eastAsia="zh-CN"/>
                    </w:rPr>
                    <w:t>远期全部</w:t>
                  </w:r>
                  <w:r>
                    <w:rPr>
                      <w:rFonts w:hint="eastAsia" w:cs="Times New Roman"/>
                      <w:b w:val="0"/>
                      <w:bCs w:val="0"/>
                      <w:color w:val="auto"/>
                      <w:sz w:val="21"/>
                      <w:szCs w:val="21"/>
                      <w:lang w:val="en-US" w:eastAsia="zh-CN"/>
                    </w:rPr>
                    <w:t>来于新鲜水</w:t>
                  </w:r>
                </w:p>
              </w:tc>
            </w:tr>
            <w:tr w14:paraId="61E2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356" w:type="pct"/>
                  <w:gridSpan w:val="3"/>
                  <w:vMerge w:val="restart"/>
                  <w:noWrap w:val="0"/>
                  <w:vAlign w:val="center"/>
                </w:tcPr>
                <w:p w14:paraId="51468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新鲜用水量</w:t>
                  </w:r>
                  <w:r>
                    <w:rPr>
                      <w:rFonts w:hint="default" w:ascii="Times New Roman" w:hAnsi="Times New Roman" w:cs="Times New Roman"/>
                      <w:color w:val="auto"/>
                      <w:sz w:val="21"/>
                      <w:szCs w:val="21"/>
                    </w:rPr>
                    <w:t>小计</w:t>
                  </w:r>
                </w:p>
              </w:tc>
              <w:tc>
                <w:tcPr>
                  <w:tcW w:w="441" w:type="pct"/>
                  <w:noWrap w:val="0"/>
                  <w:vAlign w:val="center"/>
                </w:tcPr>
                <w:p w14:paraId="42F874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晴天：</w:t>
                  </w:r>
                  <w:r>
                    <w:rPr>
                      <w:rFonts w:hint="eastAsia" w:cs="Times New Roman"/>
                      <w:color w:val="auto"/>
                      <w:sz w:val="21"/>
                      <w:szCs w:val="21"/>
                      <w:lang w:val="en-US" w:eastAsia="zh-CN"/>
                    </w:rPr>
                    <w:t>35.5</w:t>
                  </w:r>
                </w:p>
              </w:tc>
              <w:tc>
                <w:tcPr>
                  <w:tcW w:w="498" w:type="pct"/>
                  <w:vMerge w:val="restart"/>
                  <w:noWrap w:val="0"/>
                  <w:vAlign w:val="center"/>
                </w:tcPr>
                <w:p w14:paraId="7F2EF6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近期5086.6；远期5566.6</w:t>
                  </w:r>
                </w:p>
              </w:tc>
              <w:tc>
                <w:tcPr>
                  <w:tcW w:w="394" w:type="pct"/>
                  <w:noWrap w:val="0"/>
                  <w:vAlign w:val="center"/>
                </w:tcPr>
                <w:p w14:paraId="242D2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432" w:type="pct"/>
                  <w:noWrap w:val="0"/>
                  <w:vAlign w:val="center"/>
                </w:tcPr>
                <w:p w14:paraId="20490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晴天：</w:t>
                  </w:r>
                  <w:r>
                    <w:rPr>
                      <w:rFonts w:hint="eastAsia" w:cs="Times New Roman"/>
                      <w:color w:val="auto"/>
                      <w:sz w:val="21"/>
                      <w:szCs w:val="21"/>
                      <w:lang w:val="en-US" w:eastAsia="zh-CN"/>
                    </w:rPr>
                    <w:t>28.83</w:t>
                  </w:r>
                </w:p>
              </w:tc>
              <w:tc>
                <w:tcPr>
                  <w:tcW w:w="545" w:type="pct"/>
                  <w:vMerge w:val="restart"/>
                  <w:noWrap w:val="0"/>
                  <w:vAlign w:val="center"/>
                </w:tcPr>
                <w:p w14:paraId="01488445">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Times New Roman"/>
                      <w:color w:val="auto"/>
                      <w:sz w:val="21"/>
                      <w:szCs w:val="21"/>
                      <w:lang w:val="en-US" w:eastAsia="zh-CN"/>
                    </w:rPr>
                    <w:t>4213.4</w:t>
                  </w:r>
                </w:p>
              </w:tc>
              <w:tc>
                <w:tcPr>
                  <w:tcW w:w="442" w:type="pct"/>
                  <w:noWrap w:val="0"/>
                  <w:vAlign w:val="center"/>
                </w:tcPr>
                <w:p w14:paraId="49F562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晴天：0</w:t>
                  </w:r>
                </w:p>
              </w:tc>
              <w:tc>
                <w:tcPr>
                  <w:tcW w:w="887" w:type="pct"/>
                  <w:vMerge w:val="restart"/>
                  <w:noWrap w:val="0"/>
                  <w:vAlign w:val="center"/>
                </w:tcPr>
                <w:p w14:paraId="35502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r w14:paraId="49E0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356" w:type="pct"/>
                  <w:gridSpan w:val="3"/>
                  <w:vMerge w:val="continue"/>
                  <w:noWrap w:val="0"/>
                  <w:vAlign w:val="center"/>
                </w:tcPr>
                <w:p w14:paraId="634B55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441" w:type="pct"/>
                  <w:noWrap w:val="0"/>
                  <w:vAlign w:val="center"/>
                </w:tcPr>
                <w:p w14:paraId="4ABCCE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雨天：</w:t>
                  </w:r>
                  <w:r>
                    <w:rPr>
                      <w:rFonts w:hint="eastAsia" w:cs="Times New Roman"/>
                      <w:color w:val="auto"/>
                      <w:sz w:val="21"/>
                      <w:szCs w:val="21"/>
                      <w:lang w:val="en-US" w:eastAsia="zh-CN"/>
                    </w:rPr>
                    <w:t>11</w:t>
                  </w:r>
                </w:p>
              </w:tc>
              <w:tc>
                <w:tcPr>
                  <w:tcW w:w="498" w:type="pct"/>
                  <w:vMerge w:val="continue"/>
                  <w:noWrap w:val="0"/>
                  <w:vAlign w:val="center"/>
                </w:tcPr>
                <w:p w14:paraId="34016C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394" w:type="pct"/>
                  <w:noWrap w:val="0"/>
                  <w:vAlign w:val="center"/>
                </w:tcPr>
                <w:p w14:paraId="60A74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432" w:type="pct"/>
                  <w:noWrap w:val="0"/>
                  <w:vAlign w:val="center"/>
                </w:tcPr>
                <w:p w14:paraId="7106D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雨天：</w:t>
                  </w:r>
                  <w:r>
                    <w:rPr>
                      <w:rFonts w:hint="eastAsia" w:cs="Times New Roman"/>
                      <w:color w:val="auto"/>
                      <w:sz w:val="21"/>
                      <w:szCs w:val="21"/>
                      <w:lang w:val="en-US" w:eastAsia="zh-CN"/>
                    </w:rPr>
                    <w:t>28.83</w:t>
                  </w:r>
                </w:p>
              </w:tc>
              <w:tc>
                <w:tcPr>
                  <w:tcW w:w="545" w:type="pct"/>
                  <w:vMerge w:val="continue"/>
                  <w:noWrap w:val="0"/>
                  <w:vAlign w:val="center"/>
                </w:tcPr>
                <w:p w14:paraId="69D458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442" w:type="pct"/>
                  <w:noWrap w:val="0"/>
                  <w:vAlign w:val="center"/>
                </w:tcPr>
                <w:p w14:paraId="590034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雨天：0</w:t>
                  </w:r>
                </w:p>
              </w:tc>
              <w:tc>
                <w:tcPr>
                  <w:tcW w:w="887" w:type="pct"/>
                  <w:vMerge w:val="continue"/>
                  <w:noWrap w:val="0"/>
                  <w:vAlign w:val="center"/>
                </w:tcPr>
                <w:p w14:paraId="0FA1D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r>
          </w:tbl>
          <w:p w14:paraId="7FE16FF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项目水量平衡见图</w:t>
            </w:r>
            <w:r>
              <w:rPr>
                <w:rFonts w:hint="eastAsia" w:cs="Times New Roman"/>
                <w:color w:val="auto"/>
                <w:sz w:val="24"/>
                <w:lang w:val="en-US" w:eastAsia="zh-CN"/>
              </w:rPr>
              <w:t>2-1</w:t>
            </w:r>
            <w:r>
              <w:rPr>
                <w:rFonts w:hint="default" w:ascii="Times New Roman" w:hAnsi="Times New Roman" w:cs="Times New Roman"/>
                <w:color w:val="auto"/>
                <w:sz w:val="24"/>
              </w:rPr>
              <w:t>：</w:t>
            </w:r>
            <w:r>
              <w:rPr>
                <w:rFonts w:hint="default" w:ascii="Times New Roman" w:hAnsi="Times New Roman" w:cs="Times New Roman"/>
                <w:color w:val="auto"/>
              </w:rPr>
              <w:object>
                <v:shape id="_x0000_i1025" o:spt="75" type="#_x0000_t75" style="height:308.15pt;width:385.35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14:paraId="4A11FA76">
            <w:pPr>
              <w:tabs>
                <w:tab w:val="left" w:pos="900"/>
              </w:tabs>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w:t>
            </w:r>
            <w:r>
              <w:rPr>
                <w:rFonts w:hint="eastAsia" w:cs="Times New Roman"/>
                <w:b/>
                <w:color w:val="auto"/>
                <w:sz w:val="21"/>
                <w:szCs w:val="21"/>
                <w:lang w:val="en-US" w:eastAsia="zh-CN"/>
              </w:rPr>
              <w:t>2-1</w:t>
            </w:r>
            <w:r>
              <w:rPr>
                <w:rFonts w:hint="default" w:ascii="Times New Roman" w:hAnsi="Times New Roman" w:cs="Times New Roman"/>
                <w:b/>
                <w:color w:val="auto"/>
                <w:sz w:val="21"/>
                <w:szCs w:val="21"/>
              </w:rPr>
              <w:t xml:space="preserve"> </w:t>
            </w:r>
            <w:r>
              <w:rPr>
                <w:rFonts w:hint="eastAsia" w:cs="Times New Roman"/>
                <w:b/>
                <w:color w:val="auto"/>
                <w:sz w:val="21"/>
                <w:szCs w:val="21"/>
                <w:lang w:val="en-US" w:eastAsia="zh-CN"/>
              </w:rPr>
              <w:t>近期</w:t>
            </w:r>
            <w:r>
              <w:rPr>
                <w:rFonts w:hint="default" w:ascii="Times New Roman" w:hAnsi="Times New Roman" w:cs="Times New Roman"/>
                <w:b/>
                <w:color w:val="auto"/>
                <w:sz w:val="21"/>
                <w:szCs w:val="21"/>
              </w:rPr>
              <w:t>项目水量平衡图（单位：m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r>
              <w:rPr>
                <w:rFonts w:hint="eastAsia" w:cs="Times New Roman"/>
                <w:b/>
                <w:color w:val="auto"/>
                <w:sz w:val="21"/>
                <w:szCs w:val="21"/>
                <w:lang w:val="en-US" w:eastAsia="zh-CN"/>
              </w:rPr>
              <w:t>a</w:t>
            </w:r>
            <w:r>
              <w:rPr>
                <w:rFonts w:hint="default" w:ascii="Times New Roman" w:hAnsi="Times New Roman" w:cs="Times New Roman"/>
                <w:b/>
                <w:color w:val="auto"/>
                <w:sz w:val="21"/>
                <w:szCs w:val="21"/>
              </w:rPr>
              <w:t>）</w:t>
            </w:r>
            <w:r>
              <w:rPr>
                <w:rFonts w:hint="default" w:ascii="Times New Roman" w:hAnsi="Times New Roman" w:cs="Times New Roman"/>
                <w:color w:val="auto"/>
              </w:rPr>
              <w:object>
                <v:shape id="_x0000_i1026" o:spt="75" type="#_x0000_t75" style="height:308.15pt;width:385.35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p w14:paraId="2AB5940D">
            <w:pPr>
              <w:ind w:left="0" w:leftChars="0" w:firstLine="1897" w:firstLineChars="900"/>
              <w:jc w:val="both"/>
              <w:rPr>
                <w:rFonts w:hint="eastAsia"/>
                <w:b/>
                <w:bCs/>
                <w:color w:val="auto"/>
                <w:highlight w:val="none"/>
                <w:lang w:val="en-US" w:eastAsia="zh-CN"/>
              </w:rPr>
            </w:pPr>
            <w:r>
              <w:rPr>
                <w:rFonts w:hint="default" w:ascii="Times New Roman" w:hAnsi="Times New Roman" w:cs="Times New Roman"/>
                <w:b/>
                <w:color w:val="auto"/>
                <w:sz w:val="21"/>
                <w:szCs w:val="21"/>
              </w:rPr>
              <w:t>图</w:t>
            </w:r>
            <w:r>
              <w:rPr>
                <w:rFonts w:hint="eastAsia" w:cs="Times New Roman"/>
                <w:b/>
                <w:color w:val="auto"/>
                <w:sz w:val="21"/>
                <w:szCs w:val="21"/>
                <w:lang w:val="en-US" w:eastAsia="zh-CN"/>
              </w:rPr>
              <w:t>2-1</w:t>
            </w:r>
            <w:r>
              <w:rPr>
                <w:rFonts w:hint="default" w:ascii="Times New Roman" w:hAnsi="Times New Roman" w:cs="Times New Roman"/>
                <w:b/>
                <w:color w:val="auto"/>
                <w:sz w:val="21"/>
                <w:szCs w:val="21"/>
              </w:rPr>
              <w:t xml:space="preserve"> </w:t>
            </w:r>
            <w:r>
              <w:rPr>
                <w:rFonts w:hint="eastAsia" w:cs="Times New Roman"/>
                <w:b/>
                <w:color w:val="auto"/>
                <w:sz w:val="21"/>
                <w:szCs w:val="21"/>
                <w:lang w:val="en-US" w:eastAsia="zh-CN"/>
              </w:rPr>
              <w:t>远期</w:t>
            </w:r>
            <w:r>
              <w:rPr>
                <w:rFonts w:hint="default" w:ascii="Times New Roman" w:hAnsi="Times New Roman" w:cs="Times New Roman"/>
                <w:b/>
                <w:color w:val="auto"/>
                <w:sz w:val="21"/>
                <w:szCs w:val="21"/>
              </w:rPr>
              <w:t>项目水量平衡图（单位：m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r>
              <w:rPr>
                <w:rFonts w:hint="eastAsia" w:cs="Times New Roman"/>
                <w:b/>
                <w:color w:val="auto"/>
                <w:sz w:val="21"/>
                <w:szCs w:val="21"/>
                <w:lang w:val="en-US" w:eastAsia="zh-CN"/>
              </w:rPr>
              <w:t>a</w:t>
            </w:r>
            <w:r>
              <w:rPr>
                <w:rFonts w:hint="default" w:ascii="Times New Roman" w:hAnsi="Times New Roman" w:cs="Times New Roman"/>
                <w:b/>
                <w:color w:val="auto"/>
                <w:sz w:val="21"/>
                <w:szCs w:val="21"/>
              </w:rPr>
              <w:t>）</w:t>
            </w:r>
          </w:p>
          <w:p w14:paraId="39B5ED7E">
            <w:pPr>
              <w:ind w:left="0" w:leftChars="0" w:firstLine="482" w:firstLineChars="200"/>
              <w:jc w:val="both"/>
              <w:rPr>
                <w:rFonts w:hint="eastAsia"/>
                <w:b/>
                <w:bCs/>
                <w:color w:val="auto"/>
                <w:highlight w:val="none"/>
                <w:lang w:val="en-US" w:eastAsia="zh-CN"/>
              </w:rPr>
            </w:pPr>
          </w:p>
          <w:p w14:paraId="438D5721">
            <w:pPr>
              <w:ind w:left="0" w:leftChars="0" w:firstLine="482" w:firstLineChars="200"/>
              <w:jc w:val="both"/>
              <w:rPr>
                <w:rFonts w:hint="eastAsia"/>
                <w:b/>
                <w:bCs/>
                <w:color w:val="auto"/>
                <w:highlight w:val="none"/>
                <w:lang w:val="en-US" w:eastAsia="zh-CN"/>
              </w:rPr>
            </w:pPr>
            <w:r>
              <w:rPr>
                <w:rFonts w:hint="eastAsia"/>
                <w:b/>
                <w:bCs/>
                <w:color w:val="auto"/>
                <w:highlight w:val="none"/>
                <w:lang w:val="en-US" w:eastAsia="zh-CN"/>
              </w:rPr>
              <w:t>12、环保投资</w:t>
            </w:r>
          </w:p>
          <w:p w14:paraId="374D274B">
            <w:pPr>
              <w:bidi w:val="0"/>
              <w:ind w:firstLine="480" w:firstLineChars="200"/>
              <w:rPr>
                <w:rFonts w:hint="default"/>
                <w:b w:val="0"/>
                <w:bCs w:val="0"/>
                <w:color w:val="auto"/>
                <w:highlight w:val="none"/>
                <w:lang w:val="en-US" w:eastAsia="zh-CN"/>
              </w:rPr>
            </w:pPr>
            <w:r>
              <w:rPr>
                <w:rFonts w:hint="default"/>
                <w:b w:val="0"/>
                <w:bCs w:val="0"/>
                <w:color w:val="auto"/>
                <w:highlight w:val="none"/>
                <w:lang w:val="en-US" w:eastAsia="zh-CN"/>
              </w:rPr>
              <w:t>项目总投资</w:t>
            </w:r>
            <w:r>
              <w:rPr>
                <w:rFonts w:hint="eastAsia"/>
                <w:b w:val="0"/>
                <w:bCs w:val="0"/>
                <w:color w:val="auto"/>
                <w:highlight w:val="none"/>
                <w:lang w:val="en-US" w:eastAsia="zh-CN"/>
              </w:rPr>
              <w:t>3500</w:t>
            </w:r>
            <w:r>
              <w:rPr>
                <w:rFonts w:hint="default"/>
                <w:b w:val="0"/>
                <w:bCs w:val="0"/>
                <w:color w:val="auto"/>
                <w:highlight w:val="none"/>
                <w:lang w:val="en-US" w:eastAsia="zh-CN"/>
              </w:rPr>
              <w:t>万元，其中环保投资</w:t>
            </w:r>
            <w:r>
              <w:rPr>
                <w:rFonts w:hint="eastAsia" w:ascii="Times New Roman" w:eastAsia="宋体"/>
                <w:b w:val="0"/>
                <w:bCs w:val="0"/>
                <w:color w:val="auto"/>
                <w:highlight w:val="none"/>
                <w:lang w:val="en-US" w:eastAsia="zh-CN"/>
              </w:rPr>
              <w:t>为</w:t>
            </w:r>
            <w:r>
              <w:rPr>
                <w:rFonts w:hint="eastAsia"/>
                <w:b w:val="0"/>
                <w:bCs w:val="0"/>
                <w:color w:val="auto"/>
                <w:highlight w:val="none"/>
                <w:lang w:val="en-US" w:eastAsia="zh-CN"/>
              </w:rPr>
              <w:t>169.3</w:t>
            </w:r>
            <w:r>
              <w:rPr>
                <w:rFonts w:hint="default"/>
                <w:b w:val="0"/>
                <w:bCs w:val="0"/>
                <w:color w:val="auto"/>
                <w:highlight w:val="none"/>
                <w:lang w:val="en-US" w:eastAsia="zh-CN"/>
              </w:rPr>
              <w:t>万元，占工程总投资的</w:t>
            </w:r>
            <w:r>
              <w:rPr>
                <w:rFonts w:hint="eastAsia"/>
                <w:b w:val="0"/>
                <w:bCs w:val="0"/>
                <w:color w:val="auto"/>
                <w:highlight w:val="none"/>
                <w:lang w:val="en-US" w:eastAsia="zh-CN"/>
              </w:rPr>
              <w:t>4.84</w:t>
            </w:r>
            <w:r>
              <w:rPr>
                <w:rFonts w:hint="default"/>
                <w:b w:val="0"/>
                <w:bCs w:val="0"/>
                <w:color w:val="auto"/>
                <w:highlight w:val="none"/>
                <w:lang w:val="en-US" w:eastAsia="zh-CN"/>
              </w:rPr>
              <w:t>%，项目环保投资见</w:t>
            </w:r>
            <w:r>
              <w:rPr>
                <w:rFonts w:hint="eastAsia" w:ascii="Times New Roman" w:eastAsia="宋体"/>
                <w:b w:val="0"/>
                <w:bCs w:val="0"/>
                <w:color w:val="auto"/>
                <w:highlight w:val="none"/>
                <w:lang w:val="en-US" w:eastAsia="zh-CN"/>
              </w:rPr>
              <w:t>下</w:t>
            </w:r>
            <w:r>
              <w:rPr>
                <w:rFonts w:hint="default"/>
                <w:b w:val="0"/>
                <w:bCs w:val="0"/>
                <w:color w:val="auto"/>
                <w:highlight w:val="none"/>
                <w:lang w:val="en-US" w:eastAsia="zh-CN"/>
              </w:rPr>
              <w:t>表。</w:t>
            </w:r>
          </w:p>
          <w:p w14:paraId="725124F4">
            <w:pPr>
              <w:bidi w:val="0"/>
              <w:spacing w:line="240" w:lineRule="auto"/>
              <w:ind w:firstLine="0" w:firstLineChars="0"/>
              <w:jc w:val="center"/>
              <w:rPr>
                <w:rFonts w:hint="eastAsia"/>
                <w:b/>
                <w:bCs/>
                <w:color w:val="auto"/>
                <w:sz w:val="21"/>
                <w:szCs w:val="21"/>
                <w:highlight w:val="none"/>
                <w:lang w:val="en-US" w:eastAsia="zh-CN"/>
              </w:rPr>
            </w:pPr>
            <w:r>
              <w:rPr>
                <w:rFonts w:hint="eastAsia" w:ascii="Times New Roman" w:eastAsia="宋体"/>
                <w:b/>
                <w:bCs/>
                <w:color w:val="auto"/>
                <w:sz w:val="21"/>
                <w:szCs w:val="21"/>
                <w:highlight w:val="none"/>
                <w:lang w:val="en-US" w:eastAsia="zh-CN"/>
              </w:rPr>
              <w:t>表2-</w:t>
            </w:r>
            <w:r>
              <w:rPr>
                <w:rFonts w:hint="eastAsia"/>
                <w:b/>
                <w:bCs/>
                <w:color w:val="auto"/>
                <w:sz w:val="21"/>
                <w:szCs w:val="21"/>
                <w:highlight w:val="none"/>
                <w:lang w:val="en-US" w:eastAsia="zh-CN"/>
              </w:rPr>
              <w:t>9</w:t>
            </w:r>
            <w:r>
              <w:rPr>
                <w:rFonts w:hint="eastAsia" w:ascii="Times New Roman" w:eastAsia="宋体"/>
                <w:b/>
                <w:bCs/>
                <w:color w:val="auto"/>
                <w:sz w:val="21"/>
                <w:szCs w:val="21"/>
                <w:highlight w:val="none"/>
                <w:lang w:val="en-US" w:eastAsia="zh-CN"/>
              </w:rPr>
              <w:t xml:space="preserve"> 项目环保投资一览表</w:t>
            </w:r>
          </w:p>
          <w:tbl>
            <w:tblPr>
              <w:tblStyle w:val="2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296"/>
              <w:gridCol w:w="3690"/>
              <w:gridCol w:w="1068"/>
              <w:gridCol w:w="1162"/>
            </w:tblGrid>
            <w:tr w14:paraId="7FD1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1EE3AC1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序号</w:t>
                  </w:r>
                </w:p>
              </w:tc>
              <w:tc>
                <w:tcPr>
                  <w:tcW w:w="826" w:type="pct"/>
                  <w:tcBorders>
                    <w:top w:val="single" w:color="auto" w:sz="4" w:space="0"/>
                    <w:left w:val="single" w:color="auto" w:sz="4" w:space="0"/>
                    <w:bottom w:val="single" w:color="auto" w:sz="4" w:space="0"/>
                    <w:right w:val="single" w:color="auto" w:sz="4" w:space="0"/>
                  </w:tcBorders>
                  <w:noWrap w:val="0"/>
                  <w:vAlign w:val="center"/>
                </w:tcPr>
                <w:p w14:paraId="6E1C15C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治理类别</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4D0534C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处置措施或处置设施</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48C2BE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投资估算</w:t>
                  </w:r>
                </w:p>
                <w:p w14:paraId="7BDA0772">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（万元）</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7C7A850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备注</w:t>
                  </w:r>
                </w:p>
              </w:tc>
            </w:tr>
            <w:tr w14:paraId="7381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5CD9BC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一</w:t>
                  </w:r>
                </w:p>
              </w:tc>
              <w:tc>
                <w:tcPr>
                  <w:tcW w:w="826" w:type="pct"/>
                  <w:tcBorders>
                    <w:top w:val="single" w:color="auto" w:sz="4" w:space="0"/>
                    <w:left w:val="single" w:color="auto" w:sz="4" w:space="0"/>
                    <w:bottom w:val="single" w:color="auto" w:sz="4" w:space="0"/>
                    <w:right w:val="single" w:color="auto" w:sz="4" w:space="0"/>
                  </w:tcBorders>
                  <w:noWrap w:val="0"/>
                  <w:vAlign w:val="center"/>
                </w:tcPr>
                <w:p w14:paraId="6E199C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施工期</w:t>
                  </w:r>
                </w:p>
              </w:tc>
              <w:tc>
                <w:tcPr>
                  <w:tcW w:w="3775" w:type="pct"/>
                  <w:gridSpan w:val="3"/>
                  <w:tcBorders>
                    <w:top w:val="single" w:color="auto" w:sz="4" w:space="0"/>
                    <w:left w:val="single" w:color="auto" w:sz="4" w:space="0"/>
                    <w:bottom w:val="single" w:color="auto" w:sz="4" w:space="0"/>
                    <w:right w:val="single" w:color="auto" w:sz="4" w:space="0"/>
                  </w:tcBorders>
                  <w:noWrap w:val="0"/>
                  <w:vAlign w:val="center"/>
                </w:tcPr>
                <w:p w14:paraId="2307458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6F04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7590F43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w:t>
                  </w:r>
                </w:p>
              </w:tc>
              <w:tc>
                <w:tcPr>
                  <w:tcW w:w="826" w:type="pct"/>
                  <w:tcBorders>
                    <w:top w:val="single" w:color="auto" w:sz="4" w:space="0"/>
                    <w:left w:val="single" w:color="auto" w:sz="4" w:space="0"/>
                    <w:bottom w:val="single" w:color="auto" w:sz="4" w:space="0"/>
                    <w:right w:val="single" w:color="auto" w:sz="4" w:space="0"/>
                  </w:tcBorders>
                  <w:noWrap w:val="0"/>
                  <w:vAlign w:val="center"/>
                </w:tcPr>
                <w:p w14:paraId="06DBB62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扬尘</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5141D18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
                    </w:rPr>
                    <w:t>施工场地</w:t>
                  </w:r>
                  <w:r>
                    <w:rPr>
                      <w:rFonts w:hint="default" w:ascii="Times New Roman" w:hAnsi="Times New Roman" w:eastAsia="宋体" w:cs="Times New Roman"/>
                      <w:color w:val="auto"/>
                      <w:sz w:val="21"/>
                      <w:szCs w:val="21"/>
                      <w:lang w:bidi="ar"/>
                    </w:rPr>
                    <w:t>进行洒水降尘</w:t>
                  </w:r>
                  <w:r>
                    <w:rPr>
                      <w:rFonts w:hint="eastAsia" w:ascii="Times New Roman" w:hAnsi="Times New Roman" w:eastAsia="宋体" w:cs="Times New Roman"/>
                      <w:color w:val="auto"/>
                      <w:sz w:val="21"/>
                      <w:szCs w:val="21"/>
                      <w:lang w:eastAsia="zh-CN" w:bidi="ar"/>
                    </w:rPr>
                    <w:t>；</w:t>
                  </w:r>
                  <w:r>
                    <w:rPr>
                      <w:rFonts w:hint="eastAsia" w:ascii="Times New Roman" w:hAnsi="Times New Roman" w:eastAsia="宋体" w:cs="Times New Roman"/>
                      <w:color w:val="auto"/>
                      <w:sz w:val="21"/>
                      <w:szCs w:val="21"/>
                      <w:lang w:val="en-US" w:eastAsia="zh-CN" w:bidi="ar"/>
                    </w:rPr>
                    <w:t>物料覆盖措施</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7C5AF6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bidi="ar"/>
                    </w:rPr>
                    <w:t>1</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3009ABD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环评提出</w:t>
                  </w:r>
                </w:p>
              </w:tc>
            </w:tr>
            <w:tr w14:paraId="7572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56FA36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w:t>
                  </w:r>
                </w:p>
              </w:tc>
              <w:tc>
                <w:tcPr>
                  <w:tcW w:w="826" w:type="pct"/>
                  <w:tcBorders>
                    <w:top w:val="single" w:color="auto" w:sz="4" w:space="0"/>
                    <w:left w:val="single" w:color="auto" w:sz="4" w:space="0"/>
                    <w:bottom w:val="single" w:color="auto" w:sz="4" w:space="0"/>
                    <w:right w:val="single" w:color="auto" w:sz="4" w:space="0"/>
                  </w:tcBorders>
                  <w:noWrap w:val="0"/>
                  <w:vAlign w:val="center"/>
                </w:tcPr>
                <w:p w14:paraId="08FF993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施工废水</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6DB222B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bidi="ar"/>
                    </w:rPr>
                    <w:t>临时排水沟</w:t>
                  </w:r>
                  <w:r>
                    <w:rPr>
                      <w:rFonts w:hint="eastAsia" w:cs="Times New Roman"/>
                      <w:color w:val="auto"/>
                      <w:sz w:val="21"/>
                      <w:szCs w:val="21"/>
                      <w:lang w:val="en-US" w:eastAsia="zh-CN" w:bidi="ar"/>
                    </w:rPr>
                    <w:t>36</w:t>
                  </w:r>
                  <w:r>
                    <w:rPr>
                      <w:rFonts w:hint="eastAsia" w:ascii="Times New Roman" w:hAnsi="Times New Roman" w:eastAsia="宋体" w:cs="Times New Roman"/>
                      <w:color w:val="auto"/>
                      <w:sz w:val="21"/>
                      <w:szCs w:val="21"/>
                      <w:lang w:val="en-US" w:eastAsia="zh-CN" w:bidi="ar"/>
                    </w:rPr>
                    <w:t>0m；</w:t>
                  </w:r>
                  <w:r>
                    <w:rPr>
                      <w:rFonts w:hint="default" w:ascii="Times New Roman" w:hAnsi="Times New Roman" w:eastAsia="宋体" w:cs="Times New Roman"/>
                      <w:color w:val="auto"/>
                      <w:sz w:val="21"/>
                      <w:szCs w:val="21"/>
                      <w:lang w:bidi="ar"/>
                    </w:rPr>
                    <w:t>临时沉淀池1个，容积</w:t>
                  </w:r>
                  <w:r>
                    <w:rPr>
                      <w:rFonts w:hint="eastAsia" w:cs="Times New Roman"/>
                      <w:color w:val="auto"/>
                      <w:sz w:val="21"/>
                      <w:szCs w:val="21"/>
                      <w:lang w:val="en-US" w:eastAsia="zh-CN" w:bidi="ar"/>
                    </w:rPr>
                    <w:t>5</w:t>
                  </w:r>
                  <w:r>
                    <w:rPr>
                      <w:rFonts w:hint="default" w:ascii="Times New Roman" w:hAnsi="Times New Roman" w:eastAsia="宋体" w:cs="Times New Roman"/>
                      <w:color w:val="auto"/>
                      <w:sz w:val="21"/>
                      <w:szCs w:val="21"/>
                      <w:lang w:bidi="ar"/>
                    </w:rPr>
                    <w:t>m</w:t>
                  </w:r>
                  <w:r>
                    <w:rPr>
                      <w:rFonts w:hint="default" w:ascii="Times New Roman" w:hAnsi="Times New Roman" w:eastAsia="宋体" w:cs="Times New Roman"/>
                      <w:color w:val="auto"/>
                      <w:sz w:val="21"/>
                      <w:szCs w:val="21"/>
                      <w:vertAlign w:val="superscript"/>
                      <w:lang w:bidi="ar"/>
                    </w:rPr>
                    <w:t>3</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539C38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bidi="ar"/>
                    </w:rPr>
                    <w:t>5</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527DFB8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环评提出</w:t>
                  </w:r>
                </w:p>
              </w:tc>
            </w:tr>
            <w:tr w14:paraId="5F80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5B79366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3</w:t>
                  </w:r>
                </w:p>
              </w:tc>
              <w:tc>
                <w:tcPr>
                  <w:tcW w:w="826" w:type="pct"/>
                  <w:tcBorders>
                    <w:top w:val="single" w:color="auto" w:sz="4" w:space="0"/>
                    <w:left w:val="single" w:color="auto" w:sz="4" w:space="0"/>
                    <w:bottom w:val="single" w:color="auto" w:sz="4" w:space="0"/>
                    <w:right w:val="single" w:color="auto" w:sz="4" w:space="0"/>
                  </w:tcBorders>
                  <w:noWrap w:val="0"/>
                  <w:vAlign w:val="center"/>
                </w:tcPr>
                <w:p w14:paraId="258E503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施工噪声</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78A29B6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eastAsia" w:hAnsi="宋体"/>
                      <w:color w:val="auto"/>
                      <w:sz w:val="21"/>
                      <w:szCs w:val="21"/>
                    </w:rPr>
                    <w:t>施工期建筑隔声墙、合理布置产噪设备、采用低噪声设备</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2E1788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12</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0AC1A7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环评提出</w:t>
                  </w:r>
                </w:p>
              </w:tc>
            </w:tr>
            <w:tr w14:paraId="78B9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7A9315D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4</w:t>
                  </w:r>
                </w:p>
              </w:tc>
              <w:tc>
                <w:tcPr>
                  <w:tcW w:w="826" w:type="pct"/>
                  <w:tcBorders>
                    <w:top w:val="single" w:color="auto" w:sz="4" w:space="0"/>
                    <w:left w:val="single" w:color="auto" w:sz="4" w:space="0"/>
                    <w:bottom w:val="single" w:color="auto" w:sz="4" w:space="0"/>
                    <w:right w:val="single" w:color="auto" w:sz="4" w:space="0"/>
                  </w:tcBorders>
                  <w:noWrap w:val="0"/>
                  <w:vAlign w:val="center"/>
                </w:tcPr>
                <w:p w14:paraId="4F08BC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固废处置</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479021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hAnsi="宋体" w:eastAsia="宋体"/>
                      <w:color w:val="auto"/>
                      <w:sz w:val="21"/>
                      <w:szCs w:val="21"/>
                      <w:lang w:val="en-US" w:eastAsia="zh-CN"/>
                    </w:rPr>
                  </w:pPr>
                  <w:r>
                    <w:rPr>
                      <w:rFonts w:hint="eastAsia" w:hAnsi="宋体"/>
                      <w:color w:val="auto"/>
                      <w:sz w:val="21"/>
                      <w:szCs w:val="21"/>
                      <w:lang w:val="en-US" w:eastAsia="zh-CN"/>
                    </w:rPr>
                    <w:t>施工建筑垃圾外运</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11719D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1.5</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38ABA3E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环评提出</w:t>
                  </w:r>
                </w:p>
              </w:tc>
            </w:tr>
            <w:tr w14:paraId="7431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4437BD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二</w:t>
                  </w:r>
                </w:p>
              </w:tc>
              <w:tc>
                <w:tcPr>
                  <w:tcW w:w="826" w:type="pct"/>
                  <w:tcBorders>
                    <w:top w:val="single" w:color="auto" w:sz="4" w:space="0"/>
                    <w:left w:val="single" w:color="auto" w:sz="4" w:space="0"/>
                    <w:bottom w:val="single" w:color="auto" w:sz="4" w:space="0"/>
                    <w:right w:val="single" w:color="auto" w:sz="4" w:space="0"/>
                  </w:tcBorders>
                  <w:noWrap w:val="0"/>
                  <w:vAlign w:val="center"/>
                </w:tcPr>
                <w:p w14:paraId="3E0218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运行期</w:t>
                  </w:r>
                </w:p>
              </w:tc>
              <w:tc>
                <w:tcPr>
                  <w:tcW w:w="3775" w:type="pct"/>
                  <w:gridSpan w:val="3"/>
                  <w:tcBorders>
                    <w:top w:val="single" w:color="auto" w:sz="4" w:space="0"/>
                    <w:left w:val="single" w:color="auto" w:sz="4" w:space="0"/>
                    <w:bottom w:val="single" w:color="auto" w:sz="4" w:space="0"/>
                    <w:right w:val="single" w:color="auto" w:sz="4" w:space="0"/>
                  </w:tcBorders>
                  <w:noWrap w:val="0"/>
                  <w:vAlign w:val="center"/>
                </w:tcPr>
                <w:p w14:paraId="705274D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0233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restart"/>
                  <w:tcBorders>
                    <w:top w:val="single" w:color="auto" w:sz="4" w:space="0"/>
                    <w:left w:val="single" w:color="auto" w:sz="4" w:space="0"/>
                    <w:right w:val="single" w:color="auto" w:sz="4" w:space="0"/>
                  </w:tcBorders>
                  <w:noWrap w:val="0"/>
                  <w:vAlign w:val="center"/>
                </w:tcPr>
                <w:p w14:paraId="67E2DD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val="en-US" w:eastAsia="zh-CN" w:bidi="ar"/>
                    </w:rPr>
                    <w:t>5</w:t>
                  </w:r>
                </w:p>
              </w:tc>
              <w:tc>
                <w:tcPr>
                  <w:tcW w:w="826" w:type="pct"/>
                  <w:vMerge w:val="restart"/>
                  <w:tcBorders>
                    <w:top w:val="single" w:color="auto" w:sz="4" w:space="0"/>
                    <w:left w:val="single" w:color="auto" w:sz="4" w:space="0"/>
                    <w:right w:val="single" w:color="auto" w:sz="4" w:space="0"/>
                  </w:tcBorders>
                  <w:noWrap w:val="0"/>
                  <w:vAlign w:val="center"/>
                </w:tcPr>
                <w:p w14:paraId="166D1E4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bidi="ar"/>
                    </w:rPr>
                  </w:pPr>
                  <w:r>
                    <w:rPr>
                      <w:rFonts w:hint="eastAsia" w:cs="Times New Roman"/>
                      <w:color w:val="auto"/>
                      <w:sz w:val="21"/>
                      <w:szCs w:val="21"/>
                      <w:lang w:val="en-US" w:eastAsia="zh-CN" w:bidi="ar"/>
                    </w:rPr>
                    <w:t>1#</w:t>
                  </w:r>
                  <w:r>
                    <w:rPr>
                      <w:rFonts w:hint="default" w:ascii="Times New Roman" w:hAnsi="Times New Roman" w:eastAsia="宋体" w:cs="Times New Roman"/>
                      <w:color w:val="auto"/>
                      <w:sz w:val="21"/>
                      <w:szCs w:val="21"/>
                      <w:lang w:bidi="ar"/>
                    </w:rPr>
                    <w:t>沥青混凝土生产线废气</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00161A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宋体" w:cs="Times New Roman"/>
                      <w:color w:val="auto"/>
                      <w:sz w:val="21"/>
                      <w:szCs w:val="21"/>
                      <w:lang w:bidi="ar"/>
                    </w:rPr>
                  </w:pPr>
                  <w:r>
                    <w:rPr>
                      <w:rFonts w:hint="eastAsia" w:cs="Times New Roman"/>
                      <w:color w:val="auto"/>
                      <w:sz w:val="21"/>
                      <w:szCs w:val="21"/>
                      <w:lang w:val="en-US" w:eastAsia="zh-CN" w:bidi="ar"/>
                    </w:rPr>
                    <w:t>生产线</w:t>
                  </w:r>
                  <w:r>
                    <w:rPr>
                      <w:rFonts w:hint="eastAsia" w:ascii="Times New Roman" w:hAnsi="Times New Roman" w:cs="Times New Roman"/>
                      <w:color w:val="auto"/>
                      <w:sz w:val="21"/>
                      <w:szCs w:val="21"/>
                      <w:lang w:val="en-US" w:eastAsia="zh-CN" w:bidi="ar"/>
                    </w:rPr>
                    <w:t>上料粉尘</w:t>
                  </w:r>
                  <w:r>
                    <w:rPr>
                      <w:rFonts w:hint="eastAsia"/>
                      <w:color w:val="auto"/>
                      <w:sz w:val="21"/>
                      <w:szCs w:val="21"/>
                      <w:lang w:val="en-US" w:eastAsia="zh-CN" w:bidi="ar"/>
                    </w:rPr>
                    <w:t>集气罩</w:t>
                  </w:r>
                  <w:r>
                    <w:rPr>
                      <w:rFonts w:ascii="Times New Roman" w:hAnsi="Times New Roman"/>
                      <w:color w:val="auto"/>
                      <w:sz w:val="21"/>
                      <w:szCs w:val="21"/>
                      <w:lang w:bidi="ar"/>
                    </w:rPr>
                    <w:t>收集后</w:t>
                  </w:r>
                  <w:r>
                    <w:rPr>
                      <w:rFonts w:hint="eastAsia"/>
                      <w:color w:val="auto"/>
                      <w:sz w:val="21"/>
                      <w:szCs w:val="21"/>
                      <w:lang w:val="en-US" w:eastAsia="zh-CN" w:bidi="ar"/>
                    </w:rPr>
                    <w:t>（</w:t>
                  </w:r>
                  <w:r>
                    <w:rPr>
                      <w:rFonts w:hint="eastAsia" w:ascii="Times New Roman" w:hAnsi="Times New Roman" w:eastAsia="宋体" w:cs="Times New Roman"/>
                      <w:bCs/>
                      <w:color w:val="auto"/>
                      <w:sz w:val="21"/>
                      <w:szCs w:val="21"/>
                      <w:lang w:val="en-US" w:eastAsia="zh-CN"/>
                    </w:rPr>
                    <w:t>收集效率90%</w:t>
                  </w:r>
                  <w:r>
                    <w:rPr>
                      <w:rFonts w:hint="eastAsia" w:cs="Times New Roman"/>
                      <w:bCs/>
                      <w:color w:val="auto"/>
                      <w:sz w:val="21"/>
                      <w:szCs w:val="21"/>
                      <w:lang w:val="en-US" w:eastAsia="zh-CN"/>
                    </w:rPr>
                    <w:t>，</w:t>
                  </w:r>
                  <w:r>
                    <w:rPr>
                      <w:rFonts w:hint="eastAsia"/>
                      <w:color w:val="auto"/>
                      <w:sz w:val="21"/>
                      <w:szCs w:val="21"/>
                      <w:lang w:val="en-US" w:eastAsia="zh-CN" w:bidi="ar"/>
                    </w:rPr>
                    <w:t>引风机风量20000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）经</w:t>
                  </w:r>
                  <w:r>
                    <w:rPr>
                      <w:rFonts w:hint="eastAsia" w:ascii="Times New Roman" w:hAnsi="Times New Roman"/>
                      <w:color w:val="auto"/>
                      <w:sz w:val="21"/>
                      <w:szCs w:val="21"/>
                      <w:lang w:bidi="ar"/>
                    </w:rPr>
                    <w:t>一套</w:t>
                  </w:r>
                  <w:r>
                    <w:rPr>
                      <w:rFonts w:ascii="Times New Roman" w:hAnsi="Times New Roman"/>
                      <w:color w:val="auto"/>
                      <w:sz w:val="21"/>
                      <w:szCs w:val="21"/>
                    </w:rPr>
                    <w:t>布袋除</w:t>
                  </w:r>
                  <w:r>
                    <w:rPr>
                      <w:rFonts w:ascii="Times New Roman" w:hAnsi="Times New Roman" w:eastAsia="宋体" w:cs="Times New Roman"/>
                      <w:color w:val="auto"/>
                      <w:sz w:val="21"/>
                      <w:szCs w:val="21"/>
                      <w:lang w:bidi="ar"/>
                    </w:rPr>
                    <w:t>尘</w:t>
                  </w:r>
                  <w:r>
                    <w:rPr>
                      <w:rFonts w:hint="eastAsia" w:ascii="Times New Roman" w:hAnsi="Times New Roman" w:eastAsia="宋体" w:cs="Times New Roman"/>
                      <w:color w:val="auto"/>
                      <w:sz w:val="21"/>
                      <w:szCs w:val="21"/>
                      <w:lang w:val="en-US" w:eastAsia="zh-CN" w:bidi="ar"/>
                    </w:rPr>
                    <w:t>器</w:t>
                  </w:r>
                  <w:r>
                    <w:rPr>
                      <w:rFonts w:ascii="Times New Roman" w:hAnsi="Times New Roman" w:eastAsia="宋体" w:cs="Times New Roman"/>
                      <w:color w:val="auto"/>
                      <w:sz w:val="21"/>
                      <w:szCs w:val="21"/>
                      <w:lang w:bidi="ar"/>
                    </w:rPr>
                    <w:t>处</w:t>
                  </w:r>
                  <w:r>
                    <w:rPr>
                      <w:rFonts w:ascii="Times New Roman" w:hAnsi="Times New Roman"/>
                      <w:color w:val="auto"/>
                      <w:sz w:val="21"/>
                      <w:szCs w:val="21"/>
                    </w:rPr>
                    <w:t>理后经1根15m高的</w:t>
                  </w:r>
                  <w:r>
                    <w:rPr>
                      <w:rFonts w:hint="eastAsia" w:ascii="Times New Roman" w:hAnsi="Times New Roman"/>
                      <w:color w:val="auto"/>
                      <w:sz w:val="21"/>
                      <w:szCs w:val="21"/>
                      <w:lang w:val="en-US" w:eastAsia="zh-CN"/>
                    </w:rPr>
                    <w:t>DA001</w:t>
                  </w:r>
                  <w:r>
                    <w:rPr>
                      <w:rFonts w:ascii="Times New Roman" w:hAnsi="Times New Roman"/>
                      <w:color w:val="auto"/>
                      <w:sz w:val="21"/>
                      <w:szCs w:val="21"/>
                    </w:rPr>
                    <w:t>排气筒排放。</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736540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7A0F96D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6D4E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continue"/>
                  <w:tcBorders>
                    <w:left w:val="single" w:color="auto" w:sz="4" w:space="0"/>
                    <w:right w:val="single" w:color="auto" w:sz="4" w:space="0"/>
                  </w:tcBorders>
                  <w:noWrap w:val="0"/>
                  <w:vAlign w:val="center"/>
                </w:tcPr>
                <w:p w14:paraId="161FE1A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826" w:type="pct"/>
                  <w:vMerge w:val="continue"/>
                  <w:tcBorders>
                    <w:left w:val="single" w:color="auto" w:sz="4" w:space="0"/>
                    <w:right w:val="single" w:color="auto" w:sz="4" w:space="0"/>
                  </w:tcBorders>
                  <w:noWrap w:val="0"/>
                  <w:vAlign w:val="center"/>
                </w:tcPr>
                <w:p w14:paraId="575AC88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2353" w:type="pct"/>
                  <w:tcBorders>
                    <w:top w:val="single" w:color="auto" w:sz="4" w:space="0"/>
                    <w:left w:val="single" w:color="auto" w:sz="4" w:space="0"/>
                    <w:bottom w:val="single" w:color="auto" w:sz="4" w:space="0"/>
                    <w:right w:val="single" w:color="auto" w:sz="4" w:space="0"/>
                  </w:tcBorders>
                  <w:noWrap w:val="0"/>
                  <w:vAlign w:val="center"/>
                </w:tcPr>
                <w:p w14:paraId="35FEF1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bidi="ar"/>
                    </w:rPr>
                    <w:t>烘干滚筒</w:t>
                  </w:r>
                  <w:r>
                    <w:rPr>
                      <w:rFonts w:hint="eastAsia" w:cs="Times New Roman"/>
                      <w:color w:val="auto"/>
                      <w:sz w:val="21"/>
                      <w:szCs w:val="21"/>
                      <w:lang w:eastAsia="zh-CN" w:bidi="ar"/>
                    </w:rPr>
                    <w:t>、</w:t>
                  </w:r>
                  <w:r>
                    <w:rPr>
                      <w:rFonts w:hint="eastAsia" w:cs="Times New Roman"/>
                      <w:color w:val="auto"/>
                      <w:sz w:val="21"/>
                      <w:szCs w:val="21"/>
                      <w:lang w:val="en-US" w:eastAsia="zh-CN" w:bidi="ar"/>
                    </w:rPr>
                    <w:t>筛分过程、热骨料仓粉尘、</w:t>
                  </w:r>
                  <w:r>
                    <w:rPr>
                      <w:rFonts w:hint="default" w:ascii="Times New Roman" w:hAnsi="Times New Roman" w:cs="Times New Roman"/>
                      <w:color w:val="auto"/>
                      <w:sz w:val="21"/>
                      <w:szCs w:val="21"/>
                      <w:lang w:bidi="ar"/>
                    </w:rPr>
                    <w:t>燃烧器废气</w:t>
                  </w:r>
                  <w:r>
                    <w:rPr>
                      <w:rFonts w:hint="eastAsia" w:cs="Times New Roman"/>
                      <w:color w:val="auto"/>
                      <w:sz w:val="21"/>
                      <w:szCs w:val="21"/>
                      <w:lang w:val="en-US" w:eastAsia="zh-CN" w:bidi="ar"/>
                    </w:rPr>
                    <w:t>及</w:t>
                  </w:r>
                  <w:r>
                    <w:rPr>
                      <w:rFonts w:ascii="Times New Roman" w:hAnsi="Times New Roman"/>
                      <w:bCs/>
                      <w:color w:val="auto"/>
                      <w:sz w:val="21"/>
                      <w:szCs w:val="21"/>
                    </w:rPr>
                    <w:t>沥青罐</w:t>
                  </w:r>
                  <w:r>
                    <w:rPr>
                      <w:rFonts w:hint="eastAsia"/>
                      <w:bCs/>
                      <w:color w:val="auto"/>
                      <w:sz w:val="21"/>
                      <w:szCs w:val="21"/>
                      <w:lang w:val="en-US" w:eastAsia="zh-CN"/>
                    </w:rPr>
                    <w:t>加热</w:t>
                  </w:r>
                  <w:r>
                    <w:rPr>
                      <w:rFonts w:ascii="Times New Roman" w:hAnsi="Times New Roman"/>
                      <w:bCs/>
                      <w:color w:val="auto"/>
                      <w:sz w:val="21"/>
                      <w:szCs w:val="21"/>
                    </w:rPr>
                    <w:t>、搅拌机、成品仓</w:t>
                  </w:r>
                  <w:r>
                    <w:rPr>
                      <w:rFonts w:hint="eastAsia" w:ascii="Times New Roman" w:hAnsi="Times New Roman"/>
                      <w:bCs/>
                      <w:color w:val="auto"/>
                      <w:sz w:val="21"/>
                      <w:szCs w:val="21"/>
                      <w:lang w:val="en-US" w:eastAsia="zh-CN"/>
                    </w:rPr>
                    <w:t>沥青</w:t>
                  </w:r>
                  <w:r>
                    <w:rPr>
                      <w:rFonts w:hint="default" w:ascii="Times New Roman" w:hAnsi="Times New Roman" w:cs="Times New Roman"/>
                      <w:color w:val="auto"/>
                      <w:sz w:val="21"/>
                      <w:szCs w:val="21"/>
                      <w:lang w:bidi="ar"/>
                    </w:rPr>
                    <w:t>烟气</w:t>
                  </w:r>
                  <w:r>
                    <w:rPr>
                      <w:rFonts w:hint="eastAsia"/>
                      <w:color w:val="auto"/>
                      <w:sz w:val="21"/>
                      <w:szCs w:val="21"/>
                      <w:lang w:val="en-US" w:eastAsia="zh-CN" w:bidi="ar"/>
                    </w:rPr>
                    <w:t>统一</w:t>
                  </w:r>
                  <w:r>
                    <w:rPr>
                      <w:rFonts w:ascii="Times New Roman" w:hAnsi="Times New Roman"/>
                      <w:color w:val="auto"/>
                      <w:sz w:val="21"/>
                      <w:szCs w:val="21"/>
                      <w:lang w:bidi="ar"/>
                    </w:rPr>
                    <w:t>收集后</w:t>
                  </w:r>
                  <w:r>
                    <w:rPr>
                      <w:rFonts w:hint="eastAsia"/>
                      <w:color w:val="auto"/>
                      <w:sz w:val="21"/>
                      <w:szCs w:val="21"/>
                      <w:lang w:val="en-US" w:eastAsia="zh-CN" w:bidi="ar"/>
                    </w:rPr>
                    <w:t>（其中</w:t>
                  </w:r>
                  <w:r>
                    <w:rPr>
                      <w:rFonts w:hint="eastAsia"/>
                      <w:bCs/>
                      <w:color w:val="auto"/>
                      <w:sz w:val="21"/>
                      <w:szCs w:val="21"/>
                    </w:rPr>
                    <w:t>沥青烟废气</w:t>
                  </w:r>
                  <w:r>
                    <w:rPr>
                      <w:rFonts w:hint="eastAsia"/>
                      <w:bCs/>
                      <w:color w:val="auto"/>
                      <w:sz w:val="21"/>
                      <w:szCs w:val="21"/>
                      <w:lang w:val="en-US" w:eastAsia="zh-CN"/>
                    </w:rPr>
                    <w:t>收集效率99%</w:t>
                  </w:r>
                  <w:r>
                    <w:rPr>
                      <w:rFonts w:hint="eastAsia"/>
                      <w:bCs/>
                      <w:color w:val="auto"/>
                      <w:sz w:val="21"/>
                      <w:szCs w:val="21"/>
                      <w:lang w:eastAsia="zh-CN"/>
                    </w:rPr>
                    <w:t>、</w:t>
                  </w:r>
                  <w:r>
                    <w:rPr>
                      <w:rFonts w:hint="eastAsia"/>
                      <w:bCs/>
                      <w:color w:val="auto"/>
                      <w:sz w:val="21"/>
                      <w:szCs w:val="21"/>
                      <w:lang w:val="en-US" w:eastAsia="zh-CN"/>
                    </w:rPr>
                    <w:t>其他废气收集效率100%，总</w:t>
                  </w:r>
                  <w:r>
                    <w:rPr>
                      <w:rFonts w:hint="eastAsia"/>
                      <w:color w:val="auto"/>
                      <w:sz w:val="21"/>
                      <w:szCs w:val="21"/>
                      <w:lang w:val="en-US" w:eastAsia="zh-CN" w:bidi="ar"/>
                    </w:rPr>
                    <w:t>引风机风量30000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w:t>
                  </w:r>
                  <w:r>
                    <w:rPr>
                      <w:rFonts w:ascii="Times New Roman" w:hAnsi="Times New Roman"/>
                      <w:color w:val="auto"/>
                      <w:sz w:val="21"/>
                      <w:szCs w:val="21"/>
                      <w:lang w:bidi="ar"/>
                    </w:rPr>
                    <w:t>经</w:t>
                  </w:r>
                  <w:r>
                    <w:rPr>
                      <w:rFonts w:hint="eastAsia" w:ascii="Times New Roman" w:hAnsi="Times New Roman"/>
                      <w:color w:val="auto"/>
                      <w:sz w:val="21"/>
                      <w:szCs w:val="21"/>
                      <w:lang w:bidi="ar"/>
                    </w:rPr>
                    <w:t>一套</w:t>
                  </w:r>
                  <w:r>
                    <w:rPr>
                      <w:rFonts w:ascii="Times New Roman" w:hAnsi="Times New Roman"/>
                      <w:color w:val="auto"/>
                      <w:sz w:val="21"/>
                      <w:szCs w:val="21"/>
                    </w:rPr>
                    <w:t>布袋除</w:t>
                  </w:r>
                  <w:r>
                    <w:rPr>
                      <w:rFonts w:ascii="Times New Roman" w:hAnsi="Times New Roman" w:eastAsia="宋体" w:cs="Times New Roman"/>
                      <w:color w:val="auto"/>
                      <w:sz w:val="21"/>
                      <w:szCs w:val="21"/>
                      <w:lang w:bidi="ar"/>
                    </w:rPr>
                    <w:t>尘</w:t>
                  </w:r>
                  <w:r>
                    <w:rPr>
                      <w:rFonts w:hint="eastAsia" w:ascii="Times New Roman" w:hAnsi="Times New Roman" w:eastAsia="宋体" w:cs="Times New Roman"/>
                      <w:color w:val="auto"/>
                      <w:sz w:val="21"/>
                      <w:szCs w:val="21"/>
                      <w:lang w:val="en-US" w:eastAsia="zh-CN" w:bidi="ar"/>
                    </w:rPr>
                    <w:t>器</w:t>
                  </w:r>
                  <w:r>
                    <w:rPr>
                      <w:rFonts w:hint="eastAsia" w:cs="Times New Roman"/>
                      <w:color w:val="auto"/>
                      <w:sz w:val="21"/>
                      <w:szCs w:val="21"/>
                      <w:lang w:val="en-US" w:eastAsia="zh-CN" w:bidi="ar"/>
                    </w:rPr>
                    <w:t>+二级活性炭</w:t>
                  </w:r>
                  <w:r>
                    <w:rPr>
                      <w:rFonts w:ascii="Times New Roman" w:hAnsi="Times New Roman" w:eastAsia="宋体" w:cs="Times New Roman"/>
                      <w:color w:val="auto"/>
                      <w:sz w:val="21"/>
                      <w:szCs w:val="21"/>
                      <w:lang w:bidi="ar"/>
                    </w:rPr>
                    <w:t>处</w:t>
                  </w:r>
                  <w:r>
                    <w:rPr>
                      <w:rFonts w:ascii="Times New Roman" w:hAnsi="Times New Roman"/>
                      <w:color w:val="auto"/>
                      <w:sz w:val="21"/>
                      <w:szCs w:val="21"/>
                    </w:rPr>
                    <w:t>理后经1根</w:t>
                  </w:r>
                  <w:r>
                    <w:rPr>
                      <w:rFonts w:hint="eastAsia"/>
                      <w:color w:val="auto"/>
                      <w:sz w:val="21"/>
                      <w:szCs w:val="21"/>
                      <w:lang w:val="en-US" w:eastAsia="zh-CN"/>
                    </w:rPr>
                    <w:t>15</w:t>
                  </w:r>
                  <w:r>
                    <w:rPr>
                      <w:rFonts w:ascii="Times New Roman" w:hAnsi="Times New Roman"/>
                      <w:color w:val="auto"/>
                      <w:sz w:val="21"/>
                      <w:szCs w:val="21"/>
                    </w:rPr>
                    <w:t>m高的</w:t>
                  </w:r>
                  <w:r>
                    <w:rPr>
                      <w:rFonts w:hint="eastAsia" w:ascii="Times New Roman" w:hAnsi="Times New Roman"/>
                      <w:color w:val="auto"/>
                      <w:sz w:val="21"/>
                      <w:szCs w:val="21"/>
                      <w:lang w:val="en-US" w:eastAsia="zh-CN"/>
                    </w:rPr>
                    <w:t>DA002</w:t>
                  </w:r>
                  <w:r>
                    <w:rPr>
                      <w:rFonts w:ascii="Times New Roman" w:hAnsi="Times New Roman"/>
                      <w:color w:val="auto"/>
                      <w:sz w:val="21"/>
                      <w:szCs w:val="21"/>
                    </w:rPr>
                    <w:t>排气筒排放。</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3DA3F7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25</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636F65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51B3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continue"/>
                  <w:tcBorders>
                    <w:left w:val="single" w:color="auto" w:sz="4" w:space="0"/>
                    <w:right w:val="single" w:color="auto" w:sz="4" w:space="0"/>
                  </w:tcBorders>
                  <w:noWrap w:val="0"/>
                  <w:vAlign w:val="center"/>
                </w:tcPr>
                <w:p w14:paraId="1E43F5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826" w:type="pct"/>
                  <w:vMerge w:val="continue"/>
                  <w:tcBorders>
                    <w:left w:val="single" w:color="auto" w:sz="4" w:space="0"/>
                    <w:right w:val="single" w:color="auto" w:sz="4" w:space="0"/>
                  </w:tcBorders>
                  <w:noWrap w:val="0"/>
                  <w:vAlign w:val="center"/>
                </w:tcPr>
                <w:p w14:paraId="28F49E1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bidi="ar"/>
                    </w:rPr>
                  </w:pPr>
                </w:p>
              </w:tc>
              <w:tc>
                <w:tcPr>
                  <w:tcW w:w="2353" w:type="pct"/>
                  <w:tcBorders>
                    <w:top w:val="single" w:color="auto" w:sz="4" w:space="0"/>
                    <w:left w:val="single" w:color="auto" w:sz="4" w:space="0"/>
                    <w:bottom w:val="single" w:color="auto" w:sz="4" w:space="0"/>
                    <w:right w:val="single" w:color="auto" w:sz="4" w:space="0"/>
                  </w:tcBorders>
                  <w:noWrap w:val="0"/>
                  <w:vAlign w:val="center"/>
                </w:tcPr>
                <w:p w14:paraId="7C074B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bidi="ar"/>
                    </w:rPr>
                    <w:t>导热油炉废气</w:t>
                  </w:r>
                  <w:r>
                    <w:rPr>
                      <w:rFonts w:hint="default" w:ascii="Times New Roman" w:hAnsi="Times New Roman" w:cs="Times New Roman"/>
                      <w:color w:val="auto"/>
                      <w:sz w:val="21"/>
                      <w:szCs w:val="21"/>
                      <w:lang w:bidi="ar"/>
                    </w:rPr>
                    <w:t>收集后</w:t>
                  </w:r>
                  <w:r>
                    <w:rPr>
                      <w:rFonts w:hint="eastAsia" w:cs="Times New Roman"/>
                      <w:color w:val="auto"/>
                      <w:sz w:val="21"/>
                      <w:szCs w:val="21"/>
                      <w:lang w:eastAsia="zh-CN" w:bidi="ar"/>
                    </w:rPr>
                    <w:t>（</w:t>
                  </w:r>
                  <w:r>
                    <w:rPr>
                      <w:rFonts w:hint="eastAsia"/>
                      <w:color w:val="auto"/>
                      <w:sz w:val="21"/>
                      <w:szCs w:val="21"/>
                      <w:lang w:val="en-US" w:eastAsia="zh-CN" w:bidi="ar"/>
                    </w:rPr>
                    <w:t>引风机风量5000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w:t>
                  </w:r>
                  <w:r>
                    <w:rPr>
                      <w:rFonts w:hint="eastAsia" w:cs="Times New Roman"/>
                      <w:color w:val="auto"/>
                      <w:sz w:val="21"/>
                      <w:szCs w:val="21"/>
                      <w:lang w:eastAsia="zh-CN" w:bidi="ar"/>
                    </w:rPr>
                    <w:t>）</w:t>
                  </w:r>
                  <w:r>
                    <w:rPr>
                      <w:rFonts w:hint="eastAsia" w:cs="Times New Roman"/>
                      <w:color w:val="auto"/>
                      <w:sz w:val="21"/>
                      <w:szCs w:val="21"/>
                      <w:lang w:val="en-US" w:eastAsia="zh-CN" w:bidi="ar"/>
                    </w:rPr>
                    <w:t>直接</w:t>
                  </w:r>
                  <w:r>
                    <w:rPr>
                      <w:rFonts w:hint="default" w:ascii="Times New Roman" w:hAnsi="Times New Roman" w:cs="Times New Roman"/>
                      <w:color w:val="auto"/>
                      <w:sz w:val="21"/>
                      <w:szCs w:val="21"/>
                    </w:rPr>
                    <w:t>经1根15m高的</w:t>
                  </w:r>
                  <w:r>
                    <w:rPr>
                      <w:rFonts w:hint="eastAsia" w:ascii="Times New Roman" w:hAnsi="Times New Roman"/>
                      <w:color w:val="auto"/>
                      <w:sz w:val="21"/>
                      <w:szCs w:val="21"/>
                      <w:lang w:val="en-US" w:eastAsia="zh-CN"/>
                    </w:rPr>
                    <w:t>DA003</w:t>
                  </w:r>
                  <w:r>
                    <w:rPr>
                      <w:rFonts w:hint="default" w:ascii="Times New Roman" w:hAnsi="Times New Roman" w:cs="Times New Roman"/>
                      <w:color w:val="auto"/>
                      <w:sz w:val="21"/>
                      <w:szCs w:val="21"/>
                    </w:rPr>
                    <w:t>排气筒排放。</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294868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4</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64556BC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5F8B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restart"/>
                  <w:tcBorders>
                    <w:left w:val="single" w:color="auto" w:sz="4" w:space="0"/>
                    <w:right w:val="single" w:color="auto" w:sz="4" w:space="0"/>
                  </w:tcBorders>
                  <w:noWrap w:val="0"/>
                  <w:vAlign w:val="center"/>
                </w:tcPr>
                <w:p w14:paraId="50F3D62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6</w:t>
                  </w:r>
                </w:p>
              </w:tc>
              <w:tc>
                <w:tcPr>
                  <w:tcW w:w="826" w:type="pct"/>
                  <w:vMerge w:val="restart"/>
                  <w:tcBorders>
                    <w:left w:val="single" w:color="auto" w:sz="4" w:space="0"/>
                    <w:right w:val="single" w:color="auto" w:sz="4" w:space="0"/>
                  </w:tcBorders>
                  <w:noWrap w:val="0"/>
                  <w:vAlign w:val="center"/>
                </w:tcPr>
                <w:p w14:paraId="6E75184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bidi="ar"/>
                    </w:rPr>
                  </w:pPr>
                  <w:r>
                    <w:rPr>
                      <w:rFonts w:hint="eastAsia" w:cs="Times New Roman"/>
                      <w:color w:val="auto"/>
                      <w:sz w:val="21"/>
                      <w:szCs w:val="21"/>
                      <w:lang w:val="en-US" w:eastAsia="zh-CN" w:bidi="ar"/>
                    </w:rPr>
                    <w:t>2#</w:t>
                  </w:r>
                  <w:r>
                    <w:rPr>
                      <w:rFonts w:hint="default" w:ascii="Times New Roman" w:hAnsi="Times New Roman" w:eastAsia="宋体" w:cs="Times New Roman"/>
                      <w:color w:val="auto"/>
                      <w:sz w:val="21"/>
                      <w:szCs w:val="21"/>
                      <w:lang w:bidi="ar"/>
                    </w:rPr>
                    <w:t>沥青混凝土生产线废气</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4F6CDD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eastAsia" w:ascii="Times New Roman" w:hAnsi="Times New Roman" w:cs="Times New Roman"/>
                      <w:color w:val="auto"/>
                      <w:sz w:val="21"/>
                      <w:szCs w:val="21"/>
                      <w:lang w:val="en-US" w:eastAsia="zh-CN" w:bidi="ar"/>
                    </w:rPr>
                  </w:pPr>
                  <w:r>
                    <w:rPr>
                      <w:rFonts w:hint="eastAsia" w:cs="Times New Roman"/>
                      <w:color w:val="auto"/>
                      <w:sz w:val="21"/>
                      <w:szCs w:val="21"/>
                      <w:lang w:val="en-US" w:eastAsia="zh-CN" w:bidi="ar"/>
                    </w:rPr>
                    <w:t>导热油炉废气</w:t>
                  </w:r>
                  <w:r>
                    <w:rPr>
                      <w:rFonts w:hint="default" w:ascii="Times New Roman" w:hAnsi="Times New Roman" w:cs="Times New Roman"/>
                      <w:color w:val="auto"/>
                      <w:sz w:val="21"/>
                      <w:szCs w:val="21"/>
                      <w:lang w:bidi="ar"/>
                    </w:rPr>
                    <w:t>收集后</w:t>
                  </w:r>
                  <w:r>
                    <w:rPr>
                      <w:rFonts w:hint="eastAsia" w:ascii="Times New Roman" w:hAnsi="Times New Roman" w:cs="Times New Roman"/>
                      <w:color w:val="auto"/>
                      <w:sz w:val="21"/>
                      <w:szCs w:val="21"/>
                      <w:lang w:eastAsia="zh-CN" w:bidi="ar"/>
                    </w:rPr>
                    <w:t>（</w:t>
                  </w:r>
                  <w:r>
                    <w:rPr>
                      <w:rFonts w:hint="eastAsia"/>
                      <w:color w:val="auto"/>
                      <w:sz w:val="21"/>
                      <w:szCs w:val="21"/>
                      <w:lang w:val="en-US" w:eastAsia="zh-CN" w:bidi="ar"/>
                    </w:rPr>
                    <w:t>引风机风量10000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w:t>
                  </w:r>
                  <w:r>
                    <w:rPr>
                      <w:rFonts w:hint="eastAsia" w:ascii="Times New Roman" w:hAnsi="Times New Roman" w:cs="Times New Roman"/>
                      <w:color w:val="auto"/>
                      <w:sz w:val="21"/>
                      <w:szCs w:val="21"/>
                      <w:lang w:eastAsia="zh-CN" w:bidi="ar"/>
                    </w:rPr>
                    <w:t>）</w:t>
                  </w:r>
                  <w:r>
                    <w:rPr>
                      <w:rFonts w:hint="eastAsia" w:cs="Times New Roman"/>
                      <w:color w:val="auto"/>
                      <w:sz w:val="21"/>
                      <w:szCs w:val="21"/>
                      <w:lang w:val="en-US" w:eastAsia="zh-CN" w:bidi="ar"/>
                    </w:rPr>
                    <w:t>直接</w:t>
                  </w:r>
                  <w:r>
                    <w:rPr>
                      <w:rFonts w:hint="default" w:ascii="Times New Roman" w:hAnsi="Times New Roman" w:cs="Times New Roman"/>
                      <w:color w:val="auto"/>
                      <w:sz w:val="21"/>
                      <w:szCs w:val="21"/>
                    </w:rPr>
                    <w:t>经1根15m高的</w:t>
                  </w:r>
                  <w:r>
                    <w:rPr>
                      <w:rFonts w:hint="eastAsia" w:ascii="Times New Roman" w:hAnsi="Times New Roman"/>
                      <w:color w:val="auto"/>
                      <w:sz w:val="21"/>
                      <w:szCs w:val="21"/>
                      <w:lang w:val="en-US" w:eastAsia="zh-CN"/>
                    </w:rPr>
                    <w:t>DA004</w:t>
                  </w:r>
                  <w:r>
                    <w:rPr>
                      <w:rFonts w:hint="default" w:ascii="Times New Roman" w:hAnsi="Times New Roman" w:cs="Times New Roman"/>
                      <w:color w:val="auto"/>
                      <w:sz w:val="21"/>
                      <w:szCs w:val="21"/>
                    </w:rPr>
                    <w:t>排气筒排放。</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105234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4</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1FDE965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6A23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continue"/>
                  <w:tcBorders>
                    <w:left w:val="single" w:color="auto" w:sz="4" w:space="0"/>
                    <w:right w:val="single" w:color="auto" w:sz="4" w:space="0"/>
                  </w:tcBorders>
                  <w:noWrap w:val="0"/>
                  <w:vAlign w:val="center"/>
                </w:tcPr>
                <w:p w14:paraId="2403858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826" w:type="pct"/>
                  <w:vMerge w:val="continue"/>
                  <w:tcBorders>
                    <w:left w:val="single" w:color="auto" w:sz="4" w:space="0"/>
                    <w:right w:val="single" w:color="auto" w:sz="4" w:space="0"/>
                  </w:tcBorders>
                  <w:noWrap w:val="0"/>
                  <w:vAlign w:val="center"/>
                </w:tcPr>
                <w:p w14:paraId="6FD3D3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bidi="ar"/>
                    </w:rPr>
                  </w:pPr>
                </w:p>
              </w:tc>
              <w:tc>
                <w:tcPr>
                  <w:tcW w:w="2353" w:type="pct"/>
                  <w:tcBorders>
                    <w:top w:val="single" w:color="auto" w:sz="4" w:space="0"/>
                    <w:left w:val="single" w:color="auto" w:sz="4" w:space="0"/>
                    <w:bottom w:val="single" w:color="auto" w:sz="4" w:space="0"/>
                    <w:right w:val="single" w:color="auto" w:sz="4" w:space="0"/>
                  </w:tcBorders>
                  <w:noWrap w:val="0"/>
                  <w:vAlign w:val="center"/>
                </w:tcPr>
                <w:p w14:paraId="040C03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eastAsia" w:ascii="Times New Roman" w:hAnsi="Times New Roman" w:cs="Times New Roman"/>
                      <w:color w:val="auto"/>
                      <w:sz w:val="21"/>
                      <w:szCs w:val="21"/>
                      <w:lang w:val="en-US" w:eastAsia="zh-CN" w:bidi="ar"/>
                    </w:rPr>
                  </w:pPr>
                  <w:r>
                    <w:rPr>
                      <w:rFonts w:hint="default" w:ascii="Times New Roman" w:hAnsi="Times New Roman" w:cs="Times New Roman"/>
                      <w:color w:val="auto"/>
                      <w:sz w:val="21"/>
                      <w:szCs w:val="21"/>
                      <w:lang w:bidi="ar"/>
                    </w:rPr>
                    <w:t>烘干滚筒</w:t>
                  </w:r>
                  <w:r>
                    <w:rPr>
                      <w:rFonts w:hint="eastAsia" w:cs="Times New Roman"/>
                      <w:color w:val="auto"/>
                      <w:sz w:val="21"/>
                      <w:szCs w:val="21"/>
                      <w:lang w:eastAsia="zh-CN" w:bidi="ar"/>
                    </w:rPr>
                    <w:t>、</w:t>
                  </w:r>
                  <w:r>
                    <w:rPr>
                      <w:rFonts w:hint="eastAsia" w:cs="Times New Roman"/>
                      <w:color w:val="auto"/>
                      <w:sz w:val="21"/>
                      <w:szCs w:val="21"/>
                      <w:lang w:val="en-US" w:eastAsia="zh-CN" w:bidi="ar"/>
                    </w:rPr>
                    <w:t>筛分过程、热骨料仓粉尘、</w:t>
                  </w:r>
                  <w:r>
                    <w:rPr>
                      <w:rFonts w:hint="default" w:ascii="Times New Roman" w:hAnsi="Times New Roman" w:cs="Times New Roman"/>
                      <w:color w:val="auto"/>
                      <w:sz w:val="21"/>
                      <w:szCs w:val="21"/>
                      <w:lang w:bidi="ar"/>
                    </w:rPr>
                    <w:t>燃烧器废气</w:t>
                  </w:r>
                  <w:r>
                    <w:rPr>
                      <w:rFonts w:hint="eastAsia" w:cs="Times New Roman"/>
                      <w:color w:val="auto"/>
                      <w:sz w:val="21"/>
                      <w:szCs w:val="21"/>
                      <w:lang w:val="en-US" w:eastAsia="zh-CN" w:bidi="ar"/>
                    </w:rPr>
                    <w:t>及</w:t>
                  </w:r>
                  <w:r>
                    <w:rPr>
                      <w:rFonts w:ascii="Times New Roman" w:hAnsi="Times New Roman"/>
                      <w:bCs/>
                      <w:color w:val="auto"/>
                      <w:sz w:val="21"/>
                      <w:szCs w:val="21"/>
                    </w:rPr>
                    <w:t>沥青罐</w:t>
                  </w:r>
                  <w:r>
                    <w:rPr>
                      <w:rFonts w:hint="eastAsia"/>
                      <w:bCs/>
                      <w:color w:val="auto"/>
                      <w:sz w:val="21"/>
                      <w:szCs w:val="21"/>
                      <w:lang w:val="en-US" w:eastAsia="zh-CN"/>
                    </w:rPr>
                    <w:t>加热</w:t>
                  </w:r>
                  <w:r>
                    <w:rPr>
                      <w:rFonts w:ascii="Times New Roman" w:hAnsi="Times New Roman"/>
                      <w:bCs/>
                      <w:color w:val="auto"/>
                      <w:sz w:val="21"/>
                      <w:szCs w:val="21"/>
                    </w:rPr>
                    <w:t>、搅拌机、成品仓</w:t>
                  </w:r>
                  <w:r>
                    <w:rPr>
                      <w:rFonts w:hint="eastAsia" w:ascii="Times New Roman" w:hAnsi="Times New Roman"/>
                      <w:bCs/>
                      <w:color w:val="auto"/>
                      <w:sz w:val="21"/>
                      <w:szCs w:val="21"/>
                      <w:lang w:val="en-US" w:eastAsia="zh-CN"/>
                    </w:rPr>
                    <w:t>沥青</w:t>
                  </w:r>
                  <w:r>
                    <w:rPr>
                      <w:rFonts w:hint="default" w:ascii="Times New Roman" w:hAnsi="Times New Roman" w:cs="Times New Roman"/>
                      <w:color w:val="auto"/>
                      <w:sz w:val="21"/>
                      <w:szCs w:val="21"/>
                      <w:lang w:bidi="ar"/>
                    </w:rPr>
                    <w:t>烟气</w:t>
                  </w:r>
                  <w:r>
                    <w:rPr>
                      <w:rFonts w:hint="eastAsia"/>
                      <w:color w:val="auto"/>
                      <w:sz w:val="21"/>
                      <w:szCs w:val="21"/>
                      <w:lang w:val="en-US" w:eastAsia="zh-CN" w:bidi="ar"/>
                    </w:rPr>
                    <w:t>统一</w:t>
                  </w:r>
                  <w:r>
                    <w:rPr>
                      <w:rFonts w:ascii="Times New Roman" w:hAnsi="Times New Roman"/>
                      <w:color w:val="auto"/>
                      <w:sz w:val="21"/>
                      <w:szCs w:val="21"/>
                      <w:lang w:bidi="ar"/>
                    </w:rPr>
                    <w:t>收集后</w:t>
                  </w:r>
                  <w:r>
                    <w:rPr>
                      <w:rFonts w:hint="eastAsia"/>
                      <w:color w:val="auto"/>
                      <w:sz w:val="21"/>
                      <w:szCs w:val="21"/>
                      <w:lang w:val="en-US" w:eastAsia="zh-CN" w:bidi="ar"/>
                    </w:rPr>
                    <w:t>（其中</w:t>
                  </w:r>
                  <w:r>
                    <w:rPr>
                      <w:rFonts w:hint="eastAsia"/>
                      <w:bCs/>
                      <w:color w:val="auto"/>
                      <w:sz w:val="21"/>
                      <w:szCs w:val="21"/>
                    </w:rPr>
                    <w:t>沥青烟废气</w:t>
                  </w:r>
                  <w:r>
                    <w:rPr>
                      <w:rFonts w:hint="eastAsia"/>
                      <w:bCs/>
                      <w:color w:val="auto"/>
                      <w:sz w:val="21"/>
                      <w:szCs w:val="21"/>
                      <w:lang w:val="en-US" w:eastAsia="zh-CN"/>
                    </w:rPr>
                    <w:t>收集效率99%</w:t>
                  </w:r>
                  <w:r>
                    <w:rPr>
                      <w:rFonts w:hint="eastAsia"/>
                      <w:bCs/>
                      <w:color w:val="auto"/>
                      <w:sz w:val="21"/>
                      <w:szCs w:val="21"/>
                      <w:lang w:eastAsia="zh-CN"/>
                    </w:rPr>
                    <w:t>、</w:t>
                  </w:r>
                  <w:r>
                    <w:rPr>
                      <w:rFonts w:hint="eastAsia"/>
                      <w:bCs/>
                      <w:color w:val="auto"/>
                      <w:sz w:val="21"/>
                      <w:szCs w:val="21"/>
                      <w:lang w:val="en-US" w:eastAsia="zh-CN"/>
                    </w:rPr>
                    <w:t>其他废气收集效率100%，总</w:t>
                  </w:r>
                  <w:r>
                    <w:rPr>
                      <w:rFonts w:hint="eastAsia"/>
                      <w:color w:val="auto"/>
                      <w:sz w:val="21"/>
                      <w:szCs w:val="21"/>
                      <w:lang w:val="en-US" w:eastAsia="zh-CN" w:bidi="ar"/>
                    </w:rPr>
                    <w:t>引风机风量50000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w:t>
                  </w:r>
                  <w:r>
                    <w:rPr>
                      <w:rFonts w:ascii="Times New Roman" w:hAnsi="Times New Roman"/>
                      <w:color w:val="auto"/>
                      <w:sz w:val="21"/>
                      <w:szCs w:val="21"/>
                      <w:lang w:bidi="ar"/>
                    </w:rPr>
                    <w:t>经</w:t>
                  </w:r>
                  <w:r>
                    <w:rPr>
                      <w:rFonts w:hint="eastAsia" w:ascii="Times New Roman" w:hAnsi="Times New Roman"/>
                      <w:color w:val="auto"/>
                      <w:sz w:val="21"/>
                      <w:szCs w:val="21"/>
                      <w:lang w:bidi="ar"/>
                    </w:rPr>
                    <w:t>一套</w:t>
                  </w:r>
                  <w:r>
                    <w:rPr>
                      <w:rFonts w:ascii="Times New Roman" w:hAnsi="Times New Roman"/>
                      <w:color w:val="auto"/>
                      <w:sz w:val="21"/>
                      <w:szCs w:val="21"/>
                    </w:rPr>
                    <w:t>布袋除</w:t>
                  </w:r>
                  <w:r>
                    <w:rPr>
                      <w:rFonts w:ascii="Times New Roman" w:hAnsi="Times New Roman" w:eastAsia="宋体" w:cs="Times New Roman"/>
                      <w:color w:val="auto"/>
                      <w:sz w:val="21"/>
                      <w:szCs w:val="21"/>
                      <w:lang w:bidi="ar"/>
                    </w:rPr>
                    <w:t>尘</w:t>
                  </w:r>
                  <w:r>
                    <w:rPr>
                      <w:rFonts w:hint="eastAsia" w:ascii="Times New Roman" w:hAnsi="Times New Roman" w:eastAsia="宋体" w:cs="Times New Roman"/>
                      <w:color w:val="auto"/>
                      <w:sz w:val="21"/>
                      <w:szCs w:val="21"/>
                      <w:lang w:val="en-US" w:eastAsia="zh-CN" w:bidi="ar"/>
                    </w:rPr>
                    <w:t>器</w:t>
                  </w:r>
                  <w:r>
                    <w:rPr>
                      <w:rFonts w:hint="eastAsia" w:cs="Times New Roman"/>
                      <w:color w:val="auto"/>
                      <w:sz w:val="21"/>
                      <w:szCs w:val="21"/>
                      <w:lang w:val="en-US" w:eastAsia="zh-CN" w:bidi="ar"/>
                    </w:rPr>
                    <w:t>+二级活性炭</w:t>
                  </w:r>
                  <w:r>
                    <w:rPr>
                      <w:rFonts w:ascii="Times New Roman" w:hAnsi="Times New Roman" w:eastAsia="宋体" w:cs="Times New Roman"/>
                      <w:color w:val="auto"/>
                      <w:sz w:val="21"/>
                      <w:szCs w:val="21"/>
                      <w:lang w:bidi="ar"/>
                    </w:rPr>
                    <w:t>处</w:t>
                  </w:r>
                  <w:r>
                    <w:rPr>
                      <w:rFonts w:ascii="Times New Roman" w:hAnsi="Times New Roman"/>
                      <w:color w:val="auto"/>
                      <w:sz w:val="21"/>
                      <w:szCs w:val="21"/>
                    </w:rPr>
                    <w:t>理后经1根</w:t>
                  </w:r>
                  <w:r>
                    <w:rPr>
                      <w:rFonts w:hint="eastAsia"/>
                      <w:color w:val="auto"/>
                      <w:sz w:val="21"/>
                      <w:szCs w:val="21"/>
                      <w:lang w:val="en-US" w:eastAsia="zh-CN"/>
                    </w:rPr>
                    <w:t>20</w:t>
                  </w:r>
                  <w:r>
                    <w:rPr>
                      <w:rFonts w:ascii="Times New Roman" w:hAnsi="Times New Roman"/>
                      <w:color w:val="auto"/>
                      <w:sz w:val="21"/>
                      <w:szCs w:val="21"/>
                    </w:rPr>
                    <w:t>m高的</w:t>
                  </w:r>
                  <w:r>
                    <w:rPr>
                      <w:rFonts w:hint="eastAsia" w:ascii="Times New Roman" w:hAnsi="Times New Roman"/>
                      <w:color w:val="auto"/>
                      <w:sz w:val="21"/>
                      <w:szCs w:val="21"/>
                      <w:lang w:val="en-US" w:eastAsia="zh-CN"/>
                    </w:rPr>
                    <w:t>DA005</w:t>
                  </w:r>
                  <w:r>
                    <w:rPr>
                      <w:rFonts w:ascii="Times New Roman" w:hAnsi="Times New Roman"/>
                      <w:color w:val="auto"/>
                      <w:sz w:val="21"/>
                      <w:szCs w:val="21"/>
                    </w:rPr>
                    <w:t>排气筒排放。</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0EDAC3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25</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70FD8AD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204C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continue"/>
                  <w:tcBorders>
                    <w:left w:val="single" w:color="auto" w:sz="4" w:space="0"/>
                    <w:right w:val="single" w:color="auto" w:sz="4" w:space="0"/>
                  </w:tcBorders>
                  <w:noWrap w:val="0"/>
                  <w:vAlign w:val="center"/>
                </w:tcPr>
                <w:p w14:paraId="2173D9E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826" w:type="pct"/>
                  <w:vMerge w:val="continue"/>
                  <w:tcBorders>
                    <w:left w:val="single" w:color="auto" w:sz="4" w:space="0"/>
                    <w:right w:val="single" w:color="auto" w:sz="4" w:space="0"/>
                  </w:tcBorders>
                  <w:noWrap w:val="0"/>
                  <w:vAlign w:val="center"/>
                </w:tcPr>
                <w:p w14:paraId="5FCF2C5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bidi="ar"/>
                    </w:rPr>
                  </w:pPr>
                </w:p>
              </w:tc>
              <w:tc>
                <w:tcPr>
                  <w:tcW w:w="2353" w:type="pct"/>
                  <w:tcBorders>
                    <w:top w:val="single" w:color="auto" w:sz="4" w:space="0"/>
                    <w:left w:val="single" w:color="auto" w:sz="4" w:space="0"/>
                    <w:bottom w:val="single" w:color="auto" w:sz="4" w:space="0"/>
                    <w:right w:val="single" w:color="auto" w:sz="4" w:space="0"/>
                  </w:tcBorders>
                  <w:noWrap w:val="0"/>
                  <w:vAlign w:val="center"/>
                </w:tcPr>
                <w:p w14:paraId="0F3424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eastAsia"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矿粉筒仓废气</w:t>
                  </w:r>
                  <w:r>
                    <w:rPr>
                      <w:rFonts w:hint="eastAsia" w:ascii="Times New Roman" w:hAnsi="Times New Roman" w:cs="Times New Roman"/>
                      <w:bCs/>
                      <w:color w:val="auto"/>
                      <w:sz w:val="21"/>
                      <w:szCs w:val="21"/>
                      <w:lang w:val="en-US" w:eastAsia="zh-CN" w:bidi="ar"/>
                    </w:rPr>
                    <w:t>仓顶配备1套脉冲袋式除尘器</w:t>
                  </w:r>
                  <w:r>
                    <w:rPr>
                      <w:rFonts w:hint="eastAsia"/>
                      <w:color w:val="auto"/>
                      <w:sz w:val="21"/>
                      <w:szCs w:val="21"/>
                      <w:lang w:val="en-US" w:eastAsia="zh-CN" w:bidi="ar"/>
                    </w:rPr>
                    <w:t>（引风机风量3000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h</w:t>
                  </w:r>
                  <w:r>
                    <w:rPr>
                      <w:rFonts w:hint="eastAsia"/>
                      <w:color w:val="auto"/>
                      <w:sz w:val="21"/>
                      <w:szCs w:val="21"/>
                      <w:lang w:val="en-US" w:eastAsia="zh-CN" w:bidi="ar"/>
                    </w:rPr>
                    <w:t>）</w:t>
                  </w:r>
                  <w:r>
                    <w:rPr>
                      <w:rFonts w:hint="eastAsia" w:ascii="Times New Roman" w:hAnsi="Times New Roman" w:cs="Times New Roman"/>
                      <w:bCs/>
                      <w:color w:val="auto"/>
                      <w:sz w:val="21"/>
                      <w:szCs w:val="21"/>
                      <w:lang w:val="en-US" w:eastAsia="zh-CN" w:bidi="ar"/>
                    </w:rPr>
                    <w:t>处理后于</w:t>
                  </w:r>
                  <w:r>
                    <w:rPr>
                      <w:rFonts w:hint="default" w:ascii="Times New Roman" w:hAnsi="Times New Roman" w:cs="Times New Roman"/>
                      <w:color w:val="auto"/>
                      <w:sz w:val="21"/>
                      <w:szCs w:val="21"/>
                    </w:rPr>
                    <w:t>经</w:t>
                  </w:r>
                  <w:r>
                    <w:rPr>
                      <w:rFonts w:hint="eastAsia" w:ascii="Times New Roman" w:hAnsi="Times New Roman" w:cs="Times New Roman"/>
                      <w:color w:val="auto"/>
                      <w:sz w:val="21"/>
                      <w:szCs w:val="21"/>
                      <w:lang w:val="en-US" w:eastAsia="zh-CN"/>
                    </w:rPr>
                    <w:t>离地</w:t>
                  </w:r>
                  <w:r>
                    <w:rPr>
                      <w:rFonts w:hint="eastAsia" w:cs="Times New Roman"/>
                      <w:color w:val="auto"/>
                      <w:sz w:val="21"/>
                      <w:szCs w:val="21"/>
                      <w:lang w:val="en-US" w:eastAsia="zh-CN"/>
                    </w:rPr>
                    <w:t>30</w:t>
                  </w:r>
                  <w:r>
                    <w:rPr>
                      <w:rFonts w:hint="default" w:ascii="Times New Roman" w:hAnsi="Times New Roman" w:cs="Times New Roman"/>
                      <w:color w:val="auto"/>
                      <w:sz w:val="21"/>
                      <w:szCs w:val="21"/>
                    </w:rPr>
                    <w:t>m高的</w:t>
                  </w:r>
                  <w:r>
                    <w:rPr>
                      <w:rFonts w:hint="eastAsia" w:ascii="Times New Roman" w:hAnsi="Times New Roman"/>
                      <w:color w:val="auto"/>
                      <w:sz w:val="21"/>
                      <w:szCs w:val="21"/>
                      <w:lang w:val="en-US" w:eastAsia="zh-CN"/>
                    </w:rPr>
                    <w:t>DA00</w:t>
                  </w:r>
                  <w:r>
                    <w:rPr>
                      <w:rFonts w:hint="eastAsia"/>
                      <w:color w:val="auto"/>
                      <w:sz w:val="21"/>
                      <w:szCs w:val="21"/>
                      <w:lang w:val="en-US" w:eastAsia="zh-CN"/>
                    </w:rPr>
                    <w:t>6</w:t>
                  </w:r>
                  <w:r>
                    <w:rPr>
                      <w:rFonts w:hint="eastAsia" w:ascii="Times New Roman" w:hAnsi="Times New Roman"/>
                      <w:color w:val="auto"/>
                      <w:sz w:val="21"/>
                      <w:szCs w:val="21"/>
                      <w:lang w:val="en-US" w:eastAsia="zh-CN"/>
                    </w:rPr>
                    <w:t>筒仓</w:t>
                  </w:r>
                  <w:r>
                    <w:rPr>
                      <w:rFonts w:hint="default" w:ascii="Times New Roman" w:hAnsi="Times New Roman" w:cs="Times New Roman"/>
                      <w:color w:val="auto"/>
                      <w:sz w:val="21"/>
                      <w:szCs w:val="21"/>
                    </w:rPr>
                    <w:t>排气筒排放。</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7D67BB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4</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6A96535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4949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right w:val="single" w:color="auto" w:sz="4" w:space="0"/>
                  </w:tcBorders>
                  <w:noWrap w:val="0"/>
                  <w:vAlign w:val="center"/>
                </w:tcPr>
                <w:p w14:paraId="6FC2CA3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val="en-US" w:eastAsia="zh-CN" w:bidi="ar"/>
                    </w:rPr>
                    <w:t>7</w:t>
                  </w:r>
                </w:p>
              </w:tc>
              <w:tc>
                <w:tcPr>
                  <w:tcW w:w="826" w:type="pct"/>
                  <w:tcBorders>
                    <w:top w:val="single" w:color="auto" w:sz="4" w:space="0"/>
                    <w:left w:val="single" w:color="auto" w:sz="4" w:space="0"/>
                    <w:right w:val="single" w:color="auto" w:sz="4" w:space="0"/>
                  </w:tcBorders>
                  <w:noWrap w:val="0"/>
                  <w:vAlign w:val="center"/>
                </w:tcPr>
                <w:p w14:paraId="584B874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eastAsia" w:cs="Times New Roman"/>
                      <w:color w:val="auto"/>
                      <w:sz w:val="21"/>
                      <w:szCs w:val="21"/>
                      <w:lang w:val="en-US" w:eastAsia="zh-CN"/>
                    </w:rPr>
                    <w:t>场</w:t>
                  </w:r>
                  <w:r>
                    <w:rPr>
                      <w:rFonts w:hint="default" w:ascii="Times New Roman" w:hAnsi="Times New Roman" w:eastAsia="宋体" w:cs="Times New Roman"/>
                      <w:color w:val="auto"/>
                      <w:sz w:val="21"/>
                      <w:szCs w:val="21"/>
                    </w:rPr>
                    <w:t>区扬尘</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3276028C">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堆料棚为</w:t>
                  </w:r>
                  <w:r>
                    <w:rPr>
                      <w:rFonts w:hint="default" w:ascii="Times New Roman" w:hAnsi="Times New Roman" w:eastAsia="宋体" w:cs="Times New Roman"/>
                      <w:color w:val="auto"/>
                      <w:sz w:val="21"/>
                      <w:szCs w:val="21"/>
                      <w:lang w:bidi="ar"/>
                    </w:rPr>
                    <w:t>三面围挡及彩钢瓦顶棚，仅留有运输车辆出入口，</w:t>
                  </w:r>
                  <w:r>
                    <w:rPr>
                      <w:rFonts w:hint="eastAsia"/>
                      <w:bCs/>
                      <w:color w:val="auto"/>
                      <w:sz w:val="21"/>
                      <w:szCs w:val="21"/>
                    </w:rPr>
                    <w:t>敞开一侧设置喷雾设施</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进出车辆经过冲洗平台</w:t>
                  </w:r>
                  <w:r>
                    <w:rPr>
                      <w:rFonts w:hint="eastAsia"/>
                      <w:bCs/>
                      <w:color w:val="auto"/>
                      <w:sz w:val="21"/>
                      <w:szCs w:val="21"/>
                      <w:lang w:val="en-US" w:eastAsia="zh-CN"/>
                    </w:rPr>
                    <w:t>清洗</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rPr>
                    <w:t>采用密闭式皮带输送系统将骨料输送至各生产线</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lang w:bidi="ar"/>
                    </w:rPr>
                    <w:t>设置2个雾炮机进行洒水降尘</w:t>
                  </w:r>
                  <w:r>
                    <w:rPr>
                      <w:rFonts w:hint="eastAsia" w:cs="Times New Roman"/>
                      <w:color w:val="auto"/>
                      <w:sz w:val="21"/>
                      <w:szCs w:val="21"/>
                      <w:lang w:eastAsia="zh-CN" w:bidi="ar"/>
                    </w:rPr>
                    <w:t>。</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2F24FC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20C2F34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1AEA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left w:val="single" w:color="auto" w:sz="4" w:space="0"/>
                    <w:right w:val="single" w:color="auto" w:sz="4" w:space="0"/>
                  </w:tcBorders>
                  <w:noWrap w:val="0"/>
                  <w:vAlign w:val="center"/>
                </w:tcPr>
                <w:p w14:paraId="4954172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val="en-US" w:eastAsia="zh-CN" w:bidi="ar"/>
                    </w:rPr>
                    <w:t>8</w:t>
                  </w:r>
                </w:p>
              </w:tc>
              <w:tc>
                <w:tcPr>
                  <w:tcW w:w="826" w:type="pct"/>
                  <w:tcBorders>
                    <w:left w:val="single" w:color="auto" w:sz="4" w:space="0"/>
                    <w:right w:val="single" w:color="auto" w:sz="4" w:space="0"/>
                  </w:tcBorders>
                  <w:noWrap w:val="0"/>
                  <w:vAlign w:val="center"/>
                </w:tcPr>
                <w:p w14:paraId="7B9A4C0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食堂油烟</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1A5A9258">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val="en-US" w:eastAsia="zh-CN" w:bidi="ar"/>
                    </w:rPr>
                    <w:t>设置1</w:t>
                  </w:r>
                  <w:r>
                    <w:rPr>
                      <w:rFonts w:hint="default" w:ascii="Times New Roman" w:hAnsi="Times New Roman" w:eastAsia="宋体" w:cs="Times New Roman"/>
                      <w:color w:val="auto"/>
                      <w:sz w:val="21"/>
                      <w:szCs w:val="21"/>
                      <w:lang w:bidi="ar"/>
                    </w:rPr>
                    <w:t>台油烟</w:t>
                  </w:r>
                  <w:r>
                    <w:rPr>
                      <w:rFonts w:hint="default" w:ascii="Times New Roman" w:hAnsi="Times New Roman" w:eastAsia="宋体" w:cs="Times New Roman"/>
                      <w:color w:val="auto"/>
                      <w:sz w:val="21"/>
                      <w:szCs w:val="21"/>
                      <w:lang w:eastAsia="zh-CN" w:bidi="ar"/>
                    </w:rPr>
                    <w:t>净化器</w:t>
                  </w:r>
                  <w:r>
                    <w:rPr>
                      <w:rFonts w:hint="eastAsia" w:ascii="Times New Roman" w:hAnsi="Times New Roman" w:eastAsia="宋体" w:cs="Times New Roman"/>
                      <w:color w:val="auto"/>
                      <w:sz w:val="21"/>
                      <w:szCs w:val="21"/>
                      <w:lang w:eastAsia="zh-CN" w:bidi="ar"/>
                    </w:rPr>
                    <w:t>（</w:t>
                  </w:r>
                  <w:r>
                    <w:rPr>
                      <w:rFonts w:hint="default" w:ascii="Times New Roman" w:hAnsi="Times New Roman" w:cs="Times New Roman"/>
                      <w:color w:val="auto"/>
                      <w:sz w:val="21"/>
                      <w:szCs w:val="21"/>
                    </w:rPr>
                    <w:t>风量3000m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/h，净化效率60%</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bidi="ar"/>
                    </w:rPr>
                    <w:t>，</w:t>
                  </w:r>
                  <w:r>
                    <w:rPr>
                      <w:rFonts w:hint="eastAsia"/>
                      <w:bCs/>
                      <w:color w:val="auto"/>
                      <w:sz w:val="21"/>
                      <w:szCs w:val="21"/>
                      <w:lang w:val="en-US" w:eastAsia="zh-CN"/>
                    </w:rPr>
                    <w:t>通过高出</w:t>
                  </w:r>
                  <w:r>
                    <w:rPr>
                      <w:rFonts w:ascii="Times New Roman" w:hAnsi="Times New Roman"/>
                      <w:bCs/>
                      <w:color w:val="auto"/>
                      <w:sz w:val="21"/>
                      <w:szCs w:val="21"/>
                    </w:rPr>
                    <w:t>食堂楼顶</w:t>
                  </w:r>
                  <w:r>
                    <w:rPr>
                      <w:rFonts w:hint="eastAsia"/>
                      <w:bCs/>
                      <w:color w:val="auto"/>
                      <w:sz w:val="21"/>
                      <w:szCs w:val="21"/>
                      <w:lang w:val="en-US" w:eastAsia="zh-CN"/>
                    </w:rPr>
                    <w:t>1.5m</w:t>
                  </w:r>
                  <w:r>
                    <w:rPr>
                      <w:rFonts w:ascii="Times New Roman" w:hAnsi="Times New Roman"/>
                      <w:bCs/>
                      <w:color w:val="auto"/>
                      <w:sz w:val="21"/>
                      <w:szCs w:val="21"/>
                    </w:rPr>
                    <w:t>烟囱外排。</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65D65A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eastAsia" w:ascii="Times New Roman" w:hAnsi="Times New Roman" w:eastAsia="宋体" w:cs="Times New Roman"/>
                      <w:color w:val="auto"/>
                      <w:kern w:val="0"/>
                      <w:sz w:val="21"/>
                      <w:szCs w:val="21"/>
                      <w:lang w:val="en-US" w:eastAsia="zh-CN" w:bidi="ar"/>
                    </w:rPr>
                    <w:t>3</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328D4E0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5B03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restart"/>
                  <w:tcBorders>
                    <w:top w:val="single" w:color="auto" w:sz="4" w:space="0"/>
                    <w:left w:val="single" w:color="auto" w:sz="4" w:space="0"/>
                    <w:right w:val="single" w:color="auto" w:sz="4" w:space="0"/>
                  </w:tcBorders>
                  <w:noWrap w:val="0"/>
                  <w:vAlign w:val="center"/>
                </w:tcPr>
                <w:p w14:paraId="46ACEC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z w:val="21"/>
                      <w:szCs w:val="21"/>
                      <w:lang w:val="en-US" w:eastAsia="zh-CN" w:bidi="ar"/>
                    </w:rPr>
                    <w:t>9</w:t>
                  </w:r>
                </w:p>
              </w:tc>
              <w:tc>
                <w:tcPr>
                  <w:tcW w:w="826" w:type="pct"/>
                  <w:vMerge w:val="restart"/>
                  <w:tcBorders>
                    <w:top w:val="single" w:color="auto" w:sz="4" w:space="0"/>
                    <w:left w:val="single" w:color="auto" w:sz="4" w:space="0"/>
                    <w:right w:val="single" w:color="auto" w:sz="4" w:space="0"/>
                  </w:tcBorders>
                  <w:noWrap w:val="0"/>
                  <w:vAlign w:val="center"/>
                </w:tcPr>
                <w:p w14:paraId="4C14CF30">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废水处理设施</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09372708">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bidi="ar"/>
                    </w:rPr>
                    <w:t>设置</w:t>
                  </w:r>
                  <w:r>
                    <w:rPr>
                      <w:rFonts w:hint="default" w:ascii="Times New Roman" w:hAnsi="Times New Roman" w:eastAsia="宋体" w:cs="Times New Roman"/>
                      <w:color w:val="auto"/>
                      <w:sz w:val="21"/>
                      <w:szCs w:val="21"/>
                    </w:rPr>
                    <w:t>1个0.5m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lang w:eastAsia="zh-CN"/>
                    </w:rPr>
                    <w:t>隔油池</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38574E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bidi="ar"/>
                    </w:rPr>
                  </w:pPr>
                  <w:r>
                    <w:rPr>
                      <w:rFonts w:hint="default" w:ascii="Times New Roman" w:hAnsi="Times New Roman" w:eastAsia="宋体" w:cs="Times New Roman"/>
                      <w:color w:val="auto"/>
                      <w:kern w:val="0"/>
                      <w:sz w:val="21"/>
                      <w:szCs w:val="21"/>
                      <w:lang w:bidi="ar"/>
                    </w:rPr>
                    <w:t>0.</w:t>
                  </w:r>
                  <w:r>
                    <w:rPr>
                      <w:rFonts w:hint="eastAsia" w:cs="Times New Roman"/>
                      <w:color w:val="auto"/>
                      <w:kern w:val="0"/>
                      <w:sz w:val="21"/>
                      <w:szCs w:val="21"/>
                      <w:lang w:val="en-US" w:eastAsia="zh-CN" w:bidi="ar"/>
                    </w:rPr>
                    <w:t>2</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1AEB22D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1E38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continue"/>
                  <w:tcBorders>
                    <w:left w:val="single" w:color="auto" w:sz="4" w:space="0"/>
                    <w:right w:val="single" w:color="auto" w:sz="4" w:space="0"/>
                  </w:tcBorders>
                  <w:noWrap w:val="0"/>
                  <w:vAlign w:val="center"/>
                </w:tcPr>
                <w:p w14:paraId="3AD697B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826" w:type="pct"/>
                  <w:vMerge w:val="continue"/>
                  <w:tcBorders>
                    <w:left w:val="single" w:color="auto" w:sz="4" w:space="0"/>
                    <w:right w:val="single" w:color="auto" w:sz="4" w:space="0"/>
                  </w:tcBorders>
                  <w:noWrap w:val="0"/>
                  <w:vAlign w:val="center"/>
                </w:tcPr>
                <w:p w14:paraId="5BFEE961">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eastAsia="宋体" w:cs="Times New Roman"/>
                      <w:color w:val="auto"/>
                      <w:sz w:val="21"/>
                      <w:szCs w:val="21"/>
                    </w:rPr>
                  </w:pPr>
                </w:p>
              </w:tc>
              <w:tc>
                <w:tcPr>
                  <w:tcW w:w="2353" w:type="pct"/>
                  <w:tcBorders>
                    <w:top w:val="single" w:color="auto" w:sz="4" w:space="0"/>
                    <w:left w:val="single" w:color="auto" w:sz="4" w:space="0"/>
                    <w:bottom w:val="single" w:color="auto" w:sz="4" w:space="0"/>
                    <w:right w:val="single" w:color="auto" w:sz="4" w:space="0"/>
                  </w:tcBorders>
                  <w:noWrap w:val="0"/>
                  <w:vAlign w:val="center"/>
                </w:tcPr>
                <w:p w14:paraId="3733A142">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设置</w:t>
                  </w:r>
                  <w:r>
                    <w:rPr>
                      <w:rFonts w:hint="default" w:ascii="Times New Roman" w:hAnsi="Times New Roman" w:eastAsia="宋体" w:cs="Times New Roman"/>
                      <w:color w:val="auto"/>
                      <w:sz w:val="21"/>
                      <w:szCs w:val="21"/>
                    </w:rPr>
                    <w:t>1座</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化粪池</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7F416C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0"/>
                      <w:sz w:val="21"/>
                      <w:szCs w:val="21"/>
                      <w:lang w:eastAsia="zh-CN" w:bidi="ar"/>
                    </w:rPr>
                  </w:pPr>
                  <w:r>
                    <w:rPr>
                      <w:rFonts w:hint="eastAsia" w:cs="Times New Roman"/>
                      <w:color w:val="auto"/>
                      <w:kern w:val="0"/>
                      <w:sz w:val="21"/>
                      <w:szCs w:val="21"/>
                      <w:lang w:val="en-US" w:eastAsia="zh-CN" w:bidi="ar"/>
                    </w:rPr>
                    <w:t>4</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1F40ABA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设计提出</w:t>
                  </w:r>
                </w:p>
              </w:tc>
            </w:tr>
            <w:tr w14:paraId="3518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continue"/>
                  <w:tcBorders>
                    <w:left w:val="single" w:color="auto" w:sz="4" w:space="0"/>
                    <w:right w:val="single" w:color="auto" w:sz="4" w:space="0"/>
                  </w:tcBorders>
                  <w:noWrap w:val="0"/>
                  <w:vAlign w:val="center"/>
                </w:tcPr>
                <w:p w14:paraId="1F2007F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826" w:type="pct"/>
                  <w:vMerge w:val="continue"/>
                  <w:tcBorders>
                    <w:left w:val="single" w:color="auto" w:sz="4" w:space="0"/>
                    <w:right w:val="single" w:color="auto" w:sz="4" w:space="0"/>
                  </w:tcBorders>
                  <w:noWrap w:val="0"/>
                  <w:vAlign w:val="center"/>
                </w:tcPr>
                <w:p w14:paraId="2DB9530F">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eastAsia="宋体" w:cs="Times New Roman"/>
                      <w:color w:val="auto"/>
                      <w:sz w:val="21"/>
                      <w:szCs w:val="21"/>
                    </w:rPr>
                  </w:pPr>
                </w:p>
              </w:tc>
              <w:tc>
                <w:tcPr>
                  <w:tcW w:w="2353" w:type="pct"/>
                  <w:tcBorders>
                    <w:top w:val="single" w:color="auto" w:sz="4" w:space="0"/>
                    <w:left w:val="single" w:color="auto" w:sz="4" w:space="0"/>
                    <w:bottom w:val="single" w:color="auto" w:sz="4" w:space="0"/>
                    <w:right w:val="single" w:color="auto" w:sz="4" w:space="0"/>
                  </w:tcBorders>
                  <w:noWrap w:val="0"/>
                  <w:vAlign w:val="center"/>
                </w:tcPr>
                <w:p w14:paraId="51D87864">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设置1座容积为</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lang w:bidi="ar"/>
                    </w:rPr>
                    <w:t>m</w:t>
                  </w:r>
                  <w:r>
                    <w:rPr>
                      <w:rFonts w:hint="default" w:ascii="Times New Roman" w:hAnsi="Times New Roman" w:eastAsia="宋体" w:cs="Times New Roman"/>
                      <w:color w:val="auto"/>
                      <w:sz w:val="21"/>
                      <w:szCs w:val="21"/>
                      <w:vertAlign w:val="superscript"/>
                      <w:lang w:bidi="ar"/>
                    </w:rPr>
                    <w:t>3</w:t>
                  </w:r>
                  <w:r>
                    <w:rPr>
                      <w:rFonts w:hint="default" w:ascii="Times New Roman" w:hAnsi="Times New Roman" w:eastAsia="宋体" w:cs="Times New Roman"/>
                      <w:color w:val="auto"/>
                      <w:sz w:val="21"/>
                      <w:szCs w:val="21"/>
                    </w:rPr>
                    <w:t>三级隔油沉淀池</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5AB70B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6</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0E54C03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0776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Merge w:val="continue"/>
                  <w:tcBorders>
                    <w:left w:val="single" w:color="auto" w:sz="4" w:space="0"/>
                    <w:right w:val="single" w:color="auto" w:sz="4" w:space="0"/>
                  </w:tcBorders>
                  <w:noWrap w:val="0"/>
                  <w:vAlign w:val="center"/>
                </w:tcPr>
                <w:p w14:paraId="66438AF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826" w:type="pct"/>
                  <w:vMerge w:val="continue"/>
                  <w:tcBorders>
                    <w:left w:val="single" w:color="auto" w:sz="4" w:space="0"/>
                    <w:right w:val="single" w:color="auto" w:sz="4" w:space="0"/>
                  </w:tcBorders>
                  <w:noWrap w:val="0"/>
                  <w:vAlign w:val="center"/>
                </w:tcPr>
                <w:p w14:paraId="0B4C5693">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eastAsia="宋体" w:cs="Times New Roman"/>
                      <w:color w:val="auto"/>
                      <w:sz w:val="21"/>
                      <w:szCs w:val="21"/>
                    </w:rPr>
                  </w:pPr>
                </w:p>
              </w:tc>
              <w:tc>
                <w:tcPr>
                  <w:tcW w:w="2353" w:type="pct"/>
                  <w:tcBorders>
                    <w:top w:val="single" w:color="auto" w:sz="4" w:space="0"/>
                    <w:left w:val="single" w:color="auto" w:sz="4" w:space="0"/>
                    <w:bottom w:val="single" w:color="auto" w:sz="4" w:space="0"/>
                    <w:right w:val="single" w:color="auto" w:sz="4" w:space="0"/>
                  </w:tcBorders>
                  <w:noWrap w:val="0"/>
                  <w:vAlign w:val="center"/>
                </w:tcPr>
                <w:p w14:paraId="46A42585">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设置1座</w:t>
                  </w:r>
                  <w:r>
                    <w:rPr>
                      <w:rFonts w:hint="default" w:ascii="Times New Roman" w:hAnsi="Times New Roman" w:cs="Times New Roman"/>
                      <w:color w:val="auto"/>
                      <w:sz w:val="21"/>
                      <w:szCs w:val="21"/>
                    </w:rPr>
                    <w:t>处理规模为</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/d</w:t>
                  </w:r>
                  <w:r>
                    <w:rPr>
                      <w:rFonts w:hint="default" w:ascii="Times New Roman" w:hAnsi="Times New Roman" w:cs="Times New Roman"/>
                      <w:color w:val="auto"/>
                      <w:sz w:val="21"/>
                      <w:szCs w:val="21"/>
                    </w:rPr>
                    <w:t>污水处理站</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411767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6</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6F62C4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4F4F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right w:val="single" w:color="auto" w:sz="4" w:space="0"/>
                  </w:tcBorders>
                  <w:noWrap w:val="0"/>
                  <w:vAlign w:val="center"/>
                </w:tcPr>
                <w:p w14:paraId="69AC8A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10</w:t>
                  </w:r>
                </w:p>
              </w:tc>
              <w:tc>
                <w:tcPr>
                  <w:tcW w:w="826" w:type="pct"/>
                  <w:tcBorders>
                    <w:top w:val="single" w:color="auto" w:sz="4" w:space="0"/>
                    <w:left w:val="single" w:color="auto" w:sz="4" w:space="0"/>
                    <w:right w:val="single" w:color="auto" w:sz="4" w:space="0"/>
                  </w:tcBorders>
                  <w:noWrap w:val="0"/>
                  <w:vAlign w:val="center"/>
                </w:tcPr>
                <w:p w14:paraId="249D771E">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噪声防治措施</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5EE94CA2">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厂房隔声，设备安置于室内、安装减震垫片，风机安装消声器</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1CB3CDA8">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03A9BB5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主体工程投资</w:t>
                  </w:r>
                </w:p>
              </w:tc>
            </w:tr>
            <w:tr w14:paraId="222A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right w:val="single" w:color="auto" w:sz="4" w:space="0"/>
                  </w:tcBorders>
                  <w:noWrap w:val="0"/>
                  <w:vAlign w:val="center"/>
                </w:tcPr>
                <w:p w14:paraId="3D311C1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rPr>
                    <w:t>11</w:t>
                  </w:r>
                </w:p>
              </w:tc>
              <w:tc>
                <w:tcPr>
                  <w:tcW w:w="826" w:type="pct"/>
                  <w:tcBorders>
                    <w:top w:val="single" w:color="auto" w:sz="4" w:space="0"/>
                    <w:left w:val="single" w:color="auto" w:sz="4" w:space="0"/>
                    <w:right w:val="single" w:color="auto" w:sz="4" w:space="0"/>
                  </w:tcBorders>
                  <w:noWrap w:val="0"/>
                  <w:vAlign w:val="center"/>
                </w:tcPr>
                <w:p w14:paraId="412F68ED">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危险废物暂存间</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0A2D44E3">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1间，</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bidi="ar"/>
                    </w:rPr>
                    <w:t>采取必要的防风、防晒、防雨、防漏、防渗、防腐措施，</w:t>
                  </w:r>
                  <w:r>
                    <w:rPr>
                      <w:rFonts w:hint="eastAsia" w:cs="Times New Roman"/>
                      <w:color w:val="auto"/>
                      <w:sz w:val="21"/>
                      <w:szCs w:val="21"/>
                      <w:lang w:val="en-US" w:eastAsia="zh-CN"/>
                    </w:rPr>
                    <w:t>做好重点防渗措施</w:t>
                  </w:r>
                  <w:r>
                    <w:rPr>
                      <w:rFonts w:hint="eastAsia" w:ascii="Times New Roman" w:hAnsi="Times New Roman" w:cs="Times New Roman"/>
                      <w:color w:val="auto"/>
                      <w:sz w:val="21"/>
                      <w:szCs w:val="21"/>
                      <w:lang w:val="en-US" w:eastAsia="zh-CN" w:bidi="ar"/>
                    </w:rPr>
                    <w:t>，</w:t>
                  </w:r>
                  <w:r>
                    <w:rPr>
                      <w:rFonts w:hint="eastAsia" w:cs="Times New Roman"/>
                      <w:color w:val="auto"/>
                      <w:sz w:val="21"/>
                      <w:szCs w:val="21"/>
                      <w:lang w:val="en-US" w:eastAsia="zh-CN" w:bidi="ar"/>
                    </w:rPr>
                    <w:t>各危险废物分区贮存，</w:t>
                  </w:r>
                  <w:r>
                    <w:rPr>
                      <w:rFonts w:hint="eastAsia" w:cs="Times New Roman"/>
                      <w:color w:val="auto"/>
                      <w:sz w:val="21"/>
                      <w:szCs w:val="21"/>
                      <w:lang w:val="en-US" w:eastAsia="zh-CN"/>
                    </w:rPr>
                    <w:t>设置台账记录、做好危险标识，和有资质单位签订危废处置协议。</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29428AAD">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61AD376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6529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6BB85CE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826" w:type="pct"/>
                  <w:tcBorders>
                    <w:top w:val="single" w:color="auto" w:sz="4" w:space="0"/>
                    <w:left w:val="single" w:color="auto" w:sz="4" w:space="0"/>
                    <w:bottom w:val="single" w:color="auto" w:sz="4" w:space="0"/>
                    <w:right w:val="single" w:color="auto" w:sz="4" w:space="0"/>
                  </w:tcBorders>
                  <w:noWrap w:val="0"/>
                  <w:vAlign w:val="center"/>
                </w:tcPr>
                <w:p w14:paraId="2DC8358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垃圾收集桶</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05CDB4A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个</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4C64F5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2</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1EE5AD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环评提出</w:t>
                  </w:r>
                </w:p>
              </w:tc>
            </w:tr>
            <w:tr w14:paraId="0048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7A0BEF2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826" w:type="pct"/>
                  <w:tcBorders>
                    <w:top w:val="single" w:color="auto" w:sz="4" w:space="0"/>
                    <w:left w:val="single" w:color="auto" w:sz="4" w:space="0"/>
                    <w:bottom w:val="single" w:color="auto" w:sz="4" w:space="0"/>
                    <w:right w:val="single" w:color="auto" w:sz="4" w:space="0"/>
                  </w:tcBorders>
                  <w:noWrap w:val="0"/>
                  <w:vAlign w:val="center"/>
                </w:tcPr>
                <w:p w14:paraId="7393E102">
                  <w:pPr>
                    <w:pStyle w:val="63"/>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620B4916">
                  <w:pPr>
                    <w:pStyle w:val="60"/>
                    <w:keepNext w:val="0"/>
                    <w:keepLines w:val="0"/>
                    <w:pageBreakBefore w:val="0"/>
                    <w:kinsoku/>
                    <w:wordWrap/>
                    <w:overflowPunct/>
                    <w:topLinePunct w:val="0"/>
                    <w:autoSpaceDE/>
                    <w:autoSpaceDN/>
                    <w:bidi w:val="0"/>
                    <w:adjustRightInd w:val="0"/>
                    <w:snapToGrid w:val="0"/>
                    <w:spacing w:before="0" w:beforeLines="0" w:after="0" w:afterLines="0" w:line="240" w:lineRule="auto"/>
                    <w:ind w:firstLine="0" w:firstLineChars="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柴油储罐使用双层罐，储罐区域地坪采用</w:t>
                  </w:r>
                  <w:r>
                    <w:rPr>
                      <w:rFonts w:hint="eastAsia" w:cs="Times New Roman"/>
                      <w:color w:val="auto"/>
                      <w:sz w:val="21"/>
                      <w:szCs w:val="21"/>
                      <w:lang w:val="en-US" w:eastAsia="zh-CN"/>
                    </w:rPr>
                    <w:t>重点</w:t>
                  </w:r>
                  <w:r>
                    <w:rPr>
                      <w:rFonts w:hint="default" w:ascii="Times New Roman" w:hAnsi="Times New Roman" w:cs="Times New Roman"/>
                      <w:color w:val="auto"/>
                      <w:sz w:val="21"/>
                      <w:szCs w:val="21"/>
                    </w:rPr>
                    <w:t>防渗</w:t>
                  </w:r>
                  <w:r>
                    <w:rPr>
                      <w:rFonts w:hint="eastAsia" w:cs="Times New Roman"/>
                      <w:color w:val="auto"/>
                      <w:sz w:val="21"/>
                      <w:szCs w:val="21"/>
                      <w:lang w:eastAsia="zh-CN"/>
                    </w:rPr>
                    <w:t>。</w:t>
                  </w:r>
                  <w:r>
                    <w:rPr>
                      <w:rFonts w:hint="eastAsia" w:cs="Times New Roman"/>
                      <w:color w:val="auto"/>
                      <w:sz w:val="21"/>
                      <w:szCs w:val="21"/>
                      <w:lang w:val="en-US" w:eastAsia="zh-CN"/>
                    </w:rPr>
                    <w:t>各</w:t>
                  </w:r>
                  <w:r>
                    <w:rPr>
                      <w:rFonts w:hint="default" w:ascii="Times New Roman" w:hAnsi="Times New Roman" w:cs="Times New Roman"/>
                      <w:color w:val="auto"/>
                      <w:sz w:val="21"/>
                      <w:szCs w:val="21"/>
                    </w:rPr>
                    <w:t>储罐周围设置围堰，顶部设顶棚</w:t>
                  </w:r>
                  <w:r>
                    <w:rPr>
                      <w:rFonts w:hint="eastAsia" w:ascii="Times New Roman" w:hAnsi="Times New Roman" w:cs="Times New Roman"/>
                      <w:color w:val="auto"/>
                      <w:sz w:val="21"/>
                      <w:szCs w:val="21"/>
                      <w:lang w:eastAsia="zh-CN"/>
                    </w:rPr>
                    <w:t>，</w:t>
                  </w:r>
                  <w:r>
                    <w:rPr>
                      <w:rFonts w:ascii="Times New Roman" w:hAnsi="Times New Roman"/>
                      <w:bCs/>
                      <w:color w:val="auto"/>
                      <w:spacing w:val="0"/>
                      <w:sz w:val="21"/>
                      <w:szCs w:val="21"/>
                    </w:rPr>
                    <w:t>围堰</w:t>
                  </w:r>
                  <w:r>
                    <w:rPr>
                      <w:rFonts w:hint="eastAsia" w:ascii="Times New Roman" w:hAnsi="Times New Roman"/>
                      <w:bCs/>
                      <w:color w:val="auto"/>
                      <w:spacing w:val="0"/>
                      <w:sz w:val="21"/>
                      <w:szCs w:val="21"/>
                      <w:lang w:val="en-US" w:eastAsia="zh-CN"/>
                    </w:rPr>
                    <w:t>高度</w:t>
                  </w:r>
                  <w:r>
                    <w:rPr>
                      <w:rFonts w:ascii="Times New Roman" w:hAnsi="Times New Roman"/>
                      <w:bCs/>
                      <w:color w:val="auto"/>
                      <w:spacing w:val="0"/>
                      <w:sz w:val="21"/>
                      <w:szCs w:val="21"/>
                    </w:rPr>
                    <w:t>≥0.6m</w:t>
                  </w:r>
                  <w:r>
                    <w:rPr>
                      <w:rFonts w:hint="eastAsia"/>
                      <w:bCs/>
                      <w:color w:val="auto"/>
                      <w:spacing w:val="0"/>
                      <w:sz w:val="21"/>
                      <w:szCs w:val="21"/>
                      <w:lang w:eastAsia="zh-CN"/>
                    </w:rPr>
                    <w:t>，</w:t>
                  </w:r>
                  <w:r>
                    <w:rPr>
                      <w:rFonts w:hint="eastAsia" w:ascii="Times New Roman" w:hAnsi="Times New Roman" w:cs="Times New Roman"/>
                      <w:color w:val="auto"/>
                      <w:sz w:val="21"/>
                      <w:szCs w:val="21"/>
                      <w:lang w:val="en-US" w:eastAsia="zh-CN"/>
                    </w:rPr>
                    <w:t>其中</w:t>
                  </w:r>
                  <w:r>
                    <w:rPr>
                      <w:rFonts w:hint="eastAsia" w:cs="Times New Roman"/>
                      <w:color w:val="auto"/>
                      <w:sz w:val="21"/>
                      <w:szCs w:val="21"/>
                      <w:lang w:val="en-US" w:eastAsia="zh-CN"/>
                    </w:rPr>
                    <w:t>1#和2#</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，3#</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180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bidi="ar"/>
                    </w:rPr>
                    <w:t>柴油</w:t>
                  </w:r>
                  <w:r>
                    <w:rPr>
                      <w:rFonts w:hint="eastAsia" w:cs="Times New Roman"/>
                      <w:color w:val="auto"/>
                      <w:sz w:val="21"/>
                      <w:szCs w:val="21"/>
                      <w:lang w:val="en-US" w:eastAsia="zh-CN" w:bidi="ar"/>
                    </w:rPr>
                    <w:t>撬装加油站和轻质柴油储罐</w:t>
                  </w:r>
                  <w:r>
                    <w:rPr>
                      <w:rFonts w:hint="eastAsia" w:ascii="Times New Roman" w:hAnsi="Times New Roman" w:cs="Times New Roman"/>
                      <w:color w:val="auto"/>
                      <w:sz w:val="21"/>
                      <w:szCs w:val="21"/>
                      <w:lang w:val="en-US" w:eastAsia="zh-CN"/>
                    </w:rPr>
                    <w:t>围堰容积均不小于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default" w:ascii="Times New Roman" w:hAnsi="Times New Roman" w:eastAsia="宋体" w:cs="Times New Roman"/>
                      <w:bCs/>
                      <w:color w:val="auto"/>
                      <w:sz w:val="21"/>
                      <w:szCs w:val="21"/>
                    </w:rPr>
                    <w:t>排水管网</w:t>
                  </w:r>
                  <w:r>
                    <w:rPr>
                      <w:rFonts w:hint="eastAsia" w:ascii="Times New Roman" w:hAnsi="Times New Roman" w:eastAsia="宋体" w:cs="Times New Roman"/>
                      <w:bCs/>
                      <w:color w:val="auto"/>
                      <w:sz w:val="21"/>
                      <w:szCs w:val="21"/>
                      <w:lang w:val="en-US" w:eastAsia="zh-CN"/>
                    </w:rPr>
                    <w:t>末端</w:t>
                  </w:r>
                  <w:r>
                    <w:rPr>
                      <w:rFonts w:hint="default" w:ascii="Times New Roman" w:hAnsi="Times New Roman" w:eastAsia="宋体" w:cs="Times New Roman"/>
                      <w:bCs/>
                      <w:color w:val="auto"/>
                      <w:sz w:val="21"/>
                      <w:szCs w:val="21"/>
                    </w:rPr>
                    <w:t>全部设置切断装置</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0"/>
                      <w:sz w:val="21"/>
                      <w:szCs w:val="21"/>
                      <w:highlight w:val="none"/>
                      <w:lang w:val="en-US" w:eastAsia="zh-CN" w:bidi="ar"/>
                    </w:rPr>
                    <w:t>设置</w:t>
                  </w: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座容积</w:t>
                  </w:r>
                  <w:r>
                    <w:rPr>
                      <w:rFonts w:hint="eastAsia" w:ascii="Times New Roman" w:hAnsi="Times New Roman" w:eastAsia="宋体" w:cs="Times New Roman"/>
                      <w:color w:val="auto"/>
                      <w:kern w:val="0"/>
                      <w:sz w:val="21"/>
                      <w:szCs w:val="21"/>
                      <w:highlight w:val="none"/>
                      <w:lang w:val="en-US" w:eastAsia="zh-CN" w:bidi="ar"/>
                    </w:rPr>
                    <w:t>为</w:t>
                  </w:r>
                  <w:r>
                    <w:rPr>
                      <w:rFonts w:hint="eastAsia" w:cs="Times New Roman"/>
                      <w:color w:val="auto"/>
                      <w:sz w:val="21"/>
                      <w:szCs w:val="21"/>
                      <w:lang w:val="en-US" w:eastAsia="zh-CN" w:bidi="ar"/>
                    </w:rPr>
                    <w:t>30</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应急</w:t>
                  </w:r>
                  <w:r>
                    <w:rPr>
                      <w:rFonts w:hint="default" w:ascii="Times New Roman" w:hAnsi="Times New Roman" w:eastAsia="宋体" w:cs="Times New Roman"/>
                      <w:color w:val="auto"/>
                      <w:kern w:val="0"/>
                      <w:sz w:val="21"/>
                      <w:szCs w:val="21"/>
                      <w:highlight w:val="none"/>
                      <w:lang w:val="en-US" w:eastAsia="zh-CN" w:bidi="ar"/>
                    </w:rPr>
                    <w:t>事故池</w:t>
                  </w:r>
                  <w:r>
                    <w:rPr>
                      <w:rFonts w:hint="eastAsia" w:ascii="Times New Roman" w:hAnsi="Times New Roman" w:eastAsia="宋体" w:cs="Times New Roman"/>
                      <w:color w:val="auto"/>
                      <w:kern w:val="0"/>
                      <w:sz w:val="21"/>
                      <w:szCs w:val="21"/>
                      <w:highlight w:val="none"/>
                      <w:lang w:val="en-US" w:eastAsia="zh-CN" w:bidi="ar"/>
                    </w:rPr>
                    <w:t>暂存事故废水。</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6C658A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28</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121BD29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4B07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21ADD7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826" w:type="pct"/>
                  <w:tcBorders>
                    <w:top w:val="single" w:color="auto" w:sz="4" w:space="0"/>
                    <w:left w:val="single" w:color="auto" w:sz="4" w:space="0"/>
                    <w:bottom w:val="single" w:color="auto" w:sz="4" w:space="0"/>
                    <w:right w:val="single" w:color="auto" w:sz="4" w:space="0"/>
                  </w:tcBorders>
                  <w:noWrap w:val="0"/>
                  <w:vAlign w:val="center"/>
                </w:tcPr>
                <w:p w14:paraId="3289339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bidi="ar"/>
                    </w:rPr>
                    <w:t>运行维护</w:t>
                  </w:r>
                  <w:r>
                    <w:rPr>
                      <w:rFonts w:hint="eastAsia" w:ascii="Times New Roman" w:hAnsi="Times New Roman" w:eastAsia="宋体" w:cs="Times New Roman"/>
                      <w:color w:val="auto"/>
                      <w:sz w:val="21"/>
                      <w:szCs w:val="21"/>
                      <w:lang w:val="en-US" w:eastAsia="zh-CN" w:bidi="ar"/>
                    </w:rPr>
                    <w:t>及管理</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5639DD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布袋除尘器布袋的更换、活性炭更换、</w:t>
                  </w:r>
                  <w:r>
                    <w:rPr>
                      <w:rFonts w:hint="eastAsia" w:cs="Times New Roman"/>
                      <w:color w:val="auto"/>
                      <w:sz w:val="21"/>
                      <w:szCs w:val="21"/>
                      <w:lang w:eastAsia="zh-CN" w:bidi="ar"/>
                    </w:rPr>
                    <w:t>隔油池</w:t>
                  </w:r>
                  <w:r>
                    <w:rPr>
                      <w:rFonts w:hint="default" w:ascii="Times New Roman" w:hAnsi="Times New Roman" w:eastAsia="宋体" w:cs="Times New Roman"/>
                      <w:color w:val="auto"/>
                      <w:sz w:val="21"/>
                      <w:szCs w:val="21"/>
                      <w:lang w:bidi="ar"/>
                    </w:rPr>
                    <w:t>、沉淀池及化粪池清掏等</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5064E1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bidi="ar"/>
                    </w:rPr>
                  </w:pPr>
                  <w:r>
                    <w:rPr>
                      <w:rFonts w:hint="eastAsia" w:cs="Times New Roman"/>
                      <w:color w:val="auto"/>
                      <w:kern w:val="0"/>
                      <w:sz w:val="21"/>
                      <w:szCs w:val="21"/>
                      <w:lang w:val="en-US" w:eastAsia="zh-CN" w:bidi="ar"/>
                    </w:rPr>
                    <w:t>4</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07D841B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1543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98" w:type="pct"/>
                  <w:tcBorders>
                    <w:top w:val="single" w:color="auto" w:sz="4" w:space="0"/>
                    <w:left w:val="single" w:color="auto" w:sz="4" w:space="0"/>
                    <w:bottom w:val="single" w:color="auto" w:sz="4" w:space="0"/>
                    <w:right w:val="single" w:color="auto" w:sz="4" w:space="0"/>
                  </w:tcBorders>
                  <w:noWrap w:val="0"/>
                  <w:vAlign w:val="center"/>
                </w:tcPr>
                <w:p w14:paraId="043001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826" w:type="pct"/>
                  <w:vMerge w:val="restart"/>
                  <w:tcBorders>
                    <w:top w:val="single" w:color="auto" w:sz="4" w:space="0"/>
                    <w:left w:val="single" w:color="auto" w:sz="4" w:space="0"/>
                    <w:right w:val="single" w:color="auto" w:sz="4" w:space="0"/>
                  </w:tcBorders>
                  <w:noWrap w:val="0"/>
                  <w:vAlign w:val="center"/>
                </w:tcPr>
                <w:p w14:paraId="545662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其他</w:t>
                  </w:r>
                </w:p>
              </w:tc>
              <w:tc>
                <w:tcPr>
                  <w:tcW w:w="2353" w:type="pct"/>
                  <w:tcBorders>
                    <w:top w:val="single" w:color="auto" w:sz="4" w:space="0"/>
                    <w:left w:val="single" w:color="auto" w:sz="4" w:space="0"/>
                    <w:bottom w:val="single" w:color="auto" w:sz="4" w:space="0"/>
                    <w:right w:val="single" w:color="auto" w:sz="4" w:space="0"/>
                  </w:tcBorders>
                  <w:noWrap w:val="0"/>
                  <w:vAlign w:val="center"/>
                </w:tcPr>
                <w:p w14:paraId="084A0E5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bidi="ar"/>
                    </w:rPr>
                    <w:t>环境影响评价</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2C519B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sz w:val="21"/>
                      <w:szCs w:val="21"/>
                      <w:lang w:val="en-US" w:eastAsia="zh-CN" w:bidi="ar"/>
                    </w:rPr>
                    <w:t>4</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7978689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2D7E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2F9417E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826" w:type="pct"/>
                  <w:vMerge w:val="continue"/>
                  <w:tcBorders>
                    <w:left w:val="single" w:color="auto" w:sz="4" w:space="0"/>
                    <w:right w:val="single" w:color="auto" w:sz="4" w:space="0"/>
                  </w:tcBorders>
                  <w:noWrap w:val="0"/>
                  <w:vAlign w:val="center"/>
                </w:tcPr>
                <w:p w14:paraId="51860F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2353" w:type="pct"/>
                  <w:tcBorders>
                    <w:top w:val="single" w:color="auto" w:sz="4" w:space="0"/>
                    <w:left w:val="single" w:color="auto" w:sz="4" w:space="0"/>
                    <w:bottom w:val="single" w:color="auto" w:sz="4" w:space="0"/>
                    <w:right w:val="single" w:color="auto" w:sz="4" w:space="0"/>
                  </w:tcBorders>
                  <w:noWrap w:val="0"/>
                  <w:vAlign w:val="center"/>
                </w:tcPr>
                <w:p w14:paraId="63BB48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bidi="ar"/>
                    </w:rPr>
                    <w:t>竣工环境保护验收</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414EF1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sz w:val="21"/>
                      <w:szCs w:val="21"/>
                      <w:lang w:val="en-US" w:eastAsia="zh-CN" w:bidi="ar"/>
                    </w:rPr>
                    <w:t>3</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3EBF013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131E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1585016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826" w:type="pct"/>
                  <w:vMerge w:val="continue"/>
                  <w:tcBorders>
                    <w:left w:val="single" w:color="auto" w:sz="4" w:space="0"/>
                    <w:right w:val="single" w:color="auto" w:sz="4" w:space="0"/>
                  </w:tcBorders>
                  <w:noWrap w:val="0"/>
                  <w:vAlign w:val="center"/>
                </w:tcPr>
                <w:p w14:paraId="6307C3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2353" w:type="pct"/>
                  <w:tcBorders>
                    <w:top w:val="single" w:color="auto" w:sz="4" w:space="0"/>
                    <w:left w:val="single" w:color="auto" w:sz="4" w:space="0"/>
                    <w:bottom w:val="single" w:color="auto" w:sz="4" w:space="0"/>
                    <w:right w:val="single" w:color="auto" w:sz="4" w:space="0"/>
                  </w:tcBorders>
                  <w:noWrap w:val="0"/>
                  <w:vAlign w:val="center"/>
                </w:tcPr>
                <w:p w14:paraId="123F210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eastAsia="zh-CN" w:bidi="ar"/>
                    </w:rPr>
                    <w:t>绿化</w:t>
                  </w:r>
                  <w:r>
                    <w:rPr>
                      <w:rFonts w:hint="eastAsia" w:cs="Times New Roman"/>
                      <w:color w:val="auto"/>
                      <w:sz w:val="21"/>
                      <w:szCs w:val="21"/>
                      <w:lang w:val="en-US" w:eastAsia="zh-CN" w:bidi="ar"/>
                    </w:rPr>
                    <w:t>40</w:t>
                  </w:r>
                  <w:r>
                    <w:rPr>
                      <w:rFonts w:hint="eastAsia" w:ascii="Times New Roman" w:hAnsi="Times New Roman" w:eastAsia="宋体" w:cs="Times New Roman"/>
                      <w:color w:val="auto"/>
                      <w:sz w:val="21"/>
                      <w:szCs w:val="21"/>
                      <w:lang w:val="en-US" w:eastAsia="zh-CN" w:bidi="ar"/>
                    </w:rPr>
                    <w:t>00</w:t>
                  </w:r>
                  <w:r>
                    <w:rPr>
                      <w:rFonts w:hint="eastAsia" w:ascii="Times New Roman" w:hAnsi="Times New Roman" w:eastAsia="宋体" w:cs="Times New Roman"/>
                      <w:color w:val="auto"/>
                      <w:sz w:val="21"/>
                      <w:szCs w:val="21"/>
                      <w:lang w:bidi="ar"/>
                    </w:rPr>
                    <w:t>m</w:t>
                  </w:r>
                  <w:r>
                    <w:rPr>
                      <w:rFonts w:hint="eastAsia" w:ascii="Times New Roman" w:hAnsi="Times New Roman" w:eastAsia="宋体" w:cs="Times New Roman"/>
                      <w:color w:val="auto"/>
                      <w:sz w:val="21"/>
                      <w:szCs w:val="21"/>
                      <w:vertAlign w:val="superscript"/>
                      <w:lang w:bidi="ar"/>
                    </w:rPr>
                    <w:t>2</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0490E8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10</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0555607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7571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4" w:space="0"/>
                    <w:left w:val="single" w:color="auto" w:sz="4" w:space="0"/>
                    <w:bottom w:val="single" w:color="auto" w:sz="4" w:space="0"/>
                    <w:right w:val="single" w:color="auto" w:sz="4" w:space="0"/>
                  </w:tcBorders>
                  <w:noWrap w:val="0"/>
                  <w:vAlign w:val="center"/>
                </w:tcPr>
                <w:p w14:paraId="45F1B00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826" w:type="pct"/>
                  <w:vMerge w:val="continue"/>
                  <w:tcBorders>
                    <w:left w:val="single" w:color="auto" w:sz="4" w:space="0"/>
                    <w:bottom w:val="single" w:color="auto" w:sz="4" w:space="0"/>
                    <w:right w:val="single" w:color="auto" w:sz="4" w:space="0"/>
                  </w:tcBorders>
                  <w:noWrap w:val="0"/>
                  <w:vAlign w:val="center"/>
                </w:tcPr>
                <w:p w14:paraId="6FA8DE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p>
              </w:tc>
              <w:tc>
                <w:tcPr>
                  <w:tcW w:w="2353" w:type="pct"/>
                  <w:tcBorders>
                    <w:top w:val="single" w:color="auto" w:sz="4" w:space="0"/>
                    <w:left w:val="single" w:color="auto" w:sz="4" w:space="0"/>
                    <w:bottom w:val="single" w:color="auto" w:sz="4" w:space="0"/>
                    <w:right w:val="single" w:color="auto" w:sz="4" w:space="0"/>
                  </w:tcBorders>
                  <w:noWrap w:val="0"/>
                  <w:vAlign w:val="center"/>
                </w:tcPr>
                <w:p w14:paraId="52A10EC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标识牌10块</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3A457B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0.1</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736B575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环评提出</w:t>
                  </w:r>
                </w:p>
              </w:tc>
            </w:tr>
            <w:tr w14:paraId="1B09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7" w:type="pct"/>
                  <w:gridSpan w:val="3"/>
                  <w:tcBorders>
                    <w:top w:val="single" w:color="auto" w:sz="4" w:space="0"/>
                    <w:left w:val="single" w:color="auto" w:sz="4" w:space="0"/>
                    <w:bottom w:val="single" w:color="auto" w:sz="4" w:space="0"/>
                    <w:right w:val="single" w:color="auto" w:sz="4" w:space="0"/>
                  </w:tcBorders>
                  <w:noWrap w:val="0"/>
                  <w:vAlign w:val="center"/>
                </w:tcPr>
                <w:p w14:paraId="4327ADA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合  计</w:t>
                  </w:r>
                </w:p>
              </w:tc>
              <w:tc>
                <w:tcPr>
                  <w:tcW w:w="681" w:type="pct"/>
                  <w:tcBorders>
                    <w:top w:val="single" w:color="auto" w:sz="4" w:space="0"/>
                    <w:left w:val="single" w:color="auto" w:sz="4" w:space="0"/>
                    <w:bottom w:val="single" w:color="auto" w:sz="4" w:space="0"/>
                    <w:right w:val="single" w:color="auto" w:sz="4" w:space="0"/>
                  </w:tcBorders>
                  <w:noWrap w:val="0"/>
                  <w:vAlign w:val="center"/>
                </w:tcPr>
                <w:p w14:paraId="477991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169.3</w:t>
                  </w:r>
                </w:p>
              </w:tc>
              <w:tc>
                <w:tcPr>
                  <w:tcW w:w="740" w:type="pct"/>
                  <w:tcBorders>
                    <w:top w:val="single" w:color="auto" w:sz="4" w:space="0"/>
                    <w:left w:val="single" w:color="auto" w:sz="4" w:space="0"/>
                    <w:bottom w:val="single" w:color="auto" w:sz="4" w:space="0"/>
                    <w:right w:val="single" w:color="auto" w:sz="4" w:space="0"/>
                  </w:tcBorders>
                  <w:noWrap w:val="0"/>
                  <w:vAlign w:val="center"/>
                </w:tcPr>
                <w:p w14:paraId="34442E3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bl>
          <w:p w14:paraId="163EF178">
            <w:pPr>
              <w:ind w:left="0" w:leftChars="0" w:firstLine="0" w:firstLineChars="0"/>
              <w:jc w:val="both"/>
              <w:rPr>
                <w:rFonts w:hint="default"/>
                <w:b w:val="0"/>
                <w:bCs w:val="0"/>
                <w:color w:val="auto"/>
                <w:highlight w:val="none"/>
                <w:lang w:val="en-US" w:eastAsia="zh-CN"/>
              </w:rPr>
            </w:pPr>
          </w:p>
        </w:tc>
      </w:tr>
      <w:tr w14:paraId="28C40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63" w:hRule="atLeast"/>
          <w:jc w:val="center"/>
        </w:trPr>
        <w:tc>
          <w:tcPr>
            <w:tcW w:w="447" w:type="dxa"/>
            <w:vAlign w:val="center"/>
          </w:tcPr>
          <w:p w14:paraId="7912A0EF">
            <w:pPr>
              <w:ind w:firstLine="0" w:firstLineChars="0"/>
              <w:rPr>
                <w:color w:val="auto"/>
                <w:highlight w:val="none"/>
              </w:rPr>
            </w:pPr>
            <w:r>
              <w:rPr>
                <w:rFonts w:hint="eastAsia"/>
                <w:color w:val="auto"/>
                <w:highlight w:val="none"/>
              </w:rPr>
              <w:t>工艺流程和产排污环节</w:t>
            </w:r>
          </w:p>
        </w:tc>
        <w:tc>
          <w:tcPr>
            <w:tcW w:w="8075" w:type="dxa"/>
            <w:vAlign w:val="center"/>
          </w:tcPr>
          <w:p w14:paraId="54102A32">
            <w:pPr>
              <w:ind w:left="0" w:leftChars="0" w:firstLine="482" w:firstLineChars="200"/>
              <w:rPr>
                <w:rFonts w:hint="default"/>
                <w:b/>
                <w:bCs/>
                <w:color w:val="auto"/>
                <w:highlight w:val="none"/>
                <w:lang w:val="en-US" w:eastAsia="zh-CN"/>
              </w:rPr>
            </w:pPr>
            <w:r>
              <w:rPr>
                <w:rFonts w:hint="eastAsia"/>
                <w:b/>
                <w:bCs/>
                <w:color w:val="auto"/>
                <w:highlight w:val="none"/>
                <w:lang w:val="en-US" w:eastAsia="zh-CN"/>
              </w:rPr>
              <w:t>1、施工期工艺流程及产污情况</w:t>
            </w:r>
          </w:p>
          <w:p w14:paraId="35BEBD74">
            <w:pPr>
              <w:autoSpaceDE w:val="0"/>
              <w:autoSpaceDN w:val="0"/>
              <w:adjustRightInd w:val="0"/>
              <w:spacing w:line="360" w:lineRule="auto"/>
              <w:ind w:firstLine="480" w:firstLineChars="200"/>
              <w:jc w:val="left"/>
              <w:rPr>
                <w:rFonts w:hint="eastAsia" w:ascii="Times New Roman" w:hAnsi="Times New Roman"/>
                <w:color w:val="auto"/>
                <w:lang w:eastAsia="zh-CN"/>
              </w:rPr>
            </w:pPr>
            <w:r>
              <w:rPr>
                <w:rFonts w:hint="default" w:ascii="Times New Roman" w:hAnsi="Times New Roman" w:eastAsia="宋体" w:cs="Times New Roman"/>
                <w:bCs/>
                <w:color w:val="auto"/>
                <w:kern w:val="0"/>
                <w:sz w:val="24"/>
              </w:rPr>
              <w:t>项目</w:t>
            </w:r>
            <w:r>
              <w:rPr>
                <w:rFonts w:hint="eastAsia" w:ascii="Times New Roman" w:hAnsi="Times New Roman" w:eastAsia="宋体" w:cs="Times New Roman"/>
                <w:bCs/>
                <w:color w:val="auto"/>
                <w:kern w:val="0"/>
                <w:sz w:val="24"/>
                <w:lang w:val="en-US" w:eastAsia="zh-CN"/>
              </w:rPr>
              <w:t>已建成1000型拌合楼生产线，本次施工期主要为另外一条4000型拌合楼生产线和辅助设施。</w:t>
            </w:r>
            <w:r>
              <w:rPr>
                <w:rFonts w:ascii="Times New Roman" w:hAnsi="Times New Roman"/>
                <w:color w:val="auto"/>
              </w:rPr>
              <w:t>施工主要涉及场地平整、基础工程、结构施工、设备安装调试等工序。项目建设前需对场地地面进行平整，然后进行生产车间以及其他辅助设施的建设，待项目主体工程建设完成后进行设备安装及绿化工程，最终投入试生产</w:t>
            </w:r>
            <w:r>
              <w:rPr>
                <w:rFonts w:hint="eastAsia" w:ascii="Times New Roman" w:hAnsi="Times New Roman"/>
                <w:color w:val="auto"/>
                <w:lang w:eastAsia="zh-CN"/>
              </w:rPr>
              <w:t>。</w:t>
            </w:r>
          </w:p>
          <w:p w14:paraId="1E7FA847">
            <w:pPr>
              <w:autoSpaceDE w:val="0"/>
              <w:autoSpaceDN w:val="0"/>
              <w:adjustRightInd w:val="0"/>
              <w:spacing w:line="360" w:lineRule="auto"/>
              <w:ind w:firstLine="480" w:firstLineChars="200"/>
              <w:jc w:val="left"/>
              <w:rPr>
                <w:rFonts w:ascii="Times New Roman" w:hAnsi="Times New Roman"/>
                <w:color w:val="auto"/>
              </w:rPr>
            </w:pPr>
            <w:r>
              <w:rPr>
                <w:rFonts w:hint="eastAsia" w:ascii="Times New Roman" w:hAnsi="Times New Roman"/>
                <w:color w:val="auto"/>
                <w:lang w:val="en-US" w:eastAsia="zh-CN"/>
              </w:rPr>
              <w:t>项目施工工艺流程图见下图</w:t>
            </w:r>
            <w:r>
              <w:rPr>
                <w:rFonts w:ascii="Times New Roman" w:hAnsi="Times New Roman"/>
                <w:color w:val="auto"/>
              </w:rPr>
              <w:t>。</w:t>
            </w:r>
          </w:p>
          <w:p w14:paraId="2A83CFF3">
            <w:pPr>
              <w:autoSpaceDE w:val="0"/>
              <w:autoSpaceDN w:val="0"/>
              <w:adjustRightInd w:val="0"/>
              <w:spacing w:line="360" w:lineRule="auto"/>
              <w:ind w:firstLine="480" w:firstLineChars="200"/>
              <w:jc w:val="left"/>
              <w:rPr>
                <w:rFonts w:ascii="Times New Roman" w:hAnsi="Times New Roman"/>
                <w:bCs/>
                <w:color w:val="auto"/>
                <w:szCs w:val="21"/>
              </w:rPr>
            </w:pPr>
            <w:r>
              <w:rPr>
                <w:rFonts w:ascii="Times New Roman" w:hAnsi="Times New Roman"/>
                <w:color w:val="auto"/>
              </w:rPr>
              <w:object>
                <v:shape id="_x0000_i1027" o:spt="75" type="#_x0000_t75" style="height:228.95pt;width:364.75pt;" o:ole="t" filled="f" o:preferrelative="t"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p>
          <w:p w14:paraId="6C412D7B">
            <w:pPr>
              <w:autoSpaceDE w:val="0"/>
              <w:autoSpaceDN w:val="0"/>
              <w:adjustRightInd w:val="0"/>
              <w:spacing w:line="360" w:lineRule="auto"/>
              <w:ind w:firstLine="422" w:firstLineChars="200"/>
              <w:jc w:val="center"/>
              <w:rPr>
                <w:rFonts w:ascii="Times New Roman" w:hAnsi="Times New Roman"/>
                <w:bCs/>
                <w:color w:val="auto"/>
                <w:sz w:val="21"/>
                <w:szCs w:val="21"/>
              </w:rPr>
            </w:pPr>
            <w:r>
              <w:rPr>
                <w:rFonts w:ascii="Times New Roman" w:hAnsi="Times New Roman"/>
                <w:b/>
                <w:bCs/>
                <w:color w:val="auto"/>
                <w:sz w:val="21"/>
                <w:szCs w:val="21"/>
              </w:rPr>
              <w:t>图2-</w:t>
            </w:r>
            <w:r>
              <w:rPr>
                <w:rFonts w:hint="eastAsia"/>
                <w:b/>
                <w:bCs/>
                <w:color w:val="auto"/>
                <w:sz w:val="21"/>
                <w:szCs w:val="21"/>
                <w:lang w:val="en-US" w:eastAsia="zh-CN"/>
              </w:rPr>
              <w:t>2</w:t>
            </w:r>
            <w:r>
              <w:rPr>
                <w:rFonts w:ascii="Times New Roman" w:hAnsi="Times New Roman"/>
                <w:b/>
                <w:bCs/>
                <w:color w:val="auto"/>
                <w:sz w:val="21"/>
                <w:szCs w:val="21"/>
              </w:rPr>
              <w:t xml:space="preserve">  施工工艺流程图</w:t>
            </w:r>
          </w:p>
          <w:p w14:paraId="32C24AFF">
            <w:pPr>
              <w:autoSpaceDE w:val="0"/>
              <w:autoSpaceDN w:val="0"/>
              <w:adjustRightInd w:val="0"/>
              <w:spacing w:line="360" w:lineRule="auto"/>
              <w:ind w:firstLine="480" w:firstLineChars="200"/>
              <w:jc w:val="left"/>
              <w:rPr>
                <w:rFonts w:ascii="Times New Roman" w:hAnsi="Times New Roman"/>
                <w:bCs/>
                <w:color w:val="auto"/>
                <w:szCs w:val="21"/>
              </w:rPr>
            </w:pPr>
            <w:r>
              <w:rPr>
                <w:rFonts w:ascii="Times New Roman" w:hAnsi="Times New Roman"/>
                <w:bCs/>
                <w:color w:val="auto"/>
                <w:szCs w:val="21"/>
              </w:rPr>
              <w:t>项目施工期产生的主要污染物如下：</w:t>
            </w:r>
          </w:p>
          <w:p w14:paraId="6A019716">
            <w:pPr>
              <w:autoSpaceDE w:val="0"/>
              <w:autoSpaceDN w:val="0"/>
              <w:adjustRightInd w:val="0"/>
              <w:spacing w:line="360" w:lineRule="auto"/>
              <w:ind w:firstLine="480" w:firstLineChars="200"/>
              <w:jc w:val="left"/>
              <w:rPr>
                <w:rFonts w:ascii="Times New Roman" w:hAnsi="Times New Roman"/>
                <w:bCs/>
                <w:color w:val="auto"/>
                <w:szCs w:val="21"/>
              </w:rPr>
            </w:pPr>
            <w:r>
              <w:rPr>
                <w:rFonts w:ascii="Times New Roman" w:hAnsi="Times New Roman"/>
                <w:bCs/>
                <w:color w:val="auto"/>
                <w:szCs w:val="21"/>
              </w:rPr>
              <w:t>（1）废气：施工期大气污染物主要为施工粉尘、焊接烟尘。</w:t>
            </w:r>
          </w:p>
          <w:p w14:paraId="29467D88">
            <w:pPr>
              <w:autoSpaceDE w:val="0"/>
              <w:autoSpaceDN w:val="0"/>
              <w:adjustRightInd w:val="0"/>
              <w:spacing w:line="360" w:lineRule="auto"/>
              <w:ind w:firstLine="480" w:firstLineChars="200"/>
              <w:jc w:val="left"/>
              <w:rPr>
                <w:rFonts w:ascii="Times New Roman" w:hAnsi="Times New Roman"/>
                <w:bCs/>
                <w:color w:val="auto"/>
                <w:szCs w:val="21"/>
              </w:rPr>
            </w:pPr>
            <w:r>
              <w:rPr>
                <w:rFonts w:ascii="Times New Roman" w:hAnsi="Times New Roman"/>
                <w:bCs/>
                <w:color w:val="auto"/>
                <w:szCs w:val="21"/>
              </w:rPr>
              <w:t>（2）废水：施工期废水主要为施工人员生活污水及施工场地废水。</w:t>
            </w:r>
          </w:p>
          <w:p w14:paraId="50C7463D">
            <w:pPr>
              <w:autoSpaceDE w:val="0"/>
              <w:autoSpaceDN w:val="0"/>
              <w:adjustRightInd w:val="0"/>
              <w:spacing w:line="360" w:lineRule="auto"/>
              <w:ind w:firstLine="480" w:firstLineChars="200"/>
              <w:jc w:val="left"/>
              <w:rPr>
                <w:rFonts w:ascii="Times New Roman" w:hAnsi="Times New Roman"/>
                <w:bCs/>
                <w:color w:val="auto"/>
                <w:szCs w:val="21"/>
              </w:rPr>
            </w:pPr>
            <w:r>
              <w:rPr>
                <w:rFonts w:ascii="Times New Roman" w:hAnsi="Times New Roman"/>
                <w:bCs/>
                <w:color w:val="auto"/>
                <w:szCs w:val="21"/>
              </w:rPr>
              <w:t>（3）噪声：施工期噪声主要为施工机械及运输车辆产生的噪声。</w:t>
            </w:r>
          </w:p>
          <w:p w14:paraId="0B72DA12">
            <w:pPr>
              <w:autoSpaceDE w:val="0"/>
              <w:autoSpaceDN w:val="0"/>
              <w:adjustRightInd w:val="0"/>
              <w:spacing w:line="360" w:lineRule="auto"/>
              <w:ind w:firstLine="480" w:firstLineChars="200"/>
              <w:jc w:val="left"/>
              <w:rPr>
                <w:rFonts w:ascii="Times New Roman" w:hAnsi="Times New Roman"/>
                <w:bCs/>
                <w:color w:val="auto"/>
                <w:szCs w:val="21"/>
              </w:rPr>
            </w:pPr>
            <w:r>
              <w:rPr>
                <w:rFonts w:ascii="Times New Roman" w:hAnsi="Times New Roman"/>
                <w:bCs/>
                <w:color w:val="auto"/>
                <w:szCs w:val="21"/>
              </w:rPr>
              <w:t>（4）固体废物：施工期固体废物为土石方开挖施工产生的土石方，车间、堆棚等建设装修过程中产生的建筑垃圾，施工人员产生的生活垃圾。</w:t>
            </w:r>
          </w:p>
          <w:p w14:paraId="3C36AABE">
            <w:pPr>
              <w:spacing w:line="360" w:lineRule="auto"/>
              <w:ind w:left="0" w:leftChars="0" w:firstLine="482" w:firstLineChars="200"/>
              <w:jc w:val="both"/>
              <w:rPr>
                <w:rFonts w:hint="eastAsia"/>
                <w:b/>
                <w:bCs/>
                <w:color w:val="auto"/>
                <w:highlight w:val="none"/>
                <w:lang w:val="en-US" w:eastAsia="zh-CN"/>
              </w:rPr>
            </w:pPr>
            <w:r>
              <w:rPr>
                <w:rFonts w:hint="eastAsia"/>
                <w:b/>
                <w:bCs/>
                <w:color w:val="auto"/>
                <w:highlight w:val="none"/>
                <w:lang w:val="en-US" w:eastAsia="zh-CN"/>
              </w:rPr>
              <w:t>2、运营期工艺流程及产污情况</w:t>
            </w:r>
          </w:p>
          <w:p w14:paraId="5FE8A6BF">
            <w:pPr>
              <w:tabs>
                <w:tab w:val="left" w:pos="2395"/>
              </w:tabs>
              <w:spacing w:line="360" w:lineRule="auto"/>
              <w:rPr>
                <w:rFonts w:hint="default" w:ascii="Times New Roman" w:hAnsi="Times New Roman" w:cs="Times New Roman"/>
                <w:b/>
                <w:bCs w:val="0"/>
                <w:color w:val="auto"/>
                <w:sz w:val="24"/>
                <w:lang w:bidi="ar"/>
              </w:rPr>
            </w:pPr>
            <w:r>
              <w:rPr>
                <w:rFonts w:hint="default" w:ascii="Times New Roman" w:hAnsi="Times New Roman" w:cs="Times New Roman"/>
                <w:b/>
                <w:bCs w:val="0"/>
                <w:color w:val="auto"/>
                <w:sz w:val="24"/>
                <w:lang w:bidi="ar"/>
              </w:rPr>
              <w:t>（1）</w:t>
            </w:r>
            <w:r>
              <w:rPr>
                <w:rFonts w:hint="default" w:ascii="Times New Roman" w:hAnsi="Times New Roman" w:cs="Times New Roman"/>
                <w:b/>
                <w:bCs w:val="0"/>
                <w:color w:val="auto"/>
                <w:sz w:val="24"/>
              </w:rPr>
              <w:t>生产工艺流程及产污节点</w:t>
            </w:r>
          </w:p>
          <w:p w14:paraId="65A3C50C">
            <w:pPr>
              <w:tabs>
                <w:tab w:val="left" w:pos="2395"/>
              </w:tabs>
              <w:spacing w:line="360" w:lineRule="auto"/>
              <w:ind w:firstLine="480"/>
              <w:rPr>
                <w:rFonts w:hint="eastAsia" w:ascii="Times New Roman" w:hAnsi="Times New Roman" w:eastAsia="宋体" w:cs="Times New Roman"/>
                <w:bCs/>
                <w:color w:val="auto"/>
                <w:sz w:val="24"/>
                <w:lang w:eastAsia="zh-CN" w:bidi="ar"/>
              </w:rPr>
            </w:pPr>
            <w:r>
              <w:rPr>
                <w:rFonts w:hint="default" w:ascii="Times New Roman" w:hAnsi="Times New Roman" w:cs="Times New Roman"/>
                <w:color w:val="auto"/>
                <w:sz w:val="24"/>
              </w:rPr>
              <w:t>项目</w:t>
            </w:r>
            <w:r>
              <w:rPr>
                <w:rFonts w:hint="eastAsia" w:cs="Times New Roman"/>
                <w:color w:val="auto"/>
                <w:sz w:val="24"/>
                <w:lang w:val="en-US" w:eastAsia="zh-CN"/>
              </w:rPr>
              <w:t>两条</w:t>
            </w:r>
            <w:r>
              <w:rPr>
                <w:rFonts w:hint="default" w:ascii="Times New Roman" w:hAnsi="Times New Roman" w:cs="Times New Roman"/>
                <w:color w:val="auto"/>
                <w:sz w:val="24"/>
              </w:rPr>
              <w:t>沥青混凝土生产线所有</w:t>
            </w:r>
            <w:r>
              <w:rPr>
                <w:rFonts w:hint="default" w:ascii="Times New Roman" w:hAnsi="Times New Roman" w:eastAsia="宋体" w:cs="Times New Roman"/>
                <w:color w:val="auto"/>
                <w:sz w:val="24"/>
              </w:rPr>
              <w:t>工序工艺流程</w:t>
            </w:r>
            <w:r>
              <w:rPr>
                <w:rFonts w:hint="eastAsia" w:ascii="Times New Roman" w:hAnsi="Times New Roman" w:eastAsia="宋体" w:cs="Times New Roman"/>
                <w:color w:val="auto"/>
                <w:sz w:val="24"/>
                <w:lang w:val="en-US" w:eastAsia="zh-CN"/>
              </w:rPr>
              <w:t>一致，</w:t>
            </w:r>
            <w:r>
              <w:rPr>
                <w:rFonts w:hint="default" w:ascii="Times New Roman" w:hAnsi="Times New Roman" w:eastAsia="宋体" w:cs="Times New Roman"/>
                <w:color w:val="auto"/>
                <w:sz w:val="24"/>
              </w:rPr>
              <w:t>均</w:t>
            </w:r>
            <w:r>
              <w:rPr>
                <w:rFonts w:hint="default" w:ascii="Times New Roman" w:hAnsi="Times New Roman" w:cs="Times New Roman"/>
                <w:color w:val="auto"/>
                <w:sz w:val="24"/>
              </w:rPr>
              <w:t>为物理过程，无化学反应。生产工艺流程描述如下</w:t>
            </w:r>
            <w:r>
              <w:rPr>
                <w:rFonts w:hint="eastAsia" w:ascii="Times New Roman" w:hAnsi="Times New Roman" w:cs="Times New Roman"/>
                <w:color w:val="auto"/>
                <w:sz w:val="24"/>
                <w:lang w:eastAsia="zh-CN"/>
              </w:rPr>
              <w:t>：</w:t>
            </w:r>
          </w:p>
          <w:p w14:paraId="6FBEBB8D">
            <w:pPr>
              <w:tabs>
                <w:tab w:val="left" w:pos="2395"/>
              </w:tabs>
              <w:spacing w:line="360" w:lineRule="auto"/>
              <w:ind w:firstLine="48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①原料的贮存</w:t>
            </w:r>
          </w:p>
          <w:p w14:paraId="0FAB1DF7">
            <w:pPr>
              <w:tabs>
                <w:tab w:val="left" w:pos="2395"/>
              </w:tabs>
              <w:spacing w:line="360" w:lineRule="auto"/>
              <w:ind w:firstLine="48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本项目设置3个沥青罐，沥青罐总容</w:t>
            </w:r>
            <w:r>
              <w:rPr>
                <w:rFonts w:hint="default" w:ascii="Times New Roman" w:hAnsi="Times New Roman" w:cs="Times New Roman"/>
                <w:bCs/>
                <w:color w:val="auto"/>
                <w:sz w:val="24"/>
                <w:szCs w:val="24"/>
                <w:lang w:bidi="ar"/>
              </w:rPr>
              <w:t>积</w:t>
            </w:r>
            <w:r>
              <w:rPr>
                <w:rFonts w:hint="eastAsia" w:cs="Times New Roman"/>
                <w:color w:val="auto"/>
                <w:sz w:val="24"/>
                <w:szCs w:val="24"/>
                <w:lang w:val="en-US" w:eastAsia="zh-CN"/>
              </w:rPr>
              <w:t>38</w:t>
            </w:r>
            <w:r>
              <w:rPr>
                <w:rFonts w:hint="eastAsia" w:ascii="Times New Roman" w:hAnsi="Times New Roman" w:eastAsia="宋体" w:cs="Times New Roman"/>
                <w:color w:val="auto"/>
                <w:sz w:val="24"/>
                <w:szCs w:val="24"/>
                <w:lang w:val="en-US" w:eastAsia="zh-CN"/>
              </w:rPr>
              <w:t>0m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cs="Times New Roman"/>
                <w:bCs/>
                <w:color w:val="auto"/>
                <w:sz w:val="24"/>
                <w:szCs w:val="24"/>
                <w:lang w:bidi="ar"/>
              </w:rPr>
              <w:t>，</w:t>
            </w:r>
            <w:r>
              <w:rPr>
                <w:rFonts w:hint="default" w:ascii="Times New Roman" w:hAnsi="Times New Roman" w:cs="Times New Roman"/>
                <w:bCs/>
                <w:color w:val="auto"/>
                <w:sz w:val="24"/>
                <w:lang w:bidi="ar"/>
              </w:rPr>
              <w:t>碎石和沙子在堆料棚进行堆存，堆料棚用三面围挡封闭，顶部设顶棚。沥青罐为密闭罐，地坪采取</w:t>
            </w:r>
            <w:r>
              <w:rPr>
                <w:rFonts w:hint="eastAsia" w:cs="Times New Roman"/>
                <w:bCs/>
                <w:color w:val="auto"/>
                <w:sz w:val="24"/>
                <w:lang w:val="en-US" w:eastAsia="zh-CN" w:bidi="ar"/>
              </w:rPr>
              <w:t>重点</w:t>
            </w:r>
            <w:r>
              <w:rPr>
                <w:rFonts w:hint="default" w:ascii="Times New Roman" w:hAnsi="Times New Roman" w:cs="Times New Roman"/>
                <w:bCs/>
                <w:color w:val="auto"/>
                <w:sz w:val="24"/>
                <w:lang w:bidi="ar"/>
              </w:rPr>
              <w:t>防渗，设置围堰。</w:t>
            </w:r>
          </w:p>
          <w:p w14:paraId="4F3C12F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lang w:bidi="ar"/>
              </w:rPr>
              <w:t>②冷料</w:t>
            </w:r>
            <w:r>
              <w:rPr>
                <w:rFonts w:hint="default" w:ascii="Times New Roman" w:hAnsi="Times New Roman" w:cs="Times New Roman"/>
                <w:color w:val="auto"/>
                <w:sz w:val="24"/>
              </w:rPr>
              <w:t>进料</w:t>
            </w:r>
          </w:p>
          <w:p w14:paraId="25E65E8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用装载机将不同规格的石料从堆料棚铲入生产区域对应的冷料仓内，石料通过电脑控制用密封的</w:t>
            </w:r>
            <w:r>
              <w:rPr>
                <w:rFonts w:hint="eastAsia" w:cs="Times New Roman"/>
                <w:color w:val="auto"/>
                <w:sz w:val="24"/>
                <w:lang w:val="en-US" w:eastAsia="zh-CN"/>
              </w:rPr>
              <w:t>皮带</w:t>
            </w:r>
            <w:r>
              <w:rPr>
                <w:rFonts w:hint="default" w:ascii="Times New Roman" w:hAnsi="Times New Roman" w:cs="Times New Roman"/>
                <w:color w:val="auto"/>
                <w:sz w:val="24"/>
              </w:rPr>
              <w:t>传送带送至干燥滚筒内进行干燥。</w:t>
            </w:r>
          </w:p>
          <w:p w14:paraId="238328B4">
            <w:pPr>
              <w:pStyle w:val="9"/>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干燥原理：干燥滚筒以逆流加热的方式（即物料和燃烧后的热烟气流向相反）将砂石料烘干加热到一定的温度。由于滚筒的转动，砂石料被筒内的叶片反复提升、落下，形成料帘，增强了换热效果，并且借助于滚筒的倾角，砂石料在加热的同时不断向前移动；从滚筒出口出来后由热骨料提升机提起，卸入到热骨料振动筛分机中。</w:t>
            </w:r>
          </w:p>
          <w:p w14:paraId="5A55B27B">
            <w:pPr>
              <w:pStyle w:val="9"/>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干燥滚筒的热源来自设备配套的燃烧器，采用</w:t>
            </w:r>
            <w:r>
              <w:rPr>
                <w:rFonts w:hint="eastAsia" w:cs="Times New Roman"/>
                <w:color w:val="auto"/>
                <w:sz w:val="24"/>
                <w:lang w:val="en-US" w:eastAsia="zh-CN"/>
              </w:rPr>
              <w:t>轻质</w:t>
            </w:r>
            <w:r>
              <w:rPr>
                <w:rFonts w:hint="eastAsia" w:ascii="Times New Roman" w:hAnsi="Times New Roman" w:cs="Times New Roman"/>
                <w:color w:val="auto"/>
                <w:sz w:val="24"/>
                <w:lang w:val="en-US" w:eastAsia="zh-CN"/>
              </w:rPr>
              <w:t>柴油</w:t>
            </w:r>
            <w:r>
              <w:rPr>
                <w:rFonts w:hint="default" w:ascii="Times New Roman" w:hAnsi="Times New Roman" w:cs="Times New Roman"/>
                <w:color w:val="auto"/>
                <w:sz w:val="24"/>
              </w:rPr>
              <w:t>作为燃料，物料干燥采用的是直接干燥，即物料和燃烧后的热烟气直接接触，控制系统自动调节燃烧器的火焰大小，从而控制物料干燥效果。</w:t>
            </w:r>
          </w:p>
          <w:p w14:paraId="45C8A68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干燥加热后的热料通过振动筛分机将热骨料筛分成若干种规格，分别流进相对应的热料储仓中存储。生产中按照设定的配比，不同规格的骨料按先小后大的次序分批投入计量仓内累加计量，送至拌合楼的搅拌机内。</w:t>
            </w:r>
            <w:r>
              <w:rPr>
                <w:rFonts w:hint="default" w:ascii="Times New Roman" w:hAnsi="Times New Roman" w:eastAsia="宋体" w:cs="Times New Roman"/>
                <w:color w:val="auto"/>
                <w:sz w:val="24"/>
              </w:rPr>
              <w:t>烘干滚筒</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筛分过程、热骨料仓粉尘及</w:t>
            </w:r>
            <w:r>
              <w:rPr>
                <w:rFonts w:hint="default" w:ascii="Times New Roman" w:hAnsi="Times New Roman" w:eastAsia="宋体" w:cs="Times New Roman"/>
                <w:color w:val="auto"/>
                <w:sz w:val="24"/>
              </w:rPr>
              <w:t>燃烧器废气</w:t>
            </w:r>
            <w:r>
              <w:rPr>
                <w:rFonts w:hint="default" w:ascii="Times New Roman" w:hAnsi="Times New Roman" w:cs="Times New Roman"/>
                <w:color w:val="auto"/>
                <w:sz w:val="24"/>
              </w:rPr>
              <w:t>进入</w:t>
            </w:r>
            <w:r>
              <w:rPr>
                <w:rFonts w:hint="eastAsia" w:ascii="Times New Roman" w:hAnsi="Times New Roman" w:cs="Times New Roman"/>
                <w:color w:val="auto"/>
                <w:sz w:val="24"/>
                <w:lang w:val="en-US" w:eastAsia="zh-CN"/>
              </w:rPr>
              <w:t>1套布袋除尘器</w:t>
            </w:r>
            <w:r>
              <w:rPr>
                <w:rFonts w:hint="eastAsia" w:cs="Times New Roman"/>
                <w:color w:val="auto"/>
                <w:sz w:val="24"/>
                <w:lang w:val="en-US" w:eastAsia="zh-CN"/>
              </w:rPr>
              <w:t>+二级活性炭</w:t>
            </w:r>
            <w:r>
              <w:rPr>
                <w:rFonts w:hint="eastAsia" w:ascii="Times New Roman" w:hAnsi="Times New Roman" w:cs="Times New Roman"/>
                <w:color w:val="auto"/>
                <w:sz w:val="24"/>
                <w:lang w:val="en-US" w:eastAsia="zh-CN"/>
              </w:rPr>
              <w:t>处理后经排气筒排放</w:t>
            </w:r>
            <w:r>
              <w:rPr>
                <w:rFonts w:hint="default" w:ascii="Times New Roman" w:hAnsi="Times New Roman" w:cs="Times New Roman"/>
                <w:color w:val="auto"/>
                <w:sz w:val="24"/>
              </w:rPr>
              <w:t>。</w:t>
            </w:r>
          </w:p>
          <w:p w14:paraId="6A5BA46C">
            <w:pPr>
              <w:pStyle w:val="9"/>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③沥青进料</w:t>
            </w:r>
          </w:p>
          <w:p w14:paraId="1ECD74D6">
            <w:pPr>
              <w:pStyle w:val="9"/>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沥青通过罐车卸入密闭沥青罐中，使用导热油炉，导热油炉使用</w:t>
            </w:r>
            <w:r>
              <w:rPr>
                <w:rFonts w:hint="eastAsia" w:cs="Times New Roman"/>
                <w:color w:val="auto"/>
                <w:sz w:val="24"/>
                <w:lang w:val="en-US" w:eastAsia="zh-CN"/>
              </w:rPr>
              <w:t>轻质柴油</w:t>
            </w:r>
            <w:r>
              <w:rPr>
                <w:rFonts w:hint="default" w:ascii="Times New Roman" w:hAnsi="Times New Roman" w:cs="Times New Roman"/>
                <w:color w:val="auto"/>
                <w:sz w:val="24"/>
              </w:rPr>
              <w:t>进行加热，将沥青加热至150~180℃，使用封闭的沥青泵送至沥青计量器，按一定的配合比分重量后通过密闭的输送管道送入拌合楼的搅拌机内。</w:t>
            </w:r>
          </w:p>
          <w:p w14:paraId="40165879">
            <w:pPr>
              <w:pStyle w:val="9"/>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沥青罐卸料和储存过程存在大小呼吸废气。</w:t>
            </w:r>
          </w:p>
          <w:p w14:paraId="1914AFD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搅拌：砂石、沙子、沥青经电脑准确计量后按照比例送入投料系统，由投料系统提升进入搅拌机，搅拌机（全密封）进行搅拌混合加工，在搅拌机下料口溢料口处设置收尘烟道，将搅拌机过程产生的沥青烟、苯并芘进入</w:t>
            </w:r>
            <w:r>
              <w:rPr>
                <w:rFonts w:hint="eastAsia" w:ascii="Times New Roman" w:hAnsi="Times New Roman" w:cs="Times New Roman"/>
                <w:color w:val="auto"/>
                <w:sz w:val="24"/>
                <w:lang w:val="en-US" w:eastAsia="zh-CN"/>
              </w:rPr>
              <w:t>1套布袋除尘器</w:t>
            </w:r>
            <w:r>
              <w:rPr>
                <w:rFonts w:hint="eastAsia" w:cs="Times New Roman"/>
                <w:color w:val="auto"/>
                <w:sz w:val="24"/>
                <w:lang w:val="en-US" w:eastAsia="zh-CN"/>
              </w:rPr>
              <w:t>+二级活性炭</w:t>
            </w:r>
            <w:r>
              <w:rPr>
                <w:rFonts w:hint="default" w:ascii="Times New Roman" w:hAnsi="Times New Roman" w:eastAsia="宋体" w:cs="Times New Roman"/>
                <w:color w:val="auto"/>
                <w:kern w:val="2"/>
                <w:sz w:val="24"/>
                <w:szCs w:val="22"/>
                <w:lang w:val="en-US" w:eastAsia="zh-CN" w:bidi="ar-SA"/>
              </w:rPr>
              <w:t>处理，后经排气筒排放。</w:t>
            </w:r>
            <w:r>
              <w:rPr>
                <w:rFonts w:hint="default" w:ascii="Times New Roman" w:hAnsi="Times New Roman" w:cs="Times New Roman"/>
                <w:color w:val="auto"/>
                <w:sz w:val="24"/>
              </w:rPr>
              <w:t>除尘器收集到的粉尘</w:t>
            </w:r>
            <w:r>
              <w:rPr>
                <w:rFonts w:hint="eastAsia" w:ascii="Times New Roman" w:hAnsi="Times New Roman" w:cs="Times New Roman"/>
                <w:color w:val="auto"/>
                <w:sz w:val="24"/>
                <w:lang w:val="en-US" w:eastAsia="zh-CN"/>
              </w:rPr>
              <w:t>收集后</w:t>
            </w:r>
            <w:r>
              <w:rPr>
                <w:rFonts w:hint="default" w:ascii="Times New Roman" w:hAnsi="Times New Roman" w:cs="Times New Roman"/>
                <w:color w:val="auto"/>
                <w:sz w:val="24"/>
              </w:rPr>
              <w:t>返回搅拌工序。搅拌产生的废料返回生产线重复利用。</w:t>
            </w:r>
          </w:p>
          <w:p w14:paraId="2AFC30A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⑤放料：搅拌完成的沥青混凝土通过放料口，卸料至运输车辆。</w:t>
            </w:r>
          </w:p>
          <w:p w14:paraId="6C154A8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⑥工艺特点说明</w:t>
            </w:r>
          </w:p>
          <w:p w14:paraId="7A52B87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计量控制系统依靠各个传感器检测到的信号，对物料配比、沥青含量、拌合料温等重要参数进行实时监控，从而确保所生产的拌合料质量能满足用户的使用要求。在整个工艺流程中电控系统还设有连锁保护装置，使设备免遭意外机械事故。</w:t>
            </w:r>
          </w:p>
          <w:p w14:paraId="07ACB2B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冷骨料通过皮带给料机的容积计量是预计量，经筛分的热骨料、粉料和热沥青的计量是精确计量。因为沥青混凝土生产线存在二次计量，能保证混合料的级配，骨料、粉料和沥青的配比精度比较高。目前骨料和粉料的静态计量精度不超过±0.5%，沥青的静态计量精度不超过±0.25%。由于是间歇式搅拌，改变混合料配合比也很方便，可以做到不停机更改或更换配比。</w:t>
            </w:r>
          </w:p>
          <w:p w14:paraId="6349A053">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本项目配料上料系统、输送装置、搅拌装置均进行密封。</w:t>
            </w:r>
          </w:p>
          <w:p w14:paraId="4605B305">
            <w:pPr>
              <w:keepNext w:val="0"/>
              <w:keepLines w:val="0"/>
              <w:pageBreakBefore w:val="0"/>
              <w:widowControl w:val="0"/>
              <w:kinsoku/>
              <w:wordWrap/>
              <w:overflowPunct/>
              <w:topLinePunct w:val="0"/>
              <w:autoSpaceDN/>
              <w:bidi w:val="0"/>
              <w:spacing w:line="360" w:lineRule="auto"/>
              <w:ind w:firstLine="480" w:firstLineChars="200"/>
              <w:jc w:val="left"/>
              <w:textAlignment w:val="auto"/>
              <w:outlineLvl w:val="0"/>
              <w:rPr>
                <w:rFonts w:hint="default" w:ascii="Times New Roman" w:hAnsi="Times New Roman" w:eastAsia="宋体" w:cs="Times New Roman"/>
                <w:b/>
                <w:bCs/>
                <w:color w:val="auto"/>
                <w:sz w:val="21"/>
                <w:szCs w:val="21"/>
              </w:rPr>
            </w:pPr>
            <w:r>
              <w:rPr>
                <w:rFonts w:hint="eastAsia" w:ascii="Times New Roman" w:hAnsi="Times New Roman" w:cs="Times New Roman"/>
                <w:bCs/>
                <w:color w:val="auto"/>
                <w:sz w:val="24"/>
                <w:lang w:val="en-US" w:eastAsia="zh-CN" w:bidi="ar"/>
              </w:rPr>
              <w:t>具体</w:t>
            </w:r>
            <w:r>
              <w:rPr>
                <w:rFonts w:hint="default" w:ascii="Times New Roman" w:hAnsi="Times New Roman" w:cs="Times New Roman"/>
                <w:bCs/>
                <w:color w:val="auto"/>
                <w:sz w:val="24"/>
                <w:lang w:bidi="ar"/>
              </w:rPr>
              <w:t>生产工艺及污染流程见图</w:t>
            </w:r>
            <w:r>
              <w:rPr>
                <w:rFonts w:hint="eastAsia" w:ascii="Times New Roman" w:hAnsi="Times New Roman" w:cs="Times New Roman"/>
                <w:bCs/>
                <w:color w:val="auto"/>
                <w:sz w:val="24"/>
                <w:lang w:val="en-US" w:eastAsia="zh-CN" w:bidi="ar"/>
              </w:rPr>
              <w:t>2-</w:t>
            </w:r>
            <w:r>
              <w:rPr>
                <w:rFonts w:hint="eastAsia" w:cs="Times New Roman"/>
                <w:bCs/>
                <w:color w:val="auto"/>
                <w:sz w:val="24"/>
                <w:lang w:val="en-US" w:eastAsia="zh-CN" w:bidi="ar"/>
              </w:rPr>
              <w:t>3</w:t>
            </w:r>
            <w:r>
              <w:rPr>
                <w:rFonts w:hint="default" w:ascii="Times New Roman" w:hAnsi="Times New Roman" w:cs="Times New Roman"/>
                <w:bCs/>
                <w:color w:val="auto"/>
                <w:sz w:val="24"/>
                <w:lang w:bidi="ar"/>
              </w:rPr>
              <w:t>。</w:t>
            </w:r>
            <w:r>
              <w:rPr>
                <w:rFonts w:hint="default" w:ascii="Times New Roman" w:hAnsi="Times New Roman" w:cs="Times New Roman"/>
                <w:bCs/>
                <w:color w:val="auto"/>
                <w:sz w:val="24"/>
                <w:lang w:bidi="ar"/>
              </w:rPr>
              <w:object>
                <v:shape id="_x0000_i1028" o:spt="75" type="#_x0000_t75" style="height:393.05pt;width:404.15pt;" o:ole="t" filled="f" o:preferrelative="t" stroked="f" coordsize="21600,21600">
                  <v:path/>
                  <v:fill on="f" focussize="0,0"/>
                  <v:stroke on="f"/>
                  <v:imagedata r:id="rId18" o:title=""/>
                  <o:lock v:ext="edit" aspectratio="f"/>
                  <w10:wrap type="none"/>
                  <w10:anchorlock/>
                </v:shape>
                <o:OLEObject Type="Embed" ProgID="Word.Document.8" ShapeID="_x0000_i1028" DrawAspect="Content" ObjectID="_1468075728" r:id="rId17">
                  <o:LockedField>false</o:LockedField>
                </o:OLEObject>
              </w:object>
            </w:r>
            <w:r>
              <w:rPr>
                <w:rFonts w:hint="eastAsia" w:ascii="Times New Roman" w:hAnsi="Times New Roman" w:cs="Times New Roman"/>
                <w:bCs/>
                <w:color w:val="auto"/>
                <w:sz w:val="24"/>
                <w:lang w:val="en-US" w:eastAsia="zh-CN" w:bidi="ar"/>
              </w:rPr>
              <w:t xml:space="preserve">                 </w:t>
            </w: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w:t>
            </w:r>
            <w:r>
              <w:rPr>
                <w:rFonts w:hint="eastAsia" w:cs="Times New Roman"/>
                <w:b/>
                <w:bCs/>
                <w:color w:val="auto"/>
                <w:sz w:val="21"/>
                <w:szCs w:val="21"/>
                <w:lang w:val="en-US" w:eastAsia="zh-CN"/>
              </w:rPr>
              <w:t xml:space="preserve"> 1#</w:t>
            </w:r>
            <w:r>
              <w:rPr>
                <w:rFonts w:hint="default" w:ascii="Times New Roman" w:hAnsi="Times New Roman" w:eastAsia="宋体" w:cs="Times New Roman"/>
                <w:b/>
                <w:bCs/>
                <w:color w:val="auto"/>
                <w:sz w:val="21"/>
                <w:szCs w:val="21"/>
              </w:rPr>
              <w:t>沥青混凝土生产工艺流程</w:t>
            </w:r>
            <w:r>
              <w:rPr>
                <w:rFonts w:hint="default" w:ascii="Times New Roman" w:hAnsi="Times New Roman" w:cs="Times New Roman"/>
                <w:bCs/>
                <w:color w:val="auto"/>
                <w:sz w:val="24"/>
                <w:lang w:bidi="ar"/>
              </w:rPr>
              <w:object>
                <v:shape id="_x0000_i1029" o:spt="75" type="#_x0000_t75" style="height:516.95pt;width:393.65pt;" o:ole="t" filled="f" o:preferrelative="t" stroked="f" coordsize="21600,21600">
                  <v:path/>
                  <v:fill on="f" focussize="0,0"/>
                  <v:stroke on="f"/>
                  <v:imagedata r:id="rId20" o:title=""/>
                  <o:lock v:ext="edit" aspectratio="f"/>
                  <w10:wrap type="none"/>
                  <w10:anchorlock/>
                </v:shape>
                <o:OLEObject Type="Embed" ProgID="Word.Document.8" ShapeID="_x0000_i1029" DrawAspect="Content" ObjectID="_1468075729" r:id="rId19">
                  <o:LockedField>false</o:LockedField>
                </o:OLEObject>
              </w:object>
            </w:r>
            <w:r>
              <w:rPr>
                <w:rFonts w:hint="eastAsia" w:cs="Times New Roman"/>
                <w:bCs/>
                <w:color w:val="auto"/>
                <w:sz w:val="24"/>
                <w:lang w:val="en-US" w:eastAsia="zh-CN" w:bidi="ar"/>
              </w:rPr>
              <w:t xml:space="preserve">            </w:t>
            </w: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w:t>
            </w:r>
            <w:r>
              <w:rPr>
                <w:rFonts w:hint="eastAsia"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沥青混凝土生产工艺</w:t>
            </w:r>
            <w:r>
              <w:rPr>
                <w:rFonts w:hint="eastAsia" w:ascii="Times New Roman" w:hAnsi="Times New Roman" w:eastAsia="宋体" w:cs="Times New Roman"/>
                <w:b/>
                <w:bCs/>
                <w:color w:val="auto"/>
                <w:sz w:val="21"/>
                <w:szCs w:val="21"/>
                <w:lang w:val="en-US" w:eastAsia="zh-CN"/>
              </w:rPr>
              <w:t>及其他工艺</w:t>
            </w:r>
            <w:r>
              <w:rPr>
                <w:rFonts w:hint="default" w:ascii="Times New Roman" w:hAnsi="Times New Roman" w:eastAsia="宋体" w:cs="Times New Roman"/>
                <w:b/>
                <w:bCs/>
                <w:color w:val="auto"/>
                <w:sz w:val="21"/>
                <w:szCs w:val="21"/>
              </w:rPr>
              <w:t>流程</w:t>
            </w:r>
          </w:p>
          <w:p w14:paraId="0A09593E">
            <w:pPr>
              <w:tabs>
                <w:tab w:val="left" w:pos="2395"/>
              </w:tabs>
              <w:spacing w:line="360" w:lineRule="auto"/>
              <w:rPr>
                <w:rFonts w:hint="default" w:ascii="Times New Roman" w:hAnsi="Times New Roman" w:eastAsia="宋体" w:cs="Times New Roman"/>
                <w:b/>
                <w:bCs w:val="0"/>
                <w:color w:val="auto"/>
                <w:sz w:val="24"/>
                <w:lang w:bidi="ar"/>
              </w:rPr>
            </w:pPr>
            <w:r>
              <w:rPr>
                <w:rFonts w:hint="default" w:ascii="Times New Roman" w:hAnsi="Times New Roman" w:eastAsia="宋体" w:cs="Times New Roman"/>
                <w:b/>
                <w:bCs w:val="0"/>
                <w:color w:val="auto"/>
                <w:sz w:val="24"/>
                <w:lang w:bidi="ar"/>
              </w:rPr>
              <w:t>（2）产污情况汇总</w:t>
            </w:r>
          </w:p>
          <w:p w14:paraId="4BB8B552">
            <w:pPr>
              <w:keepNext w:val="0"/>
              <w:keepLines w:val="0"/>
              <w:pageBreakBefore w:val="0"/>
              <w:widowControl w:val="0"/>
              <w:kinsoku/>
              <w:wordWrap/>
              <w:overflowPunct/>
              <w:topLinePunct w:val="0"/>
              <w:autoSpaceDN/>
              <w:bidi w:val="0"/>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表</w:t>
            </w:r>
            <w:r>
              <w:rPr>
                <w:rFonts w:hint="eastAsia" w:ascii="Times New Roman" w:hAnsi="Times New Roman" w:cs="Times New Roman"/>
                <w:b/>
                <w:color w:val="auto"/>
                <w:sz w:val="21"/>
                <w:szCs w:val="21"/>
                <w:lang w:val="en-US" w:eastAsia="zh-CN" w:bidi="ar"/>
              </w:rPr>
              <w:t>2-</w:t>
            </w:r>
            <w:r>
              <w:rPr>
                <w:rFonts w:hint="eastAsia" w:cs="Times New Roman"/>
                <w:b/>
                <w:bCs/>
                <w:color w:val="auto"/>
                <w:sz w:val="21"/>
                <w:szCs w:val="21"/>
                <w:highlight w:val="none"/>
                <w:lang w:val="en-US" w:eastAsia="zh-CN"/>
              </w:rPr>
              <w:t>10</w:t>
            </w:r>
            <w:r>
              <w:rPr>
                <w:rFonts w:hint="default" w:ascii="Times New Roman" w:hAnsi="Times New Roman" w:cs="Times New Roman"/>
                <w:b/>
                <w:color w:val="auto"/>
                <w:sz w:val="21"/>
                <w:szCs w:val="21"/>
                <w:lang w:bidi="ar"/>
              </w:rPr>
              <w:t xml:space="preserve"> 运行期污染物一览表</w:t>
            </w:r>
          </w:p>
          <w:tbl>
            <w:tblPr>
              <w:tblStyle w:val="2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963"/>
              <w:gridCol w:w="1513"/>
              <w:gridCol w:w="1726"/>
              <w:gridCol w:w="1360"/>
              <w:gridCol w:w="1360"/>
            </w:tblGrid>
            <w:tr w14:paraId="72D1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tcBorders>
                    <w:top w:val="single" w:color="auto" w:sz="4" w:space="0"/>
                    <w:left w:val="single" w:color="auto" w:sz="4" w:space="0"/>
                    <w:bottom w:val="single" w:color="auto" w:sz="4" w:space="0"/>
                    <w:right w:val="single" w:color="auto" w:sz="4" w:space="0"/>
                  </w:tcBorders>
                  <w:noWrap w:val="0"/>
                  <w:vAlign w:val="center"/>
                </w:tcPr>
                <w:p w14:paraId="3EA30F3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污染物种类</w:t>
                  </w:r>
                </w:p>
              </w:tc>
              <w:tc>
                <w:tcPr>
                  <w:tcW w:w="614" w:type="pct"/>
                  <w:tcBorders>
                    <w:top w:val="single" w:color="auto" w:sz="4" w:space="0"/>
                    <w:left w:val="nil"/>
                    <w:bottom w:val="single" w:color="auto" w:sz="4" w:space="0"/>
                    <w:right w:val="single" w:color="auto" w:sz="4" w:space="0"/>
                  </w:tcBorders>
                  <w:noWrap w:val="0"/>
                  <w:vAlign w:val="center"/>
                </w:tcPr>
                <w:p w14:paraId="5BB7005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污染源代码</w:t>
                  </w:r>
                </w:p>
              </w:tc>
              <w:tc>
                <w:tcPr>
                  <w:tcW w:w="964" w:type="pct"/>
                  <w:tcBorders>
                    <w:top w:val="single" w:color="auto" w:sz="4" w:space="0"/>
                    <w:left w:val="nil"/>
                    <w:bottom w:val="single" w:color="auto" w:sz="4" w:space="0"/>
                    <w:right w:val="single" w:color="auto" w:sz="4" w:space="0"/>
                  </w:tcBorders>
                  <w:noWrap w:val="0"/>
                  <w:vAlign w:val="center"/>
                </w:tcPr>
                <w:p w14:paraId="0DDF8CF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污染源</w:t>
                  </w:r>
                </w:p>
              </w:tc>
              <w:tc>
                <w:tcPr>
                  <w:tcW w:w="1100" w:type="pct"/>
                  <w:tcBorders>
                    <w:top w:val="single" w:color="auto" w:sz="4" w:space="0"/>
                    <w:left w:val="nil"/>
                    <w:bottom w:val="single" w:color="auto" w:sz="4" w:space="0"/>
                    <w:right w:val="single" w:color="auto" w:sz="4" w:space="0"/>
                  </w:tcBorders>
                  <w:noWrap w:val="0"/>
                  <w:vAlign w:val="center"/>
                </w:tcPr>
                <w:p w14:paraId="4CF23F3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污染物产生环节</w:t>
                  </w:r>
                </w:p>
              </w:tc>
              <w:tc>
                <w:tcPr>
                  <w:tcW w:w="867" w:type="pct"/>
                  <w:tcBorders>
                    <w:top w:val="single" w:color="auto" w:sz="4" w:space="0"/>
                    <w:left w:val="nil"/>
                    <w:bottom w:val="single" w:color="auto" w:sz="4" w:space="0"/>
                    <w:right w:val="single" w:color="auto" w:sz="4" w:space="0"/>
                  </w:tcBorders>
                  <w:noWrap w:val="0"/>
                  <w:vAlign w:val="center"/>
                </w:tcPr>
                <w:p w14:paraId="2644E72A">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bidi="ar"/>
                    </w:rPr>
                    <w:t>污染因子</w:t>
                  </w:r>
                </w:p>
              </w:tc>
              <w:tc>
                <w:tcPr>
                  <w:tcW w:w="867" w:type="pct"/>
                  <w:tcBorders>
                    <w:top w:val="single" w:color="auto" w:sz="4" w:space="0"/>
                    <w:left w:val="nil"/>
                    <w:bottom w:val="single" w:color="auto" w:sz="4" w:space="0"/>
                    <w:right w:val="single" w:color="auto" w:sz="4" w:space="0"/>
                  </w:tcBorders>
                  <w:noWrap w:val="0"/>
                  <w:vAlign w:val="center"/>
                </w:tcPr>
                <w:p w14:paraId="44EF943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备注</w:t>
                  </w:r>
                </w:p>
              </w:tc>
            </w:tr>
            <w:tr w14:paraId="797C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585" w:type="pct"/>
                  <w:vMerge w:val="restart"/>
                  <w:tcBorders>
                    <w:top w:val="nil"/>
                    <w:left w:val="single" w:color="auto" w:sz="4" w:space="0"/>
                    <w:right w:val="single" w:color="auto" w:sz="4" w:space="0"/>
                  </w:tcBorders>
                  <w:noWrap w:val="0"/>
                  <w:vAlign w:val="center"/>
                </w:tcPr>
                <w:p w14:paraId="449BB384">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废气</w:t>
                  </w:r>
                </w:p>
              </w:tc>
              <w:tc>
                <w:tcPr>
                  <w:tcW w:w="614" w:type="pct"/>
                  <w:tcBorders>
                    <w:top w:val="single" w:color="auto" w:sz="4" w:space="0"/>
                    <w:left w:val="nil"/>
                    <w:right w:val="single" w:color="auto" w:sz="4" w:space="0"/>
                  </w:tcBorders>
                  <w:noWrap w:val="0"/>
                  <w:vAlign w:val="center"/>
                </w:tcPr>
                <w:p w14:paraId="72B9394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G1</w:t>
                  </w:r>
                </w:p>
              </w:tc>
              <w:tc>
                <w:tcPr>
                  <w:tcW w:w="964" w:type="pct"/>
                  <w:tcBorders>
                    <w:top w:val="single" w:color="auto" w:sz="4" w:space="0"/>
                    <w:left w:val="nil"/>
                    <w:right w:val="single" w:color="auto" w:sz="4" w:space="0"/>
                  </w:tcBorders>
                  <w:noWrap w:val="0"/>
                  <w:vAlign w:val="center"/>
                </w:tcPr>
                <w:p w14:paraId="75B7F58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上料粉尘</w:t>
                  </w:r>
                </w:p>
              </w:tc>
              <w:tc>
                <w:tcPr>
                  <w:tcW w:w="1100" w:type="pct"/>
                  <w:tcBorders>
                    <w:top w:val="single" w:color="auto" w:sz="4" w:space="0"/>
                    <w:left w:val="nil"/>
                    <w:right w:val="single" w:color="auto" w:sz="4" w:space="0"/>
                  </w:tcBorders>
                  <w:noWrap w:val="0"/>
                  <w:vAlign w:val="center"/>
                </w:tcPr>
                <w:p w14:paraId="037275D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冷料仓</w:t>
                  </w:r>
                </w:p>
              </w:tc>
              <w:tc>
                <w:tcPr>
                  <w:tcW w:w="867" w:type="pct"/>
                  <w:tcBorders>
                    <w:top w:val="single" w:color="auto" w:sz="4" w:space="0"/>
                    <w:left w:val="nil"/>
                    <w:bottom w:val="single" w:color="auto" w:sz="4" w:space="0"/>
                    <w:right w:val="single" w:color="auto" w:sz="4" w:space="0"/>
                  </w:tcBorders>
                  <w:noWrap w:val="0"/>
                  <w:vAlign w:val="center"/>
                </w:tcPr>
                <w:p w14:paraId="2C741F0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eastAsia="zh-CN" w:bidi="ar"/>
                    </w:rPr>
                    <w:t>颗粒物</w:t>
                  </w:r>
                </w:p>
              </w:tc>
              <w:tc>
                <w:tcPr>
                  <w:tcW w:w="867" w:type="pct"/>
                  <w:tcBorders>
                    <w:top w:val="single" w:color="auto" w:sz="4" w:space="0"/>
                    <w:left w:val="nil"/>
                    <w:right w:val="single" w:color="auto" w:sz="4" w:space="0"/>
                  </w:tcBorders>
                  <w:noWrap w:val="0"/>
                  <w:vAlign w:val="center"/>
                </w:tcPr>
                <w:p w14:paraId="5E13060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eastAsia" w:ascii="Times New Roman" w:hAnsi="Times New Roman"/>
                      <w:color w:val="auto"/>
                      <w:sz w:val="21"/>
                      <w:szCs w:val="21"/>
                      <w:lang w:val="en-US" w:eastAsia="zh-CN"/>
                    </w:rPr>
                    <w:t>DA001</w:t>
                  </w:r>
                </w:p>
              </w:tc>
            </w:tr>
            <w:tr w14:paraId="4CE7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tcBorders>
                    <w:left w:val="single" w:color="auto" w:sz="4" w:space="0"/>
                    <w:right w:val="single" w:color="auto" w:sz="4" w:space="0"/>
                  </w:tcBorders>
                  <w:noWrap w:val="0"/>
                  <w:vAlign w:val="center"/>
                </w:tcPr>
                <w:p w14:paraId="1D5D33B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c>
                <w:tcPr>
                  <w:tcW w:w="614" w:type="pct"/>
                  <w:tcBorders>
                    <w:top w:val="single" w:color="auto" w:sz="4" w:space="0"/>
                    <w:left w:val="nil"/>
                    <w:bottom w:val="single" w:color="auto" w:sz="4" w:space="0"/>
                    <w:right w:val="single" w:color="auto" w:sz="4" w:space="0"/>
                  </w:tcBorders>
                  <w:noWrap w:val="0"/>
                  <w:vAlign w:val="center"/>
                </w:tcPr>
                <w:p w14:paraId="3FFFC83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2</w:t>
                  </w:r>
                </w:p>
              </w:tc>
              <w:tc>
                <w:tcPr>
                  <w:tcW w:w="964" w:type="pct"/>
                  <w:tcBorders>
                    <w:top w:val="single" w:color="auto" w:sz="4" w:space="0"/>
                    <w:left w:val="nil"/>
                    <w:bottom w:val="single" w:color="auto" w:sz="4" w:space="0"/>
                    <w:right w:val="single" w:color="auto" w:sz="4" w:space="0"/>
                  </w:tcBorders>
                  <w:noWrap w:val="0"/>
                  <w:vAlign w:val="center"/>
                </w:tcPr>
                <w:p w14:paraId="60F47A0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cs="Times New Roman"/>
                      <w:color w:val="auto"/>
                      <w:sz w:val="21"/>
                      <w:szCs w:val="21"/>
                      <w:lang w:bidi="ar"/>
                    </w:rPr>
                    <w:t>烘干滚筒</w:t>
                  </w:r>
                  <w:r>
                    <w:rPr>
                      <w:rFonts w:hint="eastAsia" w:cs="Times New Roman"/>
                      <w:color w:val="auto"/>
                      <w:sz w:val="21"/>
                      <w:szCs w:val="21"/>
                      <w:lang w:eastAsia="zh-CN" w:bidi="ar"/>
                    </w:rPr>
                    <w:t>、</w:t>
                  </w:r>
                  <w:r>
                    <w:rPr>
                      <w:rFonts w:hint="eastAsia" w:cs="Times New Roman"/>
                      <w:color w:val="auto"/>
                      <w:sz w:val="21"/>
                      <w:szCs w:val="21"/>
                      <w:lang w:val="en-US" w:eastAsia="zh-CN" w:bidi="ar"/>
                    </w:rPr>
                    <w:t>筛分过程、热骨料仓粉尘</w:t>
                  </w:r>
                  <w:r>
                    <w:rPr>
                      <w:rFonts w:hint="eastAsia" w:ascii="Times New Roman" w:hAnsi="Times New Roman" w:cs="Times New Roman"/>
                      <w:color w:val="auto"/>
                      <w:sz w:val="21"/>
                      <w:szCs w:val="21"/>
                      <w:lang w:val="en-US" w:eastAsia="zh-CN" w:bidi="ar"/>
                    </w:rPr>
                    <w:t>及</w:t>
                  </w:r>
                  <w:r>
                    <w:rPr>
                      <w:rFonts w:hint="default" w:ascii="Times New Roman" w:hAnsi="Times New Roman" w:cs="Times New Roman"/>
                      <w:color w:val="auto"/>
                      <w:sz w:val="21"/>
                      <w:szCs w:val="21"/>
                      <w:lang w:bidi="ar"/>
                    </w:rPr>
                    <w:t>燃烧器废气</w:t>
                  </w:r>
                </w:p>
              </w:tc>
              <w:tc>
                <w:tcPr>
                  <w:tcW w:w="1100" w:type="pct"/>
                  <w:tcBorders>
                    <w:top w:val="single" w:color="auto" w:sz="4" w:space="0"/>
                    <w:left w:val="nil"/>
                    <w:bottom w:val="single" w:color="auto" w:sz="4" w:space="0"/>
                    <w:right w:val="single" w:color="auto" w:sz="4" w:space="0"/>
                  </w:tcBorders>
                  <w:noWrap w:val="0"/>
                  <w:vAlign w:val="center"/>
                </w:tcPr>
                <w:p w14:paraId="7DCD5F5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烘干滚筒</w:t>
                  </w:r>
                  <w:r>
                    <w:rPr>
                      <w:rFonts w:hint="eastAsia" w:cs="Times New Roman"/>
                      <w:color w:val="auto"/>
                      <w:sz w:val="21"/>
                      <w:szCs w:val="21"/>
                      <w:lang w:val="en-US" w:eastAsia="zh-CN"/>
                    </w:rPr>
                    <w:t>、筛分过程、热骨料仓和</w:t>
                  </w:r>
                  <w:r>
                    <w:rPr>
                      <w:rFonts w:hint="eastAsia" w:ascii="Times New Roman" w:hAnsi="Times New Roman" w:cs="Times New Roman"/>
                      <w:color w:val="auto"/>
                      <w:sz w:val="21"/>
                      <w:szCs w:val="21"/>
                      <w:lang w:val="en-US" w:eastAsia="zh-CN"/>
                    </w:rPr>
                    <w:t>燃烧器</w:t>
                  </w:r>
                </w:p>
              </w:tc>
              <w:tc>
                <w:tcPr>
                  <w:tcW w:w="867" w:type="pct"/>
                  <w:tcBorders>
                    <w:top w:val="single" w:color="auto" w:sz="4" w:space="0"/>
                    <w:left w:val="nil"/>
                    <w:bottom w:val="single" w:color="auto" w:sz="4" w:space="0"/>
                    <w:right w:val="single" w:color="auto" w:sz="4" w:space="0"/>
                  </w:tcBorders>
                  <w:noWrap w:val="0"/>
                  <w:vAlign w:val="center"/>
                </w:tcPr>
                <w:p w14:paraId="1D27DCB4">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SO</w:t>
                  </w:r>
                  <w:r>
                    <w:rPr>
                      <w:rFonts w:hint="default" w:ascii="Times New Roman" w:hAnsi="Times New Roman" w:cs="Times New Roman"/>
                      <w:color w:val="auto"/>
                      <w:sz w:val="21"/>
                      <w:szCs w:val="21"/>
                      <w:vertAlign w:val="subscript"/>
                      <w:lang w:bidi="ar"/>
                    </w:rPr>
                    <w:t>2</w:t>
                  </w:r>
                  <w:r>
                    <w:rPr>
                      <w:rFonts w:hint="default" w:ascii="Times New Roman" w:hAnsi="Times New Roman" w:cs="Times New Roman"/>
                      <w:color w:val="auto"/>
                      <w:sz w:val="21"/>
                      <w:szCs w:val="21"/>
                      <w:lang w:bidi="ar"/>
                    </w:rPr>
                    <w:t>、NO</w:t>
                  </w:r>
                  <w:r>
                    <w:rPr>
                      <w:rFonts w:hint="default" w:ascii="Times New Roman" w:hAnsi="Times New Roman" w:cs="Times New Roman"/>
                      <w:color w:val="auto"/>
                      <w:sz w:val="21"/>
                      <w:szCs w:val="21"/>
                      <w:vertAlign w:val="subscript"/>
                      <w:lang w:bidi="ar"/>
                    </w:rPr>
                    <w:t>X</w:t>
                  </w:r>
                  <w:r>
                    <w:rPr>
                      <w:rFonts w:hint="default" w:ascii="Times New Roman" w:hAnsi="Times New Roman" w:cs="Times New Roman"/>
                      <w:color w:val="auto"/>
                      <w:sz w:val="21"/>
                      <w:szCs w:val="21"/>
                      <w:lang w:bidi="ar"/>
                    </w:rPr>
                    <w:t>、</w:t>
                  </w:r>
                  <w:r>
                    <w:rPr>
                      <w:rFonts w:hint="eastAsia" w:cs="Times New Roman"/>
                      <w:color w:val="auto"/>
                      <w:sz w:val="21"/>
                      <w:szCs w:val="21"/>
                      <w:lang w:eastAsia="zh-CN" w:bidi="ar"/>
                    </w:rPr>
                    <w:t>颗粒物</w:t>
                  </w:r>
                </w:p>
              </w:tc>
              <w:tc>
                <w:tcPr>
                  <w:tcW w:w="867" w:type="pct"/>
                  <w:vMerge w:val="restart"/>
                  <w:tcBorders>
                    <w:top w:val="single" w:color="auto" w:sz="4" w:space="0"/>
                    <w:left w:val="nil"/>
                    <w:right w:val="single" w:color="auto" w:sz="4" w:space="0"/>
                  </w:tcBorders>
                  <w:noWrap w:val="0"/>
                  <w:vAlign w:val="center"/>
                </w:tcPr>
                <w:p w14:paraId="3FAA437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eastAsia" w:ascii="Times New Roman" w:hAnsi="Times New Roman"/>
                      <w:color w:val="auto"/>
                      <w:sz w:val="21"/>
                      <w:szCs w:val="21"/>
                      <w:lang w:val="en-US" w:eastAsia="zh-CN"/>
                    </w:rPr>
                    <w:t>DA002</w:t>
                  </w:r>
                </w:p>
              </w:tc>
            </w:tr>
            <w:tr w14:paraId="039C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tcBorders>
                    <w:left w:val="single" w:color="auto" w:sz="4" w:space="0"/>
                    <w:right w:val="single" w:color="auto" w:sz="4" w:space="0"/>
                  </w:tcBorders>
                  <w:noWrap w:val="0"/>
                  <w:vAlign w:val="center"/>
                </w:tcPr>
                <w:p w14:paraId="2342D31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c>
                <w:tcPr>
                  <w:tcW w:w="614" w:type="pct"/>
                  <w:tcBorders>
                    <w:top w:val="single" w:color="auto" w:sz="4" w:space="0"/>
                    <w:left w:val="nil"/>
                    <w:bottom w:val="single" w:color="auto" w:sz="4" w:space="0"/>
                    <w:right w:val="single" w:color="auto" w:sz="4" w:space="0"/>
                  </w:tcBorders>
                  <w:noWrap w:val="0"/>
                  <w:vAlign w:val="center"/>
                </w:tcPr>
                <w:p w14:paraId="2F6BAA1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3</w:t>
                  </w:r>
                </w:p>
              </w:tc>
              <w:tc>
                <w:tcPr>
                  <w:tcW w:w="964" w:type="pct"/>
                  <w:tcBorders>
                    <w:top w:val="single" w:color="auto" w:sz="4" w:space="0"/>
                    <w:left w:val="nil"/>
                    <w:bottom w:val="single" w:color="auto" w:sz="4" w:space="0"/>
                    <w:right w:val="single" w:color="auto" w:sz="4" w:space="0"/>
                  </w:tcBorders>
                  <w:noWrap w:val="0"/>
                  <w:vAlign w:val="center"/>
                </w:tcPr>
                <w:p w14:paraId="26EC9E2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沥青储罐加热废气</w:t>
                  </w:r>
                </w:p>
              </w:tc>
              <w:tc>
                <w:tcPr>
                  <w:tcW w:w="1100" w:type="pct"/>
                  <w:tcBorders>
                    <w:top w:val="single" w:color="auto" w:sz="4" w:space="0"/>
                    <w:left w:val="nil"/>
                    <w:bottom w:val="single" w:color="auto" w:sz="4" w:space="0"/>
                    <w:right w:val="single" w:color="auto" w:sz="4" w:space="0"/>
                  </w:tcBorders>
                  <w:noWrap w:val="0"/>
                  <w:vAlign w:val="center"/>
                </w:tcPr>
                <w:p w14:paraId="60F4CA8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1#、2#</w:t>
                  </w:r>
                  <w:r>
                    <w:rPr>
                      <w:rFonts w:hint="eastAsia" w:ascii="Times New Roman" w:hAnsi="Times New Roman" w:cs="Times New Roman"/>
                      <w:color w:val="auto"/>
                      <w:sz w:val="21"/>
                      <w:szCs w:val="21"/>
                      <w:lang w:val="en-US" w:eastAsia="zh-CN"/>
                    </w:rPr>
                    <w:t>沥青储罐</w:t>
                  </w:r>
                </w:p>
              </w:tc>
              <w:tc>
                <w:tcPr>
                  <w:tcW w:w="867" w:type="pct"/>
                  <w:tcBorders>
                    <w:top w:val="single" w:color="auto" w:sz="4" w:space="0"/>
                    <w:left w:val="nil"/>
                    <w:bottom w:val="single" w:color="auto" w:sz="4" w:space="0"/>
                    <w:right w:val="single" w:color="auto" w:sz="4" w:space="0"/>
                  </w:tcBorders>
                  <w:noWrap w:val="0"/>
                  <w:vAlign w:val="center"/>
                </w:tcPr>
                <w:p w14:paraId="59ADF00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沥青烟、苯并芘</w:t>
                  </w:r>
                </w:p>
              </w:tc>
              <w:tc>
                <w:tcPr>
                  <w:tcW w:w="867" w:type="pct"/>
                  <w:vMerge w:val="continue"/>
                  <w:tcBorders>
                    <w:left w:val="nil"/>
                    <w:right w:val="single" w:color="auto" w:sz="4" w:space="0"/>
                  </w:tcBorders>
                  <w:noWrap w:val="0"/>
                  <w:vAlign w:val="center"/>
                </w:tcPr>
                <w:p w14:paraId="214F111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r>
            <w:tr w14:paraId="694A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85" w:type="pct"/>
                  <w:vMerge w:val="continue"/>
                  <w:tcBorders>
                    <w:left w:val="single" w:color="auto" w:sz="4" w:space="0"/>
                    <w:right w:val="single" w:color="auto" w:sz="4" w:space="0"/>
                  </w:tcBorders>
                  <w:noWrap w:val="0"/>
                  <w:vAlign w:val="center"/>
                </w:tcPr>
                <w:p w14:paraId="58E3979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50A093D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4</w:t>
                  </w:r>
                </w:p>
              </w:tc>
              <w:tc>
                <w:tcPr>
                  <w:tcW w:w="964" w:type="pct"/>
                  <w:tcBorders>
                    <w:top w:val="single" w:color="auto" w:sz="4" w:space="0"/>
                    <w:left w:val="nil"/>
                    <w:bottom w:val="single" w:color="auto" w:sz="4" w:space="0"/>
                    <w:right w:val="single" w:color="auto" w:sz="4" w:space="0"/>
                  </w:tcBorders>
                  <w:noWrap w:val="0"/>
                  <w:vAlign w:val="center"/>
                </w:tcPr>
                <w:p w14:paraId="3BCF63C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沥青搅拌</w:t>
                  </w:r>
                  <w:r>
                    <w:rPr>
                      <w:rFonts w:hint="eastAsia" w:ascii="Times New Roman" w:hAnsi="Times New Roman" w:cs="Times New Roman"/>
                      <w:color w:val="auto"/>
                      <w:sz w:val="21"/>
                      <w:szCs w:val="21"/>
                      <w:lang w:val="en-US" w:eastAsia="zh-CN"/>
                    </w:rPr>
                    <w:t>废气</w:t>
                  </w:r>
                </w:p>
              </w:tc>
              <w:tc>
                <w:tcPr>
                  <w:tcW w:w="1100" w:type="pct"/>
                  <w:tcBorders>
                    <w:top w:val="single" w:color="auto" w:sz="4" w:space="0"/>
                    <w:left w:val="nil"/>
                    <w:bottom w:val="single" w:color="auto" w:sz="4" w:space="0"/>
                    <w:right w:val="single" w:color="auto" w:sz="4" w:space="0"/>
                  </w:tcBorders>
                  <w:noWrap w:val="0"/>
                  <w:vAlign w:val="center"/>
                </w:tcPr>
                <w:p w14:paraId="7AC8DAFA">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沥青搅拌</w:t>
                  </w:r>
                </w:p>
              </w:tc>
              <w:tc>
                <w:tcPr>
                  <w:tcW w:w="867" w:type="pct"/>
                  <w:tcBorders>
                    <w:top w:val="single" w:color="auto" w:sz="4" w:space="0"/>
                    <w:left w:val="nil"/>
                    <w:bottom w:val="single" w:color="auto" w:sz="4" w:space="0"/>
                    <w:right w:val="single" w:color="auto" w:sz="4" w:space="0"/>
                  </w:tcBorders>
                  <w:noWrap w:val="0"/>
                  <w:vAlign w:val="center"/>
                </w:tcPr>
                <w:p w14:paraId="54C1463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bidi="ar"/>
                    </w:rPr>
                    <w:t>沥青烟、苯并芘</w:t>
                  </w:r>
                </w:p>
              </w:tc>
              <w:tc>
                <w:tcPr>
                  <w:tcW w:w="867" w:type="pct"/>
                  <w:vMerge w:val="continue"/>
                  <w:tcBorders>
                    <w:left w:val="nil"/>
                    <w:right w:val="single" w:color="auto" w:sz="4" w:space="0"/>
                  </w:tcBorders>
                  <w:noWrap w:val="0"/>
                  <w:vAlign w:val="center"/>
                </w:tcPr>
                <w:p w14:paraId="5A5C6C7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r>
            <w:tr w14:paraId="1C6C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0C5558F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3520B6E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5</w:t>
                  </w:r>
                </w:p>
              </w:tc>
              <w:tc>
                <w:tcPr>
                  <w:tcW w:w="964" w:type="pct"/>
                  <w:tcBorders>
                    <w:top w:val="single" w:color="auto" w:sz="4" w:space="0"/>
                    <w:left w:val="nil"/>
                    <w:bottom w:val="single" w:color="auto" w:sz="4" w:space="0"/>
                    <w:right w:val="single" w:color="auto" w:sz="4" w:space="0"/>
                  </w:tcBorders>
                  <w:noWrap w:val="0"/>
                  <w:vAlign w:val="center"/>
                </w:tcPr>
                <w:p w14:paraId="4D6AA86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成品仓废气</w:t>
                  </w:r>
                </w:p>
              </w:tc>
              <w:tc>
                <w:tcPr>
                  <w:tcW w:w="1100" w:type="pct"/>
                  <w:tcBorders>
                    <w:top w:val="single" w:color="auto" w:sz="4" w:space="0"/>
                    <w:left w:val="nil"/>
                    <w:bottom w:val="single" w:color="auto" w:sz="4" w:space="0"/>
                    <w:right w:val="single" w:color="auto" w:sz="4" w:space="0"/>
                  </w:tcBorders>
                  <w:noWrap w:val="0"/>
                  <w:vAlign w:val="center"/>
                </w:tcPr>
                <w:p w14:paraId="24406C6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1#沥青成品仓</w:t>
                  </w:r>
                </w:p>
              </w:tc>
              <w:tc>
                <w:tcPr>
                  <w:tcW w:w="867" w:type="pct"/>
                  <w:tcBorders>
                    <w:top w:val="single" w:color="auto" w:sz="4" w:space="0"/>
                    <w:left w:val="nil"/>
                    <w:bottom w:val="single" w:color="auto" w:sz="4" w:space="0"/>
                    <w:right w:val="single" w:color="auto" w:sz="4" w:space="0"/>
                  </w:tcBorders>
                  <w:noWrap w:val="0"/>
                  <w:vAlign w:val="center"/>
                </w:tcPr>
                <w:p w14:paraId="3E9A104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沥青烟、苯并芘</w:t>
                  </w:r>
                </w:p>
              </w:tc>
              <w:tc>
                <w:tcPr>
                  <w:tcW w:w="867" w:type="pct"/>
                  <w:vMerge w:val="continue"/>
                  <w:tcBorders>
                    <w:left w:val="nil"/>
                    <w:bottom w:val="single" w:color="auto" w:sz="4" w:space="0"/>
                    <w:right w:val="single" w:color="auto" w:sz="4" w:space="0"/>
                  </w:tcBorders>
                  <w:noWrap w:val="0"/>
                  <w:vAlign w:val="center"/>
                </w:tcPr>
                <w:p w14:paraId="139A17E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r>
            <w:tr w14:paraId="0CB0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6856500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0720934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G</w:t>
                  </w:r>
                  <w:r>
                    <w:rPr>
                      <w:rFonts w:hint="eastAsia" w:ascii="Times New Roman" w:hAnsi="Times New Roman" w:cs="Times New Roman"/>
                      <w:color w:val="auto"/>
                      <w:sz w:val="21"/>
                      <w:szCs w:val="21"/>
                      <w:lang w:val="en-US" w:eastAsia="zh-CN" w:bidi="ar"/>
                    </w:rPr>
                    <w:t>6</w:t>
                  </w:r>
                </w:p>
              </w:tc>
              <w:tc>
                <w:tcPr>
                  <w:tcW w:w="964" w:type="pct"/>
                  <w:tcBorders>
                    <w:top w:val="single" w:color="auto" w:sz="4" w:space="0"/>
                    <w:left w:val="nil"/>
                    <w:bottom w:val="single" w:color="auto" w:sz="4" w:space="0"/>
                    <w:right w:val="single" w:color="auto" w:sz="4" w:space="0"/>
                  </w:tcBorders>
                  <w:noWrap w:val="0"/>
                  <w:vAlign w:val="center"/>
                </w:tcPr>
                <w:p w14:paraId="120C578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1#导热油炉</w:t>
                  </w:r>
                  <w:r>
                    <w:rPr>
                      <w:rFonts w:hint="eastAsia" w:ascii="Times New Roman" w:hAnsi="Times New Roman" w:cs="Times New Roman"/>
                      <w:color w:val="auto"/>
                      <w:sz w:val="21"/>
                      <w:szCs w:val="21"/>
                      <w:lang w:val="en-US" w:eastAsia="zh-CN"/>
                    </w:rPr>
                    <w:t>废气</w:t>
                  </w:r>
                </w:p>
              </w:tc>
              <w:tc>
                <w:tcPr>
                  <w:tcW w:w="1100" w:type="pct"/>
                  <w:tcBorders>
                    <w:top w:val="single" w:color="auto" w:sz="4" w:space="0"/>
                    <w:left w:val="nil"/>
                    <w:bottom w:val="single" w:color="auto" w:sz="4" w:space="0"/>
                    <w:right w:val="single" w:color="auto" w:sz="4" w:space="0"/>
                  </w:tcBorders>
                  <w:noWrap w:val="0"/>
                  <w:vAlign w:val="center"/>
                </w:tcPr>
                <w:p w14:paraId="18A9317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1#导热油炉</w:t>
                  </w:r>
                </w:p>
              </w:tc>
              <w:tc>
                <w:tcPr>
                  <w:tcW w:w="867" w:type="pct"/>
                  <w:tcBorders>
                    <w:top w:val="single" w:color="auto" w:sz="4" w:space="0"/>
                    <w:left w:val="nil"/>
                    <w:bottom w:val="single" w:color="auto" w:sz="4" w:space="0"/>
                    <w:right w:val="single" w:color="auto" w:sz="4" w:space="0"/>
                  </w:tcBorders>
                  <w:noWrap w:val="0"/>
                  <w:vAlign w:val="center"/>
                </w:tcPr>
                <w:p w14:paraId="54590FB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SO</w:t>
                  </w:r>
                  <w:r>
                    <w:rPr>
                      <w:rFonts w:hint="default" w:ascii="Times New Roman" w:hAnsi="Times New Roman" w:cs="Times New Roman"/>
                      <w:color w:val="auto"/>
                      <w:sz w:val="21"/>
                      <w:szCs w:val="21"/>
                      <w:vertAlign w:val="subscript"/>
                      <w:lang w:bidi="ar"/>
                    </w:rPr>
                    <w:t>2</w:t>
                  </w:r>
                  <w:r>
                    <w:rPr>
                      <w:rFonts w:hint="default" w:ascii="Times New Roman" w:hAnsi="Times New Roman" w:cs="Times New Roman"/>
                      <w:color w:val="auto"/>
                      <w:sz w:val="21"/>
                      <w:szCs w:val="21"/>
                      <w:lang w:bidi="ar"/>
                    </w:rPr>
                    <w:t>、NO</w:t>
                  </w:r>
                  <w:r>
                    <w:rPr>
                      <w:rFonts w:hint="default" w:ascii="Times New Roman" w:hAnsi="Times New Roman" w:cs="Times New Roman"/>
                      <w:color w:val="auto"/>
                      <w:sz w:val="21"/>
                      <w:szCs w:val="21"/>
                      <w:vertAlign w:val="subscript"/>
                      <w:lang w:bidi="ar"/>
                    </w:rPr>
                    <w:t>X</w:t>
                  </w:r>
                  <w:r>
                    <w:rPr>
                      <w:rFonts w:hint="default" w:ascii="Times New Roman" w:hAnsi="Times New Roman" w:cs="Times New Roman"/>
                      <w:color w:val="auto"/>
                      <w:sz w:val="21"/>
                      <w:szCs w:val="21"/>
                      <w:lang w:bidi="ar"/>
                    </w:rPr>
                    <w:t>、</w:t>
                  </w:r>
                  <w:r>
                    <w:rPr>
                      <w:rFonts w:hint="eastAsia" w:cs="Times New Roman"/>
                      <w:color w:val="auto"/>
                      <w:sz w:val="21"/>
                      <w:szCs w:val="21"/>
                      <w:lang w:eastAsia="zh-CN" w:bidi="ar"/>
                    </w:rPr>
                    <w:t>颗粒物</w:t>
                  </w:r>
                </w:p>
              </w:tc>
              <w:tc>
                <w:tcPr>
                  <w:tcW w:w="867" w:type="pct"/>
                  <w:tcBorders>
                    <w:left w:val="nil"/>
                    <w:bottom w:val="single" w:color="auto" w:sz="4" w:space="0"/>
                    <w:right w:val="single" w:color="auto" w:sz="4" w:space="0"/>
                  </w:tcBorders>
                  <w:noWrap w:val="0"/>
                  <w:vAlign w:val="center"/>
                </w:tcPr>
                <w:p w14:paraId="6BCBF4A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eastAsia" w:ascii="Times New Roman" w:hAnsi="Times New Roman"/>
                      <w:color w:val="auto"/>
                      <w:sz w:val="21"/>
                      <w:szCs w:val="21"/>
                      <w:lang w:val="en-US" w:eastAsia="zh-CN"/>
                    </w:rPr>
                    <w:t>DA00</w:t>
                  </w:r>
                  <w:r>
                    <w:rPr>
                      <w:rFonts w:hint="eastAsia"/>
                      <w:color w:val="auto"/>
                      <w:sz w:val="21"/>
                      <w:szCs w:val="21"/>
                      <w:lang w:val="en-US" w:eastAsia="zh-CN"/>
                    </w:rPr>
                    <w:t>3</w:t>
                  </w:r>
                </w:p>
              </w:tc>
            </w:tr>
            <w:tr w14:paraId="03D1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1E2D11D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32CB2BC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7</w:t>
                  </w:r>
                </w:p>
              </w:tc>
              <w:tc>
                <w:tcPr>
                  <w:tcW w:w="964" w:type="pct"/>
                  <w:tcBorders>
                    <w:top w:val="single" w:color="auto" w:sz="4" w:space="0"/>
                    <w:left w:val="nil"/>
                    <w:bottom w:val="single" w:color="auto" w:sz="4" w:space="0"/>
                    <w:right w:val="single" w:color="auto" w:sz="4" w:space="0"/>
                  </w:tcBorders>
                  <w:noWrap w:val="0"/>
                  <w:vAlign w:val="center"/>
                </w:tcPr>
                <w:p w14:paraId="0658596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2#导热油炉</w:t>
                  </w:r>
                  <w:r>
                    <w:rPr>
                      <w:rFonts w:hint="eastAsia" w:ascii="Times New Roman" w:hAnsi="Times New Roman" w:cs="Times New Roman"/>
                      <w:color w:val="auto"/>
                      <w:sz w:val="21"/>
                      <w:szCs w:val="21"/>
                      <w:lang w:val="en-US" w:eastAsia="zh-CN"/>
                    </w:rPr>
                    <w:t>废气</w:t>
                  </w:r>
                </w:p>
              </w:tc>
              <w:tc>
                <w:tcPr>
                  <w:tcW w:w="1100" w:type="pct"/>
                  <w:tcBorders>
                    <w:top w:val="single" w:color="auto" w:sz="4" w:space="0"/>
                    <w:left w:val="nil"/>
                    <w:bottom w:val="single" w:color="auto" w:sz="4" w:space="0"/>
                    <w:right w:val="single" w:color="auto" w:sz="4" w:space="0"/>
                  </w:tcBorders>
                  <w:noWrap w:val="0"/>
                  <w:vAlign w:val="center"/>
                </w:tcPr>
                <w:p w14:paraId="0687C09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2#导热油炉</w:t>
                  </w:r>
                </w:p>
              </w:tc>
              <w:tc>
                <w:tcPr>
                  <w:tcW w:w="867" w:type="pct"/>
                  <w:tcBorders>
                    <w:top w:val="single" w:color="auto" w:sz="4" w:space="0"/>
                    <w:left w:val="nil"/>
                    <w:bottom w:val="single" w:color="auto" w:sz="4" w:space="0"/>
                    <w:right w:val="single" w:color="auto" w:sz="4" w:space="0"/>
                  </w:tcBorders>
                  <w:noWrap w:val="0"/>
                  <w:vAlign w:val="center"/>
                </w:tcPr>
                <w:p w14:paraId="6C70575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SO</w:t>
                  </w:r>
                  <w:r>
                    <w:rPr>
                      <w:rFonts w:hint="default" w:ascii="Times New Roman" w:hAnsi="Times New Roman" w:cs="Times New Roman"/>
                      <w:color w:val="auto"/>
                      <w:sz w:val="21"/>
                      <w:szCs w:val="21"/>
                      <w:vertAlign w:val="subscript"/>
                      <w:lang w:bidi="ar"/>
                    </w:rPr>
                    <w:t>2</w:t>
                  </w:r>
                  <w:r>
                    <w:rPr>
                      <w:rFonts w:hint="default" w:ascii="Times New Roman" w:hAnsi="Times New Roman" w:cs="Times New Roman"/>
                      <w:color w:val="auto"/>
                      <w:sz w:val="21"/>
                      <w:szCs w:val="21"/>
                      <w:lang w:bidi="ar"/>
                    </w:rPr>
                    <w:t>、NO</w:t>
                  </w:r>
                  <w:r>
                    <w:rPr>
                      <w:rFonts w:hint="default" w:ascii="Times New Roman" w:hAnsi="Times New Roman" w:cs="Times New Roman"/>
                      <w:color w:val="auto"/>
                      <w:sz w:val="21"/>
                      <w:szCs w:val="21"/>
                      <w:vertAlign w:val="subscript"/>
                      <w:lang w:bidi="ar"/>
                    </w:rPr>
                    <w:t>X</w:t>
                  </w:r>
                  <w:r>
                    <w:rPr>
                      <w:rFonts w:hint="default" w:ascii="Times New Roman" w:hAnsi="Times New Roman" w:cs="Times New Roman"/>
                      <w:color w:val="auto"/>
                      <w:sz w:val="21"/>
                      <w:szCs w:val="21"/>
                      <w:lang w:bidi="ar"/>
                    </w:rPr>
                    <w:t>、</w:t>
                  </w:r>
                  <w:r>
                    <w:rPr>
                      <w:rFonts w:hint="eastAsia" w:cs="Times New Roman"/>
                      <w:color w:val="auto"/>
                      <w:sz w:val="21"/>
                      <w:szCs w:val="21"/>
                      <w:lang w:eastAsia="zh-CN" w:bidi="ar"/>
                    </w:rPr>
                    <w:t>颗粒物</w:t>
                  </w:r>
                </w:p>
              </w:tc>
              <w:tc>
                <w:tcPr>
                  <w:tcW w:w="867" w:type="pct"/>
                  <w:tcBorders>
                    <w:left w:val="nil"/>
                    <w:bottom w:val="single" w:color="auto" w:sz="4" w:space="0"/>
                    <w:right w:val="single" w:color="auto" w:sz="4" w:space="0"/>
                  </w:tcBorders>
                  <w:noWrap w:val="0"/>
                  <w:vAlign w:val="center"/>
                </w:tcPr>
                <w:p w14:paraId="1BF006E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DA00</w:t>
                  </w:r>
                  <w:r>
                    <w:rPr>
                      <w:rFonts w:hint="eastAsia"/>
                      <w:color w:val="auto"/>
                      <w:sz w:val="21"/>
                      <w:szCs w:val="21"/>
                      <w:lang w:val="en-US" w:eastAsia="zh-CN"/>
                    </w:rPr>
                    <w:t>4</w:t>
                  </w:r>
                </w:p>
              </w:tc>
            </w:tr>
            <w:tr w14:paraId="37C3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5496BF0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6486096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8</w:t>
                  </w:r>
                </w:p>
              </w:tc>
              <w:tc>
                <w:tcPr>
                  <w:tcW w:w="964" w:type="pct"/>
                  <w:tcBorders>
                    <w:top w:val="single" w:color="auto" w:sz="4" w:space="0"/>
                    <w:left w:val="nil"/>
                    <w:bottom w:val="single" w:color="auto" w:sz="4" w:space="0"/>
                    <w:right w:val="single" w:color="auto" w:sz="4" w:space="0"/>
                  </w:tcBorders>
                  <w:noWrap w:val="0"/>
                  <w:vAlign w:val="center"/>
                </w:tcPr>
                <w:p w14:paraId="3F5D65E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cs="Times New Roman"/>
                      <w:color w:val="auto"/>
                      <w:sz w:val="21"/>
                      <w:szCs w:val="21"/>
                      <w:lang w:bidi="ar"/>
                    </w:rPr>
                    <w:t>烘干滚筒</w:t>
                  </w:r>
                  <w:r>
                    <w:rPr>
                      <w:rFonts w:hint="eastAsia" w:cs="Times New Roman"/>
                      <w:color w:val="auto"/>
                      <w:sz w:val="21"/>
                      <w:szCs w:val="21"/>
                      <w:lang w:eastAsia="zh-CN" w:bidi="ar"/>
                    </w:rPr>
                    <w:t>、</w:t>
                  </w:r>
                  <w:r>
                    <w:rPr>
                      <w:rFonts w:hint="eastAsia" w:cs="Times New Roman"/>
                      <w:color w:val="auto"/>
                      <w:sz w:val="21"/>
                      <w:szCs w:val="21"/>
                      <w:lang w:val="en-US" w:eastAsia="zh-CN" w:bidi="ar"/>
                    </w:rPr>
                    <w:t>筛分过程、热骨料仓粉尘</w:t>
                  </w:r>
                  <w:r>
                    <w:rPr>
                      <w:rFonts w:hint="eastAsia" w:ascii="Times New Roman" w:hAnsi="Times New Roman" w:cs="Times New Roman"/>
                      <w:color w:val="auto"/>
                      <w:sz w:val="21"/>
                      <w:szCs w:val="21"/>
                      <w:lang w:val="en-US" w:eastAsia="zh-CN" w:bidi="ar"/>
                    </w:rPr>
                    <w:t>及</w:t>
                  </w:r>
                  <w:r>
                    <w:rPr>
                      <w:rFonts w:hint="default" w:ascii="Times New Roman" w:hAnsi="Times New Roman" w:cs="Times New Roman"/>
                      <w:color w:val="auto"/>
                      <w:sz w:val="21"/>
                      <w:szCs w:val="21"/>
                      <w:lang w:bidi="ar"/>
                    </w:rPr>
                    <w:t>燃烧器废气</w:t>
                  </w:r>
                </w:p>
              </w:tc>
              <w:tc>
                <w:tcPr>
                  <w:tcW w:w="1100" w:type="pct"/>
                  <w:tcBorders>
                    <w:top w:val="single" w:color="auto" w:sz="4" w:space="0"/>
                    <w:left w:val="nil"/>
                    <w:bottom w:val="single" w:color="auto" w:sz="4" w:space="0"/>
                    <w:right w:val="single" w:color="auto" w:sz="4" w:space="0"/>
                  </w:tcBorders>
                  <w:noWrap w:val="0"/>
                  <w:vAlign w:val="center"/>
                </w:tcPr>
                <w:p w14:paraId="022C42D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烘干滚筒</w:t>
                  </w:r>
                  <w:r>
                    <w:rPr>
                      <w:rFonts w:hint="eastAsia" w:cs="Times New Roman"/>
                      <w:color w:val="auto"/>
                      <w:sz w:val="21"/>
                      <w:szCs w:val="21"/>
                      <w:lang w:val="en-US" w:eastAsia="zh-CN"/>
                    </w:rPr>
                    <w:t>、筛分过程、热骨料仓和</w:t>
                  </w:r>
                  <w:r>
                    <w:rPr>
                      <w:rFonts w:hint="eastAsia" w:ascii="Times New Roman" w:hAnsi="Times New Roman" w:cs="Times New Roman"/>
                      <w:color w:val="auto"/>
                      <w:sz w:val="21"/>
                      <w:szCs w:val="21"/>
                      <w:lang w:val="en-US" w:eastAsia="zh-CN"/>
                    </w:rPr>
                    <w:t>燃烧器</w:t>
                  </w:r>
                </w:p>
              </w:tc>
              <w:tc>
                <w:tcPr>
                  <w:tcW w:w="867" w:type="pct"/>
                  <w:tcBorders>
                    <w:top w:val="single" w:color="auto" w:sz="4" w:space="0"/>
                    <w:left w:val="nil"/>
                    <w:bottom w:val="single" w:color="auto" w:sz="4" w:space="0"/>
                    <w:right w:val="single" w:color="auto" w:sz="4" w:space="0"/>
                  </w:tcBorders>
                  <w:noWrap w:val="0"/>
                  <w:vAlign w:val="center"/>
                </w:tcPr>
                <w:p w14:paraId="7D9AC34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SO</w:t>
                  </w:r>
                  <w:r>
                    <w:rPr>
                      <w:rFonts w:hint="default" w:ascii="Times New Roman" w:hAnsi="Times New Roman" w:cs="Times New Roman"/>
                      <w:color w:val="auto"/>
                      <w:sz w:val="21"/>
                      <w:szCs w:val="21"/>
                      <w:vertAlign w:val="subscript"/>
                      <w:lang w:bidi="ar"/>
                    </w:rPr>
                    <w:t>2</w:t>
                  </w:r>
                  <w:r>
                    <w:rPr>
                      <w:rFonts w:hint="default" w:ascii="Times New Roman" w:hAnsi="Times New Roman" w:cs="Times New Roman"/>
                      <w:color w:val="auto"/>
                      <w:sz w:val="21"/>
                      <w:szCs w:val="21"/>
                      <w:lang w:bidi="ar"/>
                    </w:rPr>
                    <w:t>、NO</w:t>
                  </w:r>
                  <w:r>
                    <w:rPr>
                      <w:rFonts w:hint="default" w:ascii="Times New Roman" w:hAnsi="Times New Roman" w:cs="Times New Roman"/>
                      <w:color w:val="auto"/>
                      <w:sz w:val="21"/>
                      <w:szCs w:val="21"/>
                      <w:vertAlign w:val="subscript"/>
                      <w:lang w:bidi="ar"/>
                    </w:rPr>
                    <w:t>X</w:t>
                  </w:r>
                  <w:r>
                    <w:rPr>
                      <w:rFonts w:hint="default" w:ascii="Times New Roman" w:hAnsi="Times New Roman" w:cs="Times New Roman"/>
                      <w:color w:val="auto"/>
                      <w:sz w:val="21"/>
                      <w:szCs w:val="21"/>
                      <w:lang w:bidi="ar"/>
                    </w:rPr>
                    <w:t>、</w:t>
                  </w:r>
                  <w:r>
                    <w:rPr>
                      <w:rFonts w:hint="eastAsia" w:cs="Times New Roman"/>
                      <w:color w:val="auto"/>
                      <w:sz w:val="21"/>
                      <w:szCs w:val="21"/>
                      <w:lang w:eastAsia="zh-CN" w:bidi="ar"/>
                    </w:rPr>
                    <w:t>颗粒物</w:t>
                  </w:r>
                </w:p>
              </w:tc>
              <w:tc>
                <w:tcPr>
                  <w:tcW w:w="867" w:type="pct"/>
                  <w:vMerge w:val="restart"/>
                  <w:tcBorders>
                    <w:left w:val="nil"/>
                    <w:right w:val="single" w:color="auto" w:sz="4" w:space="0"/>
                  </w:tcBorders>
                  <w:noWrap w:val="0"/>
                  <w:vAlign w:val="center"/>
                </w:tcPr>
                <w:p w14:paraId="128CF1E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DA00</w:t>
                  </w:r>
                  <w:r>
                    <w:rPr>
                      <w:rFonts w:hint="eastAsia"/>
                      <w:color w:val="auto"/>
                      <w:sz w:val="21"/>
                      <w:szCs w:val="21"/>
                      <w:lang w:val="en-US" w:eastAsia="zh-CN"/>
                    </w:rPr>
                    <w:t>5</w:t>
                  </w:r>
                </w:p>
              </w:tc>
            </w:tr>
            <w:tr w14:paraId="2F25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2F5C755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55577B4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9</w:t>
                  </w:r>
                </w:p>
              </w:tc>
              <w:tc>
                <w:tcPr>
                  <w:tcW w:w="964" w:type="pct"/>
                  <w:tcBorders>
                    <w:top w:val="single" w:color="auto" w:sz="4" w:space="0"/>
                    <w:left w:val="nil"/>
                    <w:bottom w:val="single" w:color="auto" w:sz="4" w:space="0"/>
                    <w:right w:val="single" w:color="auto" w:sz="4" w:space="0"/>
                  </w:tcBorders>
                  <w:noWrap w:val="0"/>
                  <w:vAlign w:val="center"/>
                </w:tcPr>
                <w:p w14:paraId="54FD90B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沥青储罐加热废气</w:t>
                  </w:r>
                </w:p>
              </w:tc>
              <w:tc>
                <w:tcPr>
                  <w:tcW w:w="1100" w:type="pct"/>
                  <w:tcBorders>
                    <w:top w:val="single" w:color="auto" w:sz="4" w:space="0"/>
                    <w:left w:val="nil"/>
                    <w:bottom w:val="single" w:color="auto" w:sz="4" w:space="0"/>
                    <w:right w:val="single" w:color="auto" w:sz="4" w:space="0"/>
                  </w:tcBorders>
                  <w:noWrap w:val="0"/>
                  <w:vAlign w:val="center"/>
                </w:tcPr>
                <w:p w14:paraId="4E3A4B5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cs="Times New Roman"/>
                      <w:color w:val="auto"/>
                      <w:sz w:val="21"/>
                      <w:szCs w:val="21"/>
                      <w:lang w:val="en-US" w:eastAsia="zh-CN"/>
                    </w:rPr>
                    <w:t>沥青储罐</w:t>
                  </w:r>
                </w:p>
              </w:tc>
              <w:tc>
                <w:tcPr>
                  <w:tcW w:w="867" w:type="pct"/>
                  <w:tcBorders>
                    <w:top w:val="single" w:color="auto" w:sz="4" w:space="0"/>
                    <w:left w:val="nil"/>
                    <w:bottom w:val="single" w:color="auto" w:sz="4" w:space="0"/>
                    <w:right w:val="single" w:color="auto" w:sz="4" w:space="0"/>
                  </w:tcBorders>
                  <w:noWrap w:val="0"/>
                  <w:vAlign w:val="center"/>
                </w:tcPr>
                <w:p w14:paraId="151E03B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沥青烟、苯并芘</w:t>
                  </w:r>
                </w:p>
              </w:tc>
              <w:tc>
                <w:tcPr>
                  <w:tcW w:w="867" w:type="pct"/>
                  <w:vMerge w:val="continue"/>
                  <w:tcBorders>
                    <w:left w:val="nil"/>
                    <w:right w:val="single" w:color="auto" w:sz="4" w:space="0"/>
                  </w:tcBorders>
                  <w:noWrap w:val="0"/>
                  <w:vAlign w:val="center"/>
                </w:tcPr>
                <w:p w14:paraId="5484E70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olor w:val="auto"/>
                      <w:sz w:val="21"/>
                      <w:szCs w:val="21"/>
                      <w:lang w:val="en-US" w:eastAsia="zh-CN"/>
                    </w:rPr>
                  </w:pPr>
                </w:p>
              </w:tc>
            </w:tr>
            <w:tr w14:paraId="07AF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271DFA0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2657865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10</w:t>
                  </w:r>
                </w:p>
              </w:tc>
              <w:tc>
                <w:tcPr>
                  <w:tcW w:w="964" w:type="pct"/>
                  <w:tcBorders>
                    <w:top w:val="single" w:color="auto" w:sz="4" w:space="0"/>
                    <w:left w:val="nil"/>
                    <w:bottom w:val="single" w:color="auto" w:sz="4" w:space="0"/>
                    <w:right w:val="single" w:color="auto" w:sz="4" w:space="0"/>
                  </w:tcBorders>
                  <w:noWrap w:val="0"/>
                  <w:vAlign w:val="center"/>
                </w:tcPr>
                <w:p w14:paraId="0493C53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cs="Times New Roman"/>
                      <w:color w:val="auto"/>
                      <w:sz w:val="21"/>
                      <w:szCs w:val="21"/>
                    </w:rPr>
                    <w:t>沥青搅拌</w:t>
                  </w:r>
                  <w:r>
                    <w:rPr>
                      <w:rFonts w:hint="eastAsia" w:ascii="Times New Roman" w:hAnsi="Times New Roman" w:cs="Times New Roman"/>
                      <w:color w:val="auto"/>
                      <w:sz w:val="21"/>
                      <w:szCs w:val="21"/>
                      <w:lang w:val="en-US" w:eastAsia="zh-CN"/>
                    </w:rPr>
                    <w:t>废气</w:t>
                  </w:r>
                </w:p>
              </w:tc>
              <w:tc>
                <w:tcPr>
                  <w:tcW w:w="1100" w:type="pct"/>
                  <w:tcBorders>
                    <w:top w:val="single" w:color="auto" w:sz="4" w:space="0"/>
                    <w:left w:val="nil"/>
                    <w:bottom w:val="single" w:color="auto" w:sz="4" w:space="0"/>
                    <w:right w:val="single" w:color="auto" w:sz="4" w:space="0"/>
                  </w:tcBorders>
                  <w:noWrap w:val="0"/>
                  <w:vAlign w:val="center"/>
                </w:tcPr>
                <w:p w14:paraId="49D756B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cs="Times New Roman"/>
                      <w:color w:val="auto"/>
                      <w:sz w:val="21"/>
                      <w:szCs w:val="21"/>
                    </w:rPr>
                    <w:t>沥青搅拌</w:t>
                  </w:r>
                </w:p>
              </w:tc>
              <w:tc>
                <w:tcPr>
                  <w:tcW w:w="867" w:type="pct"/>
                  <w:tcBorders>
                    <w:top w:val="single" w:color="auto" w:sz="4" w:space="0"/>
                    <w:left w:val="nil"/>
                    <w:bottom w:val="single" w:color="auto" w:sz="4" w:space="0"/>
                    <w:right w:val="single" w:color="auto" w:sz="4" w:space="0"/>
                  </w:tcBorders>
                  <w:noWrap w:val="0"/>
                  <w:vAlign w:val="center"/>
                </w:tcPr>
                <w:p w14:paraId="1B8427A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沥青烟、苯并芘</w:t>
                  </w:r>
                </w:p>
              </w:tc>
              <w:tc>
                <w:tcPr>
                  <w:tcW w:w="867" w:type="pct"/>
                  <w:vMerge w:val="continue"/>
                  <w:tcBorders>
                    <w:left w:val="nil"/>
                    <w:right w:val="single" w:color="auto" w:sz="4" w:space="0"/>
                  </w:tcBorders>
                  <w:noWrap w:val="0"/>
                  <w:vAlign w:val="center"/>
                </w:tcPr>
                <w:p w14:paraId="64F49D2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olor w:val="auto"/>
                      <w:sz w:val="21"/>
                      <w:szCs w:val="21"/>
                      <w:lang w:val="en-US" w:eastAsia="zh-CN"/>
                    </w:rPr>
                  </w:pPr>
                </w:p>
              </w:tc>
            </w:tr>
            <w:tr w14:paraId="6517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7D3B87A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503B3B1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11</w:t>
                  </w:r>
                </w:p>
              </w:tc>
              <w:tc>
                <w:tcPr>
                  <w:tcW w:w="964" w:type="pct"/>
                  <w:tcBorders>
                    <w:top w:val="single" w:color="auto" w:sz="4" w:space="0"/>
                    <w:left w:val="nil"/>
                    <w:bottom w:val="single" w:color="auto" w:sz="4" w:space="0"/>
                    <w:right w:val="single" w:color="auto" w:sz="4" w:space="0"/>
                  </w:tcBorders>
                  <w:noWrap w:val="0"/>
                  <w:vAlign w:val="center"/>
                </w:tcPr>
                <w:p w14:paraId="6E96BE4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成品仓废气</w:t>
                  </w:r>
                </w:p>
              </w:tc>
              <w:tc>
                <w:tcPr>
                  <w:tcW w:w="1100" w:type="pct"/>
                  <w:tcBorders>
                    <w:top w:val="single" w:color="auto" w:sz="4" w:space="0"/>
                    <w:left w:val="nil"/>
                    <w:bottom w:val="single" w:color="auto" w:sz="4" w:space="0"/>
                    <w:right w:val="single" w:color="auto" w:sz="4" w:space="0"/>
                  </w:tcBorders>
                  <w:noWrap w:val="0"/>
                  <w:vAlign w:val="center"/>
                </w:tcPr>
                <w:p w14:paraId="1DF8C18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2#沥青成品仓</w:t>
                  </w:r>
                </w:p>
              </w:tc>
              <w:tc>
                <w:tcPr>
                  <w:tcW w:w="867" w:type="pct"/>
                  <w:tcBorders>
                    <w:top w:val="single" w:color="auto" w:sz="4" w:space="0"/>
                    <w:left w:val="nil"/>
                    <w:bottom w:val="single" w:color="auto" w:sz="4" w:space="0"/>
                    <w:right w:val="single" w:color="auto" w:sz="4" w:space="0"/>
                  </w:tcBorders>
                  <w:noWrap w:val="0"/>
                  <w:vAlign w:val="center"/>
                </w:tcPr>
                <w:p w14:paraId="6311B2B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沥青烟、苯并芘</w:t>
                  </w:r>
                </w:p>
              </w:tc>
              <w:tc>
                <w:tcPr>
                  <w:tcW w:w="867" w:type="pct"/>
                  <w:vMerge w:val="continue"/>
                  <w:tcBorders>
                    <w:left w:val="nil"/>
                    <w:bottom w:val="single" w:color="auto" w:sz="4" w:space="0"/>
                    <w:right w:val="single" w:color="auto" w:sz="4" w:space="0"/>
                  </w:tcBorders>
                  <w:noWrap w:val="0"/>
                  <w:vAlign w:val="center"/>
                </w:tcPr>
                <w:p w14:paraId="45076DAA">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olor w:val="auto"/>
                      <w:sz w:val="21"/>
                      <w:szCs w:val="21"/>
                      <w:lang w:val="en-US" w:eastAsia="zh-CN"/>
                    </w:rPr>
                  </w:pPr>
                </w:p>
              </w:tc>
            </w:tr>
            <w:tr w14:paraId="699A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29A6C72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2024687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12</w:t>
                  </w:r>
                </w:p>
              </w:tc>
              <w:tc>
                <w:tcPr>
                  <w:tcW w:w="964" w:type="pct"/>
                  <w:tcBorders>
                    <w:top w:val="single" w:color="auto" w:sz="4" w:space="0"/>
                    <w:left w:val="nil"/>
                    <w:bottom w:val="single" w:color="auto" w:sz="4" w:space="0"/>
                    <w:right w:val="single" w:color="auto" w:sz="4" w:space="0"/>
                  </w:tcBorders>
                  <w:noWrap w:val="0"/>
                  <w:vAlign w:val="center"/>
                </w:tcPr>
                <w:p w14:paraId="171D98B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矿粉筒仓废气</w:t>
                  </w:r>
                </w:p>
              </w:tc>
              <w:tc>
                <w:tcPr>
                  <w:tcW w:w="1100" w:type="pct"/>
                  <w:tcBorders>
                    <w:top w:val="single" w:color="auto" w:sz="4" w:space="0"/>
                    <w:left w:val="nil"/>
                    <w:bottom w:val="single" w:color="auto" w:sz="4" w:space="0"/>
                    <w:right w:val="single" w:color="auto" w:sz="4" w:space="0"/>
                  </w:tcBorders>
                  <w:noWrap w:val="0"/>
                  <w:vAlign w:val="center"/>
                </w:tcPr>
                <w:p w14:paraId="315F700A">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矿粉筒仓</w:t>
                  </w:r>
                </w:p>
              </w:tc>
              <w:tc>
                <w:tcPr>
                  <w:tcW w:w="867" w:type="pct"/>
                  <w:tcBorders>
                    <w:top w:val="single" w:color="auto" w:sz="4" w:space="0"/>
                    <w:left w:val="nil"/>
                    <w:bottom w:val="single" w:color="auto" w:sz="4" w:space="0"/>
                    <w:right w:val="single" w:color="auto" w:sz="4" w:space="0"/>
                  </w:tcBorders>
                  <w:noWrap w:val="0"/>
                  <w:vAlign w:val="center"/>
                </w:tcPr>
                <w:p w14:paraId="7FA76DD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eastAsia" w:cs="Times New Roman"/>
                      <w:color w:val="auto"/>
                      <w:sz w:val="21"/>
                      <w:szCs w:val="21"/>
                      <w:lang w:eastAsia="zh-CN" w:bidi="ar"/>
                    </w:rPr>
                    <w:t>颗粒物</w:t>
                  </w:r>
                </w:p>
              </w:tc>
              <w:tc>
                <w:tcPr>
                  <w:tcW w:w="867" w:type="pct"/>
                  <w:tcBorders>
                    <w:left w:val="nil"/>
                    <w:bottom w:val="single" w:color="auto" w:sz="4" w:space="0"/>
                    <w:right w:val="single" w:color="auto" w:sz="4" w:space="0"/>
                  </w:tcBorders>
                  <w:noWrap w:val="0"/>
                  <w:vAlign w:val="center"/>
                </w:tcPr>
                <w:p w14:paraId="6F204D4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DA00</w:t>
                  </w:r>
                  <w:r>
                    <w:rPr>
                      <w:rFonts w:hint="eastAsia"/>
                      <w:color w:val="auto"/>
                      <w:sz w:val="21"/>
                      <w:szCs w:val="21"/>
                      <w:lang w:val="en-US" w:eastAsia="zh-CN"/>
                    </w:rPr>
                    <w:t>6</w:t>
                  </w:r>
                </w:p>
              </w:tc>
            </w:tr>
            <w:tr w14:paraId="35BB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374D282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c>
                <w:tcPr>
                  <w:tcW w:w="614" w:type="pct"/>
                  <w:tcBorders>
                    <w:top w:val="single" w:color="auto" w:sz="4" w:space="0"/>
                    <w:left w:val="nil"/>
                    <w:bottom w:val="single" w:color="auto" w:sz="4" w:space="0"/>
                    <w:right w:val="single" w:color="auto" w:sz="4" w:space="0"/>
                  </w:tcBorders>
                  <w:noWrap w:val="0"/>
                  <w:vAlign w:val="center"/>
                </w:tcPr>
                <w:p w14:paraId="6BF314E5">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bidi="ar"/>
                    </w:rPr>
                    <w:t>G</w:t>
                  </w:r>
                  <w:r>
                    <w:rPr>
                      <w:rFonts w:hint="eastAsia" w:cs="Times New Roman"/>
                      <w:color w:val="auto"/>
                      <w:sz w:val="21"/>
                      <w:szCs w:val="21"/>
                      <w:lang w:val="en-US" w:eastAsia="zh-CN" w:bidi="ar"/>
                    </w:rPr>
                    <w:t>13</w:t>
                  </w:r>
                </w:p>
              </w:tc>
              <w:tc>
                <w:tcPr>
                  <w:tcW w:w="964" w:type="pct"/>
                  <w:tcBorders>
                    <w:top w:val="single" w:color="auto" w:sz="4" w:space="0"/>
                    <w:left w:val="nil"/>
                    <w:bottom w:val="single" w:color="auto" w:sz="4" w:space="0"/>
                    <w:right w:val="single" w:color="auto" w:sz="4" w:space="0"/>
                  </w:tcBorders>
                  <w:noWrap w:val="0"/>
                  <w:vAlign w:val="center"/>
                </w:tcPr>
                <w:p w14:paraId="18214D1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食堂油烟</w:t>
                  </w:r>
                </w:p>
              </w:tc>
              <w:tc>
                <w:tcPr>
                  <w:tcW w:w="1100" w:type="pct"/>
                  <w:tcBorders>
                    <w:top w:val="single" w:color="auto" w:sz="4" w:space="0"/>
                    <w:left w:val="nil"/>
                    <w:bottom w:val="single" w:color="auto" w:sz="4" w:space="0"/>
                    <w:right w:val="single" w:color="auto" w:sz="4" w:space="0"/>
                  </w:tcBorders>
                  <w:noWrap w:val="0"/>
                  <w:vAlign w:val="center"/>
                </w:tcPr>
                <w:p w14:paraId="36AA2CB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食堂</w:t>
                  </w:r>
                </w:p>
              </w:tc>
              <w:tc>
                <w:tcPr>
                  <w:tcW w:w="867" w:type="pct"/>
                  <w:tcBorders>
                    <w:top w:val="single" w:color="auto" w:sz="4" w:space="0"/>
                    <w:left w:val="nil"/>
                    <w:bottom w:val="single" w:color="auto" w:sz="4" w:space="0"/>
                    <w:right w:val="single" w:color="auto" w:sz="4" w:space="0"/>
                  </w:tcBorders>
                  <w:noWrap w:val="0"/>
                  <w:vAlign w:val="center"/>
                </w:tcPr>
                <w:p w14:paraId="038A3A3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油烟</w:t>
                  </w:r>
                </w:p>
              </w:tc>
              <w:tc>
                <w:tcPr>
                  <w:tcW w:w="867" w:type="pct"/>
                  <w:tcBorders>
                    <w:top w:val="single" w:color="auto" w:sz="4" w:space="0"/>
                    <w:left w:val="nil"/>
                    <w:bottom w:val="single" w:color="auto" w:sz="4" w:space="0"/>
                    <w:right w:val="single" w:color="auto" w:sz="4" w:space="0"/>
                  </w:tcBorders>
                  <w:noWrap w:val="0"/>
                  <w:vAlign w:val="center"/>
                </w:tcPr>
                <w:p w14:paraId="4C65865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高于屋顶排放</w:t>
                  </w:r>
                </w:p>
              </w:tc>
            </w:tr>
            <w:tr w14:paraId="74C8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085980B4">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c>
                <w:tcPr>
                  <w:tcW w:w="614" w:type="pct"/>
                  <w:tcBorders>
                    <w:top w:val="single" w:color="auto" w:sz="4" w:space="0"/>
                    <w:left w:val="nil"/>
                    <w:bottom w:val="single" w:color="auto" w:sz="4" w:space="0"/>
                    <w:right w:val="single" w:color="auto" w:sz="4" w:space="0"/>
                  </w:tcBorders>
                  <w:noWrap w:val="0"/>
                  <w:vAlign w:val="center"/>
                </w:tcPr>
                <w:p w14:paraId="021336C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WG1</w:t>
                  </w:r>
                </w:p>
              </w:tc>
              <w:tc>
                <w:tcPr>
                  <w:tcW w:w="964" w:type="pct"/>
                  <w:tcBorders>
                    <w:top w:val="single" w:color="auto" w:sz="4" w:space="0"/>
                    <w:left w:val="nil"/>
                    <w:bottom w:val="single" w:color="auto" w:sz="4" w:space="0"/>
                    <w:right w:val="single" w:color="auto" w:sz="4" w:space="0"/>
                  </w:tcBorders>
                  <w:noWrap w:val="0"/>
                  <w:vAlign w:val="center"/>
                </w:tcPr>
                <w:p w14:paraId="5216E95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堆料粉尘</w:t>
                  </w:r>
                </w:p>
              </w:tc>
              <w:tc>
                <w:tcPr>
                  <w:tcW w:w="1100" w:type="pct"/>
                  <w:tcBorders>
                    <w:top w:val="single" w:color="auto" w:sz="4" w:space="0"/>
                    <w:left w:val="nil"/>
                    <w:bottom w:val="single" w:color="auto" w:sz="4" w:space="0"/>
                    <w:right w:val="single" w:color="auto" w:sz="4" w:space="0"/>
                  </w:tcBorders>
                  <w:noWrap w:val="0"/>
                  <w:vAlign w:val="center"/>
                </w:tcPr>
                <w:p w14:paraId="7D9F203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砂石堆料棚</w:t>
                  </w:r>
                </w:p>
              </w:tc>
              <w:tc>
                <w:tcPr>
                  <w:tcW w:w="867" w:type="pct"/>
                  <w:tcBorders>
                    <w:top w:val="single" w:color="auto" w:sz="4" w:space="0"/>
                    <w:left w:val="nil"/>
                    <w:bottom w:val="single" w:color="auto" w:sz="4" w:space="0"/>
                    <w:right w:val="single" w:color="auto" w:sz="4" w:space="0"/>
                  </w:tcBorders>
                  <w:noWrap w:val="0"/>
                  <w:vAlign w:val="center"/>
                </w:tcPr>
                <w:p w14:paraId="1327C2E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eastAsia="zh-CN" w:bidi="ar"/>
                    </w:rPr>
                    <w:t>颗粒物</w:t>
                  </w:r>
                </w:p>
              </w:tc>
              <w:tc>
                <w:tcPr>
                  <w:tcW w:w="867" w:type="pct"/>
                  <w:tcBorders>
                    <w:top w:val="single" w:color="auto" w:sz="4" w:space="0"/>
                    <w:left w:val="nil"/>
                    <w:bottom w:val="single" w:color="auto" w:sz="4" w:space="0"/>
                    <w:right w:val="single" w:color="auto" w:sz="4" w:space="0"/>
                  </w:tcBorders>
                  <w:noWrap w:val="0"/>
                  <w:vAlign w:val="center"/>
                </w:tcPr>
                <w:p w14:paraId="128FC13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无组织排放</w:t>
                  </w:r>
                </w:p>
              </w:tc>
            </w:tr>
            <w:tr w14:paraId="1C29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206F9FF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c>
                <w:tcPr>
                  <w:tcW w:w="614" w:type="pct"/>
                  <w:tcBorders>
                    <w:top w:val="single" w:color="auto" w:sz="4" w:space="0"/>
                    <w:left w:val="nil"/>
                    <w:bottom w:val="single" w:color="auto" w:sz="4" w:space="0"/>
                    <w:right w:val="single" w:color="auto" w:sz="4" w:space="0"/>
                  </w:tcBorders>
                  <w:noWrap w:val="0"/>
                  <w:vAlign w:val="center"/>
                </w:tcPr>
                <w:p w14:paraId="041754D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WG</w:t>
                  </w:r>
                  <w:r>
                    <w:rPr>
                      <w:rFonts w:hint="eastAsia" w:ascii="Times New Roman" w:hAnsi="Times New Roman" w:cs="Times New Roman"/>
                      <w:color w:val="auto"/>
                      <w:sz w:val="21"/>
                      <w:szCs w:val="21"/>
                      <w:lang w:val="en-US" w:eastAsia="zh-CN" w:bidi="ar"/>
                    </w:rPr>
                    <w:t>2</w:t>
                  </w:r>
                </w:p>
              </w:tc>
              <w:tc>
                <w:tcPr>
                  <w:tcW w:w="964" w:type="pct"/>
                  <w:tcBorders>
                    <w:top w:val="single" w:color="auto" w:sz="4" w:space="0"/>
                    <w:left w:val="nil"/>
                    <w:bottom w:val="single" w:color="auto" w:sz="4" w:space="0"/>
                    <w:right w:val="single" w:color="auto" w:sz="4" w:space="0"/>
                  </w:tcBorders>
                  <w:noWrap w:val="0"/>
                  <w:vAlign w:val="center"/>
                </w:tcPr>
                <w:p w14:paraId="32127FF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r>
                    <w:rPr>
                      <w:rFonts w:hint="eastAsia" w:ascii="Times New Roman" w:hAnsi="Times New Roman" w:cs="Times New Roman"/>
                      <w:color w:val="auto"/>
                      <w:sz w:val="21"/>
                      <w:szCs w:val="21"/>
                      <w:lang w:eastAsia="zh-CN"/>
                    </w:rPr>
                    <w:t>沥青搅拌废气</w:t>
                  </w:r>
                </w:p>
              </w:tc>
              <w:tc>
                <w:tcPr>
                  <w:tcW w:w="1100" w:type="pct"/>
                  <w:tcBorders>
                    <w:top w:val="single" w:color="auto" w:sz="4" w:space="0"/>
                    <w:left w:val="nil"/>
                    <w:bottom w:val="single" w:color="auto" w:sz="4" w:space="0"/>
                    <w:right w:val="single" w:color="auto" w:sz="4" w:space="0"/>
                  </w:tcBorders>
                  <w:noWrap w:val="0"/>
                  <w:vAlign w:val="center"/>
                </w:tcPr>
                <w:p w14:paraId="4B2139F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沥青搅拌机</w:t>
                  </w:r>
                </w:p>
              </w:tc>
              <w:tc>
                <w:tcPr>
                  <w:tcW w:w="867" w:type="pct"/>
                  <w:tcBorders>
                    <w:top w:val="single" w:color="auto" w:sz="4" w:space="0"/>
                    <w:left w:val="nil"/>
                    <w:bottom w:val="single" w:color="auto" w:sz="4" w:space="0"/>
                    <w:right w:val="single" w:color="auto" w:sz="4" w:space="0"/>
                  </w:tcBorders>
                  <w:noWrap w:val="0"/>
                  <w:vAlign w:val="center"/>
                </w:tcPr>
                <w:p w14:paraId="06EE136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eastAsia" w:cs="Times New Roman"/>
                      <w:color w:val="auto"/>
                      <w:sz w:val="21"/>
                      <w:szCs w:val="21"/>
                      <w:lang w:val="en-US" w:eastAsia="zh-CN" w:bidi="ar"/>
                    </w:rPr>
                    <w:t>沥青烟、</w:t>
                  </w:r>
                  <w:r>
                    <w:rPr>
                      <w:rFonts w:hint="default" w:ascii="Times New Roman" w:hAnsi="Times New Roman" w:cs="Times New Roman"/>
                      <w:color w:val="auto"/>
                      <w:sz w:val="21"/>
                      <w:szCs w:val="21"/>
                      <w:lang w:bidi="ar"/>
                    </w:rPr>
                    <w:t>苯并芘</w:t>
                  </w:r>
                </w:p>
              </w:tc>
              <w:tc>
                <w:tcPr>
                  <w:tcW w:w="867" w:type="pct"/>
                  <w:tcBorders>
                    <w:top w:val="single" w:color="auto" w:sz="4" w:space="0"/>
                    <w:left w:val="nil"/>
                    <w:bottom w:val="single" w:color="auto" w:sz="4" w:space="0"/>
                    <w:right w:val="single" w:color="auto" w:sz="4" w:space="0"/>
                  </w:tcBorders>
                  <w:noWrap w:val="0"/>
                  <w:vAlign w:val="center"/>
                </w:tcPr>
                <w:p w14:paraId="1B54B3F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无组织排放</w:t>
                  </w:r>
                </w:p>
              </w:tc>
            </w:tr>
            <w:tr w14:paraId="2395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5556370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c>
                <w:tcPr>
                  <w:tcW w:w="614" w:type="pct"/>
                  <w:tcBorders>
                    <w:top w:val="single" w:color="auto" w:sz="4" w:space="0"/>
                    <w:left w:val="nil"/>
                    <w:bottom w:val="single" w:color="auto" w:sz="4" w:space="0"/>
                    <w:right w:val="single" w:color="auto" w:sz="4" w:space="0"/>
                  </w:tcBorders>
                  <w:noWrap w:val="0"/>
                  <w:vAlign w:val="center"/>
                </w:tcPr>
                <w:p w14:paraId="52D9883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WG</w:t>
                  </w:r>
                  <w:r>
                    <w:rPr>
                      <w:rFonts w:hint="eastAsia" w:cs="Times New Roman"/>
                      <w:color w:val="auto"/>
                      <w:sz w:val="21"/>
                      <w:szCs w:val="21"/>
                      <w:lang w:val="en-US" w:eastAsia="zh-CN" w:bidi="ar"/>
                    </w:rPr>
                    <w:t>3</w:t>
                  </w:r>
                </w:p>
              </w:tc>
              <w:tc>
                <w:tcPr>
                  <w:tcW w:w="964" w:type="pct"/>
                  <w:tcBorders>
                    <w:top w:val="single" w:color="auto" w:sz="4" w:space="0"/>
                    <w:left w:val="nil"/>
                    <w:bottom w:val="single" w:color="auto" w:sz="4" w:space="0"/>
                    <w:right w:val="single" w:color="auto" w:sz="4" w:space="0"/>
                  </w:tcBorders>
                  <w:noWrap w:val="0"/>
                  <w:vAlign w:val="center"/>
                </w:tcPr>
                <w:p w14:paraId="57F1F7F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bidi="ar"/>
                    </w:rPr>
                    <w:t>柴油罐油气</w:t>
                  </w:r>
                </w:p>
              </w:tc>
              <w:tc>
                <w:tcPr>
                  <w:tcW w:w="1100" w:type="pct"/>
                  <w:tcBorders>
                    <w:top w:val="single" w:color="auto" w:sz="4" w:space="0"/>
                    <w:left w:val="nil"/>
                    <w:bottom w:val="single" w:color="auto" w:sz="4" w:space="0"/>
                    <w:right w:val="single" w:color="auto" w:sz="4" w:space="0"/>
                  </w:tcBorders>
                  <w:noWrap w:val="0"/>
                  <w:vAlign w:val="center"/>
                </w:tcPr>
                <w:p w14:paraId="75C06F6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bidi="ar"/>
                    </w:rPr>
                    <w:t>柴油罐小呼吸</w:t>
                  </w:r>
                </w:p>
              </w:tc>
              <w:tc>
                <w:tcPr>
                  <w:tcW w:w="867" w:type="pct"/>
                  <w:tcBorders>
                    <w:top w:val="single" w:color="auto" w:sz="4" w:space="0"/>
                    <w:left w:val="nil"/>
                    <w:bottom w:val="single" w:color="auto" w:sz="4" w:space="0"/>
                    <w:right w:val="single" w:color="auto" w:sz="4" w:space="0"/>
                  </w:tcBorders>
                  <w:noWrap w:val="0"/>
                  <w:vAlign w:val="center"/>
                </w:tcPr>
                <w:p w14:paraId="28A7AB0E">
                  <w:pPr>
                    <w:keepNext w:val="0"/>
                    <w:keepLines w:val="0"/>
                    <w:pageBreakBefore w:val="0"/>
                    <w:widowControl w:val="0"/>
                    <w:kinsoku/>
                    <w:wordWrap/>
                    <w:overflowPunct/>
                    <w:topLinePunct w:val="0"/>
                    <w:autoSpaceDN/>
                    <w:bidi w:val="0"/>
                    <w:spacing w:line="240" w:lineRule="auto"/>
                    <w:ind w:firstLine="0" w:firstLineChars="0"/>
                    <w:jc w:val="center"/>
                    <w:textAlignment w:val="auto"/>
                    <w:rPr>
                      <w:rFonts w:hint="eastAsia" w:cs="Times New Roman"/>
                      <w:color w:val="auto"/>
                      <w:sz w:val="21"/>
                      <w:szCs w:val="21"/>
                      <w:lang w:val="en-US" w:eastAsia="zh-CN" w:bidi="ar"/>
                    </w:rPr>
                  </w:pPr>
                  <w:r>
                    <w:rPr>
                      <w:rFonts w:hint="default" w:ascii="Times New Roman" w:hAnsi="Times New Roman" w:eastAsia="宋体" w:cs="Times New Roman"/>
                      <w:bCs/>
                      <w:color w:val="auto"/>
                      <w:sz w:val="21"/>
                      <w:szCs w:val="21"/>
                    </w:rPr>
                    <w:t>非甲烷总烃</w:t>
                  </w:r>
                </w:p>
              </w:tc>
              <w:tc>
                <w:tcPr>
                  <w:tcW w:w="867" w:type="pct"/>
                  <w:tcBorders>
                    <w:top w:val="single" w:color="auto" w:sz="4" w:space="0"/>
                    <w:left w:val="nil"/>
                    <w:bottom w:val="single" w:color="auto" w:sz="4" w:space="0"/>
                    <w:right w:val="single" w:color="auto" w:sz="4" w:space="0"/>
                  </w:tcBorders>
                  <w:noWrap w:val="0"/>
                  <w:vAlign w:val="center"/>
                </w:tcPr>
                <w:p w14:paraId="3F7A2B5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eastAsia" w:cs="Times New Roman"/>
                      <w:color w:val="auto"/>
                      <w:sz w:val="21"/>
                      <w:szCs w:val="21"/>
                      <w:lang w:val="en-US" w:eastAsia="zh-CN" w:bidi="ar"/>
                    </w:rPr>
                    <w:t>无组织</w:t>
                  </w:r>
                  <w:r>
                    <w:rPr>
                      <w:rFonts w:hint="default" w:ascii="Times New Roman" w:hAnsi="Times New Roman" w:eastAsia="宋体" w:cs="Times New Roman"/>
                      <w:color w:val="auto"/>
                      <w:sz w:val="21"/>
                      <w:szCs w:val="21"/>
                      <w:lang w:eastAsia="zh-CN" w:bidi="ar"/>
                    </w:rPr>
                    <w:t>排放</w:t>
                  </w:r>
                </w:p>
              </w:tc>
            </w:tr>
            <w:tr w14:paraId="3E85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1505E52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c>
                <w:tcPr>
                  <w:tcW w:w="614" w:type="pct"/>
                  <w:tcBorders>
                    <w:top w:val="single" w:color="auto" w:sz="4" w:space="0"/>
                    <w:left w:val="nil"/>
                    <w:bottom w:val="single" w:color="auto" w:sz="4" w:space="0"/>
                    <w:right w:val="single" w:color="auto" w:sz="4" w:space="0"/>
                  </w:tcBorders>
                  <w:noWrap w:val="0"/>
                  <w:vAlign w:val="center"/>
                </w:tcPr>
                <w:p w14:paraId="0C3119C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WG</w:t>
                  </w:r>
                  <w:r>
                    <w:rPr>
                      <w:rFonts w:hint="eastAsia" w:cs="Times New Roman"/>
                      <w:color w:val="auto"/>
                      <w:sz w:val="21"/>
                      <w:szCs w:val="21"/>
                      <w:lang w:val="en-US" w:eastAsia="zh-CN" w:bidi="ar"/>
                    </w:rPr>
                    <w:t>4</w:t>
                  </w:r>
                </w:p>
              </w:tc>
              <w:tc>
                <w:tcPr>
                  <w:tcW w:w="964" w:type="pct"/>
                  <w:tcBorders>
                    <w:top w:val="single" w:color="auto" w:sz="4" w:space="0"/>
                    <w:left w:val="nil"/>
                    <w:bottom w:val="single" w:color="auto" w:sz="4" w:space="0"/>
                    <w:right w:val="single" w:color="auto" w:sz="4" w:space="0"/>
                  </w:tcBorders>
                  <w:noWrap w:val="0"/>
                  <w:vAlign w:val="center"/>
                </w:tcPr>
                <w:p w14:paraId="60A5FE3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bidi="ar"/>
                    </w:rPr>
                  </w:pPr>
                  <w:r>
                    <w:rPr>
                      <w:rFonts w:hint="eastAsia" w:cs="Times New Roman"/>
                      <w:color w:val="auto"/>
                      <w:sz w:val="21"/>
                      <w:szCs w:val="21"/>
                      <w:lang w:val="en-US" w:eastAsia="zh-CN" w:bidi="ar"/>
                    </w:rPr>
                    <w:t>运输扬尘</w:t>
                  </w:r>
                </w:p>
              </w:tc>
              <w:tc>
                <w:tcPr>
                  <w:tcW w:w="1100" w:type="pct"/>
                  <w:tcBorders>
                    <w:top w:val="single" w:color="auto" w:sz="4" w:space="0"/>
                    <w:left w:val="nil"/>
                    <w:bottom w:val="single" w:color="auto" w:sz="4" w:space="0"/>
                    <w:right w:val="single" w:color="auto" w:sz="4" w:space="0"/>
                  </w:tcBorders>
                  <w:noWrap w:val="0"/>
                  <w:vAlign w:val="center"/>
                </w:tcPr>
                <w:p w14:paraId="5DD7051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bidi="ar"/>
                    </w:rPr>
                  </w:pPr>
                  <w:r>
                    <w:rPr>
                      <w:rFonts w:hint="eastAsia" w:cs="Times New Roman"/>
                      <w:color w:val="auto"/>
                      <w:sz w:val="21"/>
                      <w:szCs w:val="21"/>
                      <w:lang w:val="en-US" w:eastAsia="zh-CN" w:bidi="ar"/>
                    </w:rPr>
                    <w:t>车辆运输</w:t>
                  </w:r>
                </w:p>
              </w:tc>
              <w:tc>
                <w:tcPr>
                  <w:tcW w:w="867" w:type="pct"/>
                  <w:tcBorders>
                    <w:top w:val="single" w:color="auto" w:sz="4" w:space="0"/>
                    <w:left w:val="nil"/>
                    <w:bottom w:val="single" w:color="auto" w:sz="4" w:space="0"/>
                    <w:right w:val="single" w:color="auto" w:sz="4" w:space="0"/>
                  </w:tcBorders>
                  <w:noWrap w:val="0"/>
                  <w:vAlign w:val="center"/>
                </w:tcPr>
                <w:p w14:paraId="5BCF4E44">
                  <w:pPr>
                    <w:keepNext w:val="0"/>
                    <w:keepLines w:val="0"/>
                    <w:pageBreakBefore w:val="0"/>
                    <w:widowControl w:val="0"/>
                    <w:kinsoku/>
                    <w:wordWrap/>
                    <w:overflowPunct/>
                    <w:topLinePunct w:val="0"/>
                    <w:autoSpaceDN/>
                    <w:bidi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eastAsia" w:cs="Times New Roman"/>
                      <w:color w:val="auto"/>
                      <w:sz w:val="21"/>
                      <w:szCs w:val="21"/>
                      <w:lang w:eastAsia="zh-CN" w:bidi="ar"/>
                    </w:rPr>
                    <w:t>颗粒物</w:t>
                  </w:r>
                </w:p>
              </w:tc>
              <w:tc>
                <w:tcPr>
                  <w:tcW w:w="867" w:type="pct"/>
                  <w:tcBorders>
                    <w:top w:val="single" w:color="auto" w:sz="4" w:space="0"/>
                    <w:left w:val="nil"/>
                    <w:bottom w:val="single" w:color="auto" w:sz="4" w:space="0"/>
                    <w:right w:val="single" w:color="auto" w:sz="4" w:space="0"/>
                  </w:tcBorders>
                  <w:noWrap w:val="0"/>
                  <w:vAlign w:val="center"/>
                </w:tcPr>
                <w:p w14:paraId="392DDC1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bidi="ar"/>
                    </w:rPr>
                  </w:pPr>
                  <w:r>
                    <w:rPr>
                      <w:rFonts w:hint="eastAsia" w:cs="Times New Roman"/>
                      <w:color w:val="auto"/>
                      <w:sz w:val="21"/>
                      <w:szCs w:val="21"/>
                      <w:lang w:val="en-US" w:eastAsia="zh-CN" w:bidi="ar"/>
                    </w:rPr>
                    <w:t>无组织</w:t>
                  </w:r>
                  <w:r>
                    <w:rPr>
                      <w:rFonts w:hint="default" w:ascii="Times New Roman" w:hAnsi="Times New Roman" w:eastAsia="宋体" w:cs="Times New Roman"/>
                      <w:color w:val="auto"/>
                      <w:sz w:val="21"/>
                      <w:szCs w:val="21"/>
                      <w:lang w:eastAsia="zh-CN" w:bidi="ar"/>
                    </w:rPr>
                    <w:t>排放</w:t>
                  </w:r>
                </w:p>
              </w:tc>
            </w:tr>
            <w:tr w14:paraId="5216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674E85C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c>
                <w:tcPr>
                  <w:tcW w:w="614" w:type="pct"/>
                  <w:tcBorders>
                    <w:top w:val="single" w:color="auto" w:sz="4" w:space="0"/>
                    <w:left w:val="nil"/>
                    <w:bottom w:val="single" w:color="auto" w:sz="4" w:space="0"/>
                    <w:right w:val="single" w:color="auto" w:sz="4" w:space="0"/>
                  </w:tcBorders>
                  <w:noWrap w:val="0"/>
                  <w:vAlign w:val="center"/>
                </w:tcPr>
                <w:p w14:paraId="192FF62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WG</w:t>
                  </w:r>
                  <w:r>
                    <w:rPr>
                      <w:rFonts w:hint="eastAsia" w:cs="Times New Roman"/>
                      <w:color w:val="auto"/>
                      <w:sz w:val="21"/>
                      <w:szCs w:val="21"/>
                      <w:lang w:val="en-US" w:eastAsia="zh-CN" w:bidi="ar"/>
                    </w:rPr>
                    <w:t>5</w:t>
                  </w:r>
                </w:p>
              </w:tc>
              <w:tc>
                <w:tcPr>
                  <w:tcW w:w="964" w:type="pct"/>
                  <w:tcBorders>
                    <w:top w:val="single" w:color="auto" w:sz="4" w:space="0"/>
                    <w:left w:val="nil"/>
                    <w:bottom w:val="single" w:color="auto" w:sz="4" w:space="0"/>
                    <w:right w:val="single" w:color="auto" w:sz="4" w:space="0"/>
                  </w:tcBorders>
                  <w:noWrap w:val="0"/>
                  <w:vAlign w:val="center"/>
                </w:tcPr>
                <w:p w14:paraId="70AA9D3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bidi="ar"/>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eastAsia="zh-CN"/>
                    </w:rPr>
                    <w:t>沥青搅拌废气</w:t>
                  </w:r>
                </w:p>
              </w:tc>
              <w:tc>
                <w:tcPr>
                  <w:tcW w:w="1100" w:type="pct"/>
                  <w:tcBorders>
                    <w:top w:val="single" w:color="auto" w:sz="4" w:space="0"/>
                    <w:left w:val="nil"/>
                    <w:bottom w:val="single" w:color="auto" w:sz="4" w:space="0"/>
                    <w:right w:val="single" w:color="auto" w:sz="4" w:space="0"/>
                  </w:tcBorders>
                  <w:noWrap w:val="0"/>
                  <w:vAlign w:val="center"/>
                </w:tcPr>
                <w:p w14:paraId="30D9DA2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bidi="ar"/>
                    </w:rPr>
                  </w:pPr>
                  <w:r>
                    <w:rPr>
                      <w:rFonts w:hint="default" w:ascii="Times New Roman" w:hAnsi="Times New Roman" w:cs="Times New Roman"/>
                      <w:color w:val="auto"/>
                      <w:sz w:val="21"/>
                      <w:szCs w:val="21"/>
                    </w:rPr>
                    <w:t>沥青搅拌机</w:t>
                  </w:r>
                </w:p>
              </w:tc>
              <w:tc>
                <w:tcPr>
                  <w:tcW w:w="867" w:type="pct"/>
                  <w:tcBorders>
                    <w:top w:val="single" w:color="auto" w:sz="4" w:space="0"/>
                    <w:left w:val="nil"/>
                    <w:bottom w:val="single" w:color="auto" w:sz="4" w:space="0"/>
                    <w:right w:val="single" w:color="auto" w:sz="4" w:space="0"/>
                  </w:tcBorders>
                  <w:noWrap w:val="0"/>
                  <w:vAlign w:val="center"/>
                </w:tcPr>
                <w:p w14:paraId="050DB4A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eastAsia="zh-CN" w:bidi="ar"/>
                    </w:rPr>
                  </w:pPr>
                  <w:r>
                    <w:rPr>
                      <w:rFonts w:hint="eastAsia" w:cs="Times New Roman"/>
                      <w:color w:val="auto"/>
                      <w:sz w:val="21"/>
                      <w:szCs w:val="21"/>
                      <w:lang w:val="en-US" w:eastAsia="zh-CN" w:bidi="ar"/>
                    </w:rPr>
                    <w:t>沥青烟、</w:t>
                  </w:r>
                  <w:r>
                    <w:rPr>
                      <w:rFonts w:hint="default" w:ascii="Times New Roman" w:hAnsi="Times New Roman" w:cs="Times New Roman"/>
                      <w:color w:val="auto"/>
                      <w:sz w:val="21"/>
                      <w:szCs w:val="21"/>
                      <w:lang w:bidi="ar"/>
                    </w:rPr>
                    <w:t>苯并芘</w:t>
                  </w:r>
                </w:p>
              </w:tc>
              <w:tc>
                <w:tcPr>
                  <w:tcW w:w="867" w:type="pct"/>
                  <w:tcBorders>
                    <w:top w:val="single" w:color="auto" w:sz="4" w:space="0"/>
                    <w:left w:val="nil"/>
                    <w:bottom w:val="single" w:color="auto" w:sz="4" w:space="0"/>
                    <w:right w:val="single" w:color="auto" w:sz="4" w:space="0"/>
                  </w:tcBorders>
                  <w:noWrap w:val="0"/>
                  <w:vAlign w:val="center"/>
                </w:tcPr>
                <w:p w14:paraId="1968559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bidi="ar"/>
                    </w:rPr>
                  </w:pPr>
                  <w:r>
                    <w:rPr>
                      <w:rFonts w:hint="default" w:ascii="Times New Roman" w:hAnsi="Times New Roman" w:cs="Times New Roman"/>
                      <w:color w:val="auto"/>
                      <w:sz w:val="21"/>
                      <w:szCs w:val="21"/>
                      <w:lang w:bidi="ar"/>
                    </w:rPr>
                    <w:t>无组织排放</w:t>
                  </w:r>
                </w:p>
              </w:tc>
            </w:tr>
            <w:tr w14:paraId="4B33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restart"/>
                  <w:tcBorders>
                    <w:top w:val="nil"/>
                    <w:left w:val="single" w:color="auto" w:sz="4" w:space="0"/>
                    <w:right w:val="single" w:color="auto" w:sz="4" w:space="0"/>
                  </w:tcBorders>
                  <w:noWrap w:val="0"/>
                  <w:vAlign w:val="center"/>
                </w:tcPr>
                <w:p w14:paraId="30B12CC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废水</w:t>
                  </w:r>
                </w:p>
              </w:tc>
              <w:tc>
                <w:tcPr>
                  <w:tcW w:w="614" w:type="pct"/>
                  <w:tcBorders>
                    <w:top w:val="single" w:color="auto" w:sz="4" w:space="0"/>
                    <w:left w:val="nil"/>
                    <w:bottom w:val="single" w:color="auto" w:sz="4" w:space="0"/>
                    <w:right w:val="single" w:color="auto" w:sz="4" w:space="0"/>
                  </w:tcBorders>
                  <w:noWrap w:val="0"/>
                  <w:vAlign w:val="center"/>
                </w:tcPr>
                <w:p w14:paraId="2B378B7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W1</w:t>
                  </w:r>
                </w:p>
              </w:tc>
              <w:tc>
                <w:tcPr>
                  <w:tcW w:w="964" w:type="pct"/>
                  <w:tcBorders>
                    <w:top w:val="single" w:color="auto" w:sz="4" w:space="0"/>
                    <w:left w:val="nil"/>
                    <w:bottom w:val="single" w:color="auto" w:sz="4" w:space="0"/>
                    <w:right w:val="single" w:color="auto" w:sz="4" w:space="0"/>
                  </w:tcBorders>
                  <w:noWrap w:val="0"/>
                  <w:vAlign w:val="center"/>
                </w:tcPr>
                <w:p w14:paraId="17E7010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生活污水</w:t>
                  </w:r>
                </w:p>
              </w:tc>
              <w:tc>
                <w:tcPr>
                  <w:tcW w:w="1100" w:type="pct"/>
                  <w:tcBorders>
                    <w:top w:val="single" w:color="auto" w:sz="4" w:space="0"/>
                    <w:left w:val="nil"/>
                    <w:bottom w:val="single" w:color="auto" w:sz="4" w:space="0"/>
                    <w:right w:val="single" w:color="auto" w:sz="4" w:space="0"/>
                  </w:tcBorders>
                  <w:noWrap w:val="0"/>
                  <w:vAlign w:val="center"/>
                </w:tcPr>
                <w:p w14:paraId="440FF0E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工作人员</w:t>
                  </w:r>
                </w:p>
              </w:tc>
              <w:tc>
                <w:tcPr>
                  <w:tcW w:w="867" w:type="pct"/>
                  <w:tcBorders>
                    <w:top w:val="single" w:color="auto" w:sz="4" w:space="0"/>
                    <w:left w:val="nil"/>
                    <w:bottom w:val="single" w:color="auto" w:sz="4" w:space="0"/>
                    <w:right w:val="single" w:color="auto" w:sz="4" w:space="0"/>
                  </w:tcBorders>
                  <w:noWrap w:val="0"/>
                  <w:vAlign w:val="center"/>
                </w:tcPr>
                <w:p w14:paraId="5BC062F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pH、COD、氨氮、总磷等</w:t>
                  </w:r>
                </w:p>
              </w:tc>
              <w:tc>
                <w:tcPr>
                  <w:tcW w:w="867" w:type="pct"/>
                  <w:tcBorders>
                    <w:top w:val="single" w:color="auto" w:sz="4" w:space="0"/>
                    <w:left w:val="nil"/>
                    <w:bottom w:val="single" w:color="auto" w:sz="4" w:space="0"/>
                    <w:right w:val="single" w:color="auto" w:sz="4" w:space="0"/>
                  </w:tcBorders>
                  <w:noWrap w:val="0"/>
                  <w:vAlign w:val="center"/>
                </w:tcPr>
                <w:p w14:paraId="7215FC6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cs="Times New Roman"/>
                      <w:color w:val="auto"/>
                      <w:sz w:val="21"/>
                      <w:szCs w:val="21"/>
                      <w:lang w:val="en-US" w:eastAsia="zh-CN" w:bidi="ar"/>
                    </w:rPr>
                    <w:t>近期</w:t>
                  </w:r>
                  <w:r>
                    <w:rPr>
                      <w:rFonts w:hint="eastAsia" w:cs="Times New Roman"/>
                      <w:color w:val="auto"/>
                      <w:sz w:val="21"/>
                      <w:szCs w:val="21"/>
                      <w:lang w:val="en-US" w:eastAsia="zh-CN" w:bidi="ar"/>
                    </w:rPr>
                    <w:t>用于绿化；</w:t>
                  </w:r>
                  <w:r>
                    <w:rPr>
                      <w:rFonts w:hint="default" w:cs="Times New Roman"/>
                      <w:color w:val="auto"/>
                      <w:sz w:val="21"/>
                      <w:szCs w:val="21"/>
                      <w:lang w:val="en-US" w:eastAsia="zh-CN" w:bidi="ar"/>
                    </w:rPr>
                    <w:t>远期在污水管网覆盖后</w:t>
                  </w:r>
                  <w:r>
                    <w:rPr>
                      <w:rFonts w:hint="eastAsia" w:cs="Times New Roman"/>
                      <w:color w:val="auto"/>
                      <w:sz w:val="21"/>
                      <w:szCs w:val="21"/>
                      <w:lang w:val="en-US" w:eastAsia="zh-CN" w:bidi="ar"/>
                    </w:rPr>
                    <w:t>经</w:t>
                  </w:r>
                  <w:r>
                    <w:rPr>
                      <w:rFonts w:hint="default" w:cs="Times New Roman"/>
                      <w:color w:val="auto"/>
                      <w:sz w:val="21"/>
                      <w:szCs w:val="21"/>
                      <w:lang w:val="en-US" w:eastAsia="zh-CN" w:bidi="ar"/>
                    </w:rPr>
                    <w:t>园区污水管网</w:t>
                  </w:r>
                  <w:r>
                    <w:rPr>
                      <w:rFonts w:hint="eastAsia" w:cs="Times New Roman"/>
                      <w:color w:val="auto"/>
                      <w:sz w:val="21"/>
                      <w:szCs w:val="21"/>
                      <w:lang w:val="en-US" w:eastAsia="zh-CN" w:bidi="ar"/>
                    </w:rPr>
                    <w:t>排入</w:t>
                  </w:r>
                  <w:r>
                    <w:rPr>
                      <w:rFonts w:hint="default" w:cs="Times New Roman"/>
                      <w:color w:val="auto"/>
                      <w:sz w:val="21"/>
                      <w:szCs w:val="21"/>
                      <w:lang w:val="en-US" w:eastAsia="zh-CN" w:bidi="ar"/>
                    </w:rPr>
                    <w:t>帕底工业园区污水处理厂</w:t>
                  </w:r>
                </w:p>
              </w:tc>
            </w:tr>
            <w:tr w14:paraId="2D56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7E7CF0C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p>
              </w:tc>
              <w:tc>
                <w:tcPr>
                  <w:tcW w:w="614" w:type="pct"/>
                  <w:tcBorders>
                    <w:top w:val="single" w:color="auto" w:sz="4" w:space="0"/>
                    <w:left w:val="nil"/>
                    <w:bottom w:val="single" w:color="auto" w:sz="4" w:space="0"/>
                    <w:right w:val="single" w:color="auto" w:sz="4" w:space="0"/>
                  </w:tcBorders>
                  <w:noWrap w:val="0"/>
                  <w:vAlign w:val="center"/>
                </w:tcPr>
                <w:p w14:paraId="25F7E01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W</w:t>
                  </w:r>
                  <w:r>
                    <w:rPr>
                      <w:rFonts w:hint="eastAsia" w:cs="Times New Roman"/>
                      <w:color w:val="auto"/>
                      <w:sz w:val="21"/>
                      <w:szCs w:val="21"/>
                      <w:lang w:val="en-US" w:eastAsia="zh-CN" w:bidi="ar"/>
                    </w:rPr>
                    <w:t>2</w:t>
                  </w:r>
                </w:p>
              </w:tc>
              <w:tc>
                <w:tcPr>
                  <w:tcW w:w="964" w:type="pct"/>
                  <w:tcBorders>
                    <w:top w:val="single" w:color="auto" w:sz="4" w:space="0"/>
                    <w:left w:val="nil"/>
                    <w:bottom w:val="single" w:color="auto" w:sz="4" w:space="0"/>
                    <w:right w:val="single" w:color="auto" w:sz="4" w:space="0"/>
                  </w:tcBorders>
                  <w:noWrap w:val="0"/>
                  <w:vAlign w:val="center"/>
                </w:tcPr>
                <w:p w14:paraId="2AE7AA1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val="en-US" w:eastAsia="zh-CN" w:bidi="ar"/>
                    </w:rPr>
                    <w:t>生产废水</w:t>
                  </w:r>
                </w:p>
              </w:tc>
              <w:tc>
                <w:tcPr>
                  <w:tcW w:w="1100" w:type="pct"/>
                  <w:tcBorders>
                    <w:top w:val="single" w:color="auto" w:sz="4" w:space="0"/>
                    <w:left w:val="nil"/>
                    <w:bottom w:val="single" w:color="auto" w:sz="4" w:space="0"/>
                    <w:right w:val="single" w:color="auto" w:sz="4" w:space="0"/>
                  </w:tcBorders>
                  <w:noWrap w:val="0"/>
                  <w:vAlign w:val="center"/>
                </w:tcPr>
                <w:p w14:paraId="14820A94">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rPr>
                    <w:t>初期雨水</w:t>
                  </w:r>
                  <w:r>
                    <w:rPr>
                      <w:rFonts w:hint="eastAsia" w:cs="Times New Roman"/>
                      <w:color w:val="auto"/>
                      <w:sz w:val="21"/>
                      <w:szCs w:val="21"/>
                      <w:lang w:eastAsia="zh-CN"/>
                    </w:rPr>
                    <w:t>、</w:t>
                  </w:r>
                  <w:r>
                    <w:rPr>
                      <w:rFonts w:hint="eastAsia" w:cs="Times New Roman"/>
                      <w:color w:val="auto"/>
                      <w:sz w:val="21"/>
                      <w:szCs w:val="21"/>
                      <w:lang w:val="en-US" w:eastAsia="zh-CN"/>
                    </w:rPr>
                    <w:t>车辆和设备冲洗废水、</w:t>
                  </w:r>
                  <w:r>
                    <w:rPr>
                      <w:rFonts w:hint="eastAsia" w:ascii="Times New Roman" w:hAnsi="Times New Roman" w:cs="Times New Roman"/>
                      <w:color w:val="auto"/>
                      <w:sz w:val="21"/>
                      <w:szCs w:val="21"/>
                      <w:lang w:val="en-US" w:eastAsia="zh-CN"/>
                    </w:rPr>
                    <w:t>场地冲洗废水</w:t>
                  </w:r>
                </w:p>
              </w:tc>
              <w:tc>
                <w:tcPr>
                  <w:tcW w:w="867" w:type="pct"/>
                  <w:tcBorders>
                    <w:top w:val="single" w:color="auto" w:sz="4" w:space="0"/>
                    <w:left w:val="nil"/>
                    <w:bottom w:val="single" w:color="auto" w:sz="4" w:space="0"/>
                    <w:right w:val="single" w:color="auto" w:sz="4" w:space="0"/>
                  </w:tcBorders>
                  <w:noWrap w:val="0"/>
                  <w:vAlign w:val="center"/>
                </w:tcPr>
                <w:p w14:paraId="558FCBBA">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悬浮物、石油类</w:t>
                  </w:r>
                </w:p>
              </w:tc>
              <w:tc>
                <w:tcPr>
                  <w:tcW w:w="867" w:type="pct"/>
                  <w:tcBorders>
                    <w:top w:val="single" w:color="auto" w:sz="4" w:space="0"/>
                    <w:left w:val="nil"/>
                    <w:bottom w:val="single" w:color="auto" w:sz="4" w:space="0"/>
                    <w:right w:val="single" w:color="auto" w:sz="4" w:space="0"/>
                  </w:tcBorders>
                  <w:noWrap w:val="0"/>
                  <w:vAlign w:val="center"/>
                </w:tcPr>
                <w:p w14:paraId="0AF71EB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bidi="ar"/>
                    </w:rPr>
                    <w:t>回用于</w:t>
                  </w:r>
                  <w:r>
                    <w:rPr>
                      <w:rFonts w:hint="eastAsia" w:ascii="Times New Roman" w:hAnsi="Times New Roman" w:cs="Times New Roman"/>
                      <w:color w:val="auto"/>
                      <w:sz w:val="21"/>
                      <w:szCs w:val="21"/>
                      <w:lang w:val="en-US" w:eastAsia="zh-CN" w:bidi="ar"/>
                    </w:rPr>
                    <w:t>地面清洗及洒水</w:t>
                  </w:r>
                </w:p>
              </w:tc>
            </w:tr>
            <w:tr w14:paraId="0854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tcBorders>
                    <w:top w:val="single" w:color="auto" w:sz="4" w:space="0"/>
                    <w:left w:val="single" w:color="auto" w:sz="4" w:space="0"/>
                    <w:bottom w:val="single" w:color="auto" w:sz="4" w:space="0"/>
                    <w:right w:val="single" w:color="auto" w:sz="4" w:space="0"/>
                  </w:tcBorders>
                  <w:noWrap w:val="0"/>
                  <w:vAlign w:val="center"/>
                </w:tcPr>
                <w:p w14:paraId="1B8AF8B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噪声</w:t>
                  </w:r>
                </w:p>
              </w:tc>
              <w:tc>
                <w:tcPr>
                  <w:tcW w:w="614" w:type="pct"/>
                  <w:tcBorders>
                    <w:top w:val="single" w:color="auto" w:sz="4" w:space="0"/>
                    <w:left w:val="nil"/>
                    <w:bottom w:val="single" w:color="auto" w:sz="4" w:space="0"/>
                    <w:right w:val="single" w:color="auto" w:sz="4" w:space="0"/>
                  </w:tcBorders>
                  <w:noWrap w:val="0"/>
                  <w:vAlign w:val="center"/>
                </w:tcPr>
                <w:p w14:paraId="61268AE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N1-N9</w:t>
                  </w:r>
                </w:p>
              </w:tc>
              <w:tc>
                <w:tcPr>
                  <w:tcW w:w="964" w:type="pct"/>
                  <w:tcBorders>
                    <w:top w:val="single" w:color="auto" w:sz="4" w:space="0"/>
                    <w:left w:val="nil"/>
                    <w:bottom w:val="single" w:color="auto" w:sz="4" w:space="0"/>
                    <w:right w:val="single" w:color="auto" w:sz="4" w:space="0"/>
                  </w:tcBorders>
                  <w:noWrap w:val="0"/>
                  <w:vAlign w:val="center"/>
                </w:tcPr>
                <w:p w14:paraId="1747916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设备噪声、运输车辆</w:t>
                  </w:r>
                </w:p>
              </w:tc>
              <w:tc>
                <w:tcPr>
                  <w:tcW w:w="1100" w:type="pct"/>
                  <w:tcBorders>
                    <w:top w:val="single" w:color="auto" w:sz="4" w:space="0"/>
                    <w:left w:val="nil"/>
                    <w:bottom w:val="single" w:color="auto" w:sz="4" w:space="0"/>
                    <w:right w:val="single" w:color="auto" w:sz="4" w:space="0"/>
                  </w:tcBorders>
                  <w:noWrap w:val="0"/>
                  <w:vAlign w:val="center"/>
                </w:tcPr>
                <w:p w14:paraId="29FC3A7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装载机、给料机、干燥机、提升机、振动筛、搅拌机、运输车辆、沥青泵、风机等</w:t>
                  </w:r>
                </w:p>
              </w:tc>
              <w:tc>
                <w:tcPr>
                  <w:tcW w:w="867" w:type="pct"/>
                  <w:tcBorders>
                    <w:top w:val="single" w:color="auto" w:sz="4" w:space="0"/>
                    <w:left w:val="nil"/>
                    <w:bottom w:val="single" w:color="auto" w:sz="4" w:space="0"/>
                    <w:right w:val="single" w:color="auto" w:sz="4" w:space="0"/>
                  </w:tcBorders>
                  <w:noWrap w:val="0"/>
                  <w:vAlign w:val="center"/>
                </w:tcPr>
                <w:p w14:paraId="0978B6E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等效连续A声级</w:t>
                  </w:r>
                </w:p>
              </w:tc>
              <w:tc>
                <w:tcPr>
                  <w:tcW w:w="867" w:type="pct"/>
                  <w:tcBorders>
                    <w:top w:val="single" w:color="auto" w:sz="4" w:space="0"/>
                    <w:left w:val="nil"/>
                    <w:bottom w:val="single" w:color="auto" w:sz="4" w:space="0"/>
                    <w:right w:val="single" w:color="auto" w:sz="4" w:space="0"/>
                  </w:tcBorders>
                  <w:noWrap w:val="0"/>
                  <w:vAlign w:val="center"/>
                </w:tcPr>
                <w:p w14:paraId="6713B94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rPr>
                    <w:t>沥青混凝土生产线</w:t>
                  </w:r>
                </w:p>
              </w:tc>
            </w:tr>
            <w:tr w14:paraId="286F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restart"/>
                  <w:tcBorders>
                    <w:top w:val="nil"/>
                    <w:left w:val="single" w:color="auto" w:sz="4" w:space="0"/>
                    <w:right w:val="single" w:color="auto" w:sz="4" w:space="0"/>
                  </w:tcBorders>
                  <w:noWrap w:val="0"/>
                  <w:vAlign w:val="center"/>
                </w:tcPr>
                <w:p w14:paraId="450D34C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固体废物</w:t>
                  </w:r>
                </w:p>
              </w:tc>
              <w:tc>
                <w:tcPr>
                  <w:tcW w:w="614" w:type="pct"/>
                  <w:tcBorders>
                    <w:top w:val="single" w:color="auto" w:sz="4" w:space="0"/>
                    <w:left w:val="nil"/>
                    <w:bottom w:val="single" w:color="auto" w:sz="4" w:space="0"/>
                    <w:right w:val="single" w:color="auto" w:sz="4" w:space="0"/>
                  </w:tcBorders>
                  <w:noWrap w:val="0"/>
                  <w:vAlign w:val="center"/>
                </w:tcPr>
                <w:p w14:paraId="7396188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S1</w:t>
                  </w:r>
                </w:p>
              </w:tc>
              <w:tc>
                <w:tcPr>
                  <w:tcW w:w="964" w:type="pct"/>
                  <w:tcBorders>
                    <w:top w:val="single" w:color="auto" w:sz="4" w:space="0"/>
                    <w:left w:val="nil"/>
                    <w:bottom w:val="single" w:color="auto" w:sz="4" w:space="0"/>
                    <w:right w:val="single" w:color="auto" w:sz="4" w:space="0"/>
                  </w:tcBorders>
                  <w:noWrap w:val="0"/>
                  <w:vAlign w:val="center"/>
                </w:tcPr>
                <w:p w14:paraId="0DF01FE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收尘灰</w:t>
                  </w:r>
                </w:p>
              </w:tc>
              <w:tc>
                <w:tcPr>
                  <w:tcW w:w="1100" w:type="pct"/>
                  <w:tcBorders>
                    <w:top w:val="single" w:color="auto" w:sz="4" w:space="0"/>
                    <w:left w:val="nil"/>
                    <w:bottom w:val="single" w:color="auto" w:sz="4" w:space="0"/>
                    <w:right w:val="single" w:color="auto" w:sz="4" w:space="0"/>
                  </w:tcBorders>
                  <w:noWrap w:val="0"/>
                  <w:vAlign w:val="center"/>
                </w:tcPr>
                <w:p w14:paraId="3C82EB5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布袋除尘器</w:t>
                  </w:r>
                </w:p>
              </w:tc>
              <w:tc>
                <w:tcPr>
                  <w:tcW w:w="867" w:type="pct"/>
                  <w:tcBorders>
                    <w:top w:val="single" w:color="auto" w:sz="4" w:space="0"/>
                    <w:left w:val="nil"/>
                    <w:bottom w:val="single" w:color="auto" w:sz="4" w:space="0"/>
                    <w:right w:val="single" w:color="auto" w:sz="4" w:space="0"/>
                  </w:tcBorders>
                  <w:noWrap w:val="0"/>
                  <w:vAlign w:val="center"/>
                </w:tcPr>
                <w:p w14:paraId="3AC57F5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粉尘</w:t>
                  </w:r>
                </w:p>
              </w:tc>
              <w:tc>
                <w:tcPr>
                  <w:tcW w:w="867" w:type="pct"/>
                  <w:tcBorders>
                    <w:top w:val="single" w:color="auto" w:sz="4" w:space="0"/>
                    <w:left w:val="nil"/>
                    <w:bottom w:val="single" w:color="auto" w:sz="4" w:space="0"/>
                    <w:right w:val="single" w:color="auto" w:sz="4" w:space="0"/>
                  </w:tcBorders>
                  <w:noWrap w:val="0"/>
                  <w:vAlign w:val="center"/>
                </w:tcPr>
                <w:p w14:paraId="79777B1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rPr>
                    <w:t>一般固废</w:t>
                  </w:r>
                </w:p>
              </w:tc>
            </w:tr>
            <w:tr w14:paraId="2305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4B2E1E06">
                  <w:pPr>
                    <w:keepNext w:val="0"/>
                    <w:keepLines w:val="0"/>
                    <w:pageBreakBefore w:val="0"/>
                    <w:widowControl w:val="0"/>
                    <w:kinsoku/>
                    <w:wordWrap/>
                    <w:overflowPunct/>
                    <w:topLinePunct w:val="0"/>
                    <w:autoSpaceDN/>
                    <w:bidi w:val="0"/>
                    <w:spacing w:line="240" w:lineRule="auto"/>
                    <w:ind w:firstLine="0" w:firstLineChars="0"/>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31B98AE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S2</w:t>
                  </w:r>
                </w:p>
              </w:tc>
              <w:tc>
                <w:tcPr>
                  <w:tcW w:w="964" w:type="pct"/>
                  <w:tcBorders>
                    <w:top w:val="single" w:color="auto" w:sz="4" w:space="0"/>
                    <w:left w:val="nil"/>
                    <w:bottom w:val="single" w:color="auto" w:sz="4" w:space="0"/>
                    <w:right w:val="single" w:color="auto" w:sz="4" w:space="0"/>
                  </w:tcBorders>
                  <w:noWrap w:val="0"/>
                  <w:vAlign w:val="center"/>
                </w:tcPr>
                <w:p w14:paraId="001A34A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废活性炭</w:t>
                  </w:r>
                </w:p>
              </w:tc>
              <w:tc>
                <w:tcPr>
                  <w:tcW w:w="1100" w:type="pct"/>
                  <w:tcBorders>
                    <w:top w:val="single" w:color="auto" w:sz="4" w:space="0"/>
                    <w:left w:val="nil"/>
                    <w:bottom w:val="single" w:color="auto" w:sz="4" w:space="0"/>
                    <w:right w:val="single" w:color="auto" w:sz="4" w:space="0"/>
                  </w:tcBorders>
                  <w:noWrap w:val="0"/>
                  <w:vAlign w:val="center"/>
                </w:tcPr>
                <w:p w14:paraId="77EDC0D0">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活性炭吸附装置</w:t>
                  </w:r>
                </w:p>
              </w:tc>
              <w:tc>
                <w:tcPr>
                  <w:tcW w:w="867" w:type="pct"/>
                  <w:tcBorders>
                    <w:top w:val="single" w:color="auto" w:sz="4" w:space="0"/>
                    <w:left w:val="nil"/>
                    <w:bottom w:val="single" w:color="auto" w:sz="4" w:space="0"/>
                    <w:right w:val="single" w:color="auto" w:sz="4" w:space="0"/>
                  </w:tcBorders>
                  <w:noWrap w:val="0"/>
                  <w:vAlign w:val="center"/>
                </w:tcPr>
                <w:p w14:paraId="1B3E6DC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废活性炭</w:t>
                  </w:r>
                </w:p>
              </w:tc>
              <w:tc>
                <w:tcPr>
                  <w:tcW w:w="867" w:type="pct"/>
                  <w:tcBorders>
                    <w:top w:val="single" w:color="auto" w:sz="4" w:space="0"/>
                    <w:left w:val="nil"/>
                    <w:bottom w:val="single" w:color="auto" w:sz="4" w:space="0"/>
                    <w:right w:val="single" w:color="auto" w:sz="4" w:space="0"/>
                  </w:tcBorders>
                  <w:noWrap w:val="0"/>
                  <w:vAlign w:val="center"/>
                </w:tcPr>
                <w:p w14:paraId="3B1B6ED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r>
            <w:tr w14:paraId="51B6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4742D66B">
                  <w:pPr>
                    <w:keepNext w:val="0"/>
                    <w:keepLines w:val="0"/>
                    <w:pageBreakBefore w:val="0"/>
                    <w:widowControl w:val="0"/>
                    <w:kinsoku/>
                    <w:wordWrap/>
                    <w:overflowPunct/>
                    <w:topLinePunct w:val="0"/>
                    <w:autoSpaceDN/>
                    <w:bidi w:val="0"/>
                    <w:spacing w:line="240" w:lineRule="auto"/>
                    <w:ind w:firstLine="0" w:firstLineChars="0"/>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7933980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S3</w:t>
                  </w:r>
                </w:p>
              </w:tc>
              <w:tc>
                <w:tcPr>
                  <w:tcW w:w="964" w:type="pct"/>
                  <w:tcBorders>
                    <w:top w:val="single" w:color="auto" w:sz="4" w:space="0"/>
                    <w:left w:val="nil"/>
                    <w:bottom w:val="single" w:color="auto" w:sz="4" w:space="0"/>
                    <w:right w:val="single" w:color="auto" w:sz="4" w:space="0"/>
                  </w:tcBorders>
                  <w:noWrap w:val="0"/>
                  <w:vAlign w:val="center"/>
                </w:tcPr>
                <w:p w14:paraId="28907E09">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100" w:type="pct"/>
                  <w:tcBorders>
                    <w:top w:val="single" w:color="auto" w:sz="4" w:space="0"/>
                    <w:left w:val="nil"/>
                    <w:bottom w:val="single" w:color="auto" w:sz="4" w:space="0"/>
                    <w:right w:val="single" w:color="auto" w:sz="4" w:space="0"/>
                  </w:tcBorders>
                  <w:noWrap w:val="0"/>
                  <w:vAlign w:val="center"/>
                </w:tcPr>
                <w:p w14:paraId="617D73B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工作人员</w:t>
                  </w:r>
                </w:p>
              </w:tc>
              <w:tc>
                <w:tcPr>
                  <w:tcW w:w="867" w:type="pct"/>
                  <w:tcBorders>
                    <w:top w:val="single" w:color="auto" w:sz="4" w:space="0"/>
                    <w:left w:val="nil"/>
                    <w:bottom w:val="single" w:color="auto" w:sz="4" w:space="0"/>
                    <w:right w:val="single" w:color="auto" w:sz="4" w:space="0"/>
                  </w:tcBorders>
                  <w:noWrap w:val="0"/>
                  <w:vAlign w:val="center"/>
                </w:tcPr>
                <w:p w14:paraId="7756583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rPr>
                    <w:t>生活垃圾</w:t>
                  </w:r>
                </w:p>
              </w:tc>
              <w:tc>
                <w:tcPr>
                  <w:tcW w:w="867" w:type="pct"/>
                  <w:tcBorders>
                    <w:top w:val="single" w:color="auto" w:sz="4" w:space="0"/>
                    <w:left w:val="nil"/>
                    <w:bottom w:val="single" w:color="auto" w:sz="4" w:space="0"/>
                    <w:right w:val="single" w:color="auto" w:sz="4" w:space="0"/>
                  </w:tcBorders>
                  <w:noWrap w:val="0"/>
                  <w:vAlign w:val="center"/>
                </w:tcPr>
                <w:p w14:paraId="154DC58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r>
            <w:tr w14:paraId="4043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122F7018">
                  <w:pPr>
                    <w:keepNext w:val="0"/>
                    <w:keepLines w:val="0"/>
                    <w:pageBreakBefore w:val="0"/>
                    <w:widowControl w:val="0"/>
                    <w:kinsoku/>
                    <w:wordWrap/>
                    <w:overflowPunct/>
                    <w:topLinePunct w:val="0"/>
                    <w:autoSpaceDN/>
                    <w:bidi w:val="0"/>
                    <w:spacing w:line="240" w:lineRule="auto"/>
                    <w:ind w:firstLine="0" w:firstLineChars="0"/>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01D1C0E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S4</w:t>
                  </w:r>
                </w:p>
              </w:tc>
              <w:tc>
                <w:tcPr>
                  <w:tcW w:w="964" w:type="pct"/>
                  <w:tcBorders>
                    <w:top w:val="single" w:color="auto" w:sz="4" w:space="0"/>
                    <w:left w:val="nil"/>
                    <w:bottom w:val="single" w:color="auto" w:sz="4" w:space="0"/>
                    <w:right w:val="single" w:color="auto" w:sz="4" w:space="0"/>
                  </w:tcBorders>
                  <w:noWrap w:val="0"/>
                  <w:vAlign w:val="center"/>
                </w:tcPr>
                <w:p w14:paraId="3A5BE81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厨余垃圾</w:t>
                  </w:r>
                </w:p>
              </w:tc>
              <w:tc>
                <w:tcPr>
                  <w:tcW w:w="1100" w:type="pct"/>
                  <w:tcBorders>
                    <w:top w:val="single" w:color="auto" w:sz="4" w:space="0"/>
                    <w:left w:val="nil"/>
                    <w:bottom w:val="single" w:color="auto" w:sz="4" w:space="0"/>
                    <w:right w:val="single" w:color="auto" w:sz="4" w:space="0"/>
                  </w:tcBorders>
                  <w:noWrap w:val="0"/>
                  <w:vAlign w:val="center"/>
                </w:tcPr>
                <w:p w14:paraId="2EA0551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食堂</w:t>
                  </w:r>
                </w:p>
              </w:tc>
              <w:tc>
                <w:tcPr>
                  <w:tcW w:w="867" w:type="pct"/>
                  <w:tcBorders>
                    <w:top w:val="single" w:color="auto" w:sz="4" w:space="0"/>
                    <w:left w:val="nil"/>
                    <w:bottom w:val="single" w:color="auto" w:sz="4" w:space="0"/>
                    <w:right w:val="single" w:color="auto" w:sz="4" w:space="0"/>
                  </w:tcBorders>
                  <w:noWrap w:val="0"/>
                  <w:vAlign w:val="center"/>
                </w:tcPr>
                <w:p w14:paraId="4A4B2C6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厨余垃圾</w:t>
                  </w:r>
                </w:p>
              </w:tc>
              <w:tc>
                <w:tcPr>
                  <w:tcW w:w="867" w:type="pct"/>
                  <w:tcBorders>
                    <w:top w:val="single" w:color="auto" w:sz="4" w:space="0"/>
                    <w:left w:val="nil"/>
                    <w:bottom w:val="single" w:color="auto" w:sz="4" w:space="0"/>
                    <w:right w:val="single" w:color="auto" w:sz="4" w:space="0"/>
                  </w:tcBorders>
                  <w:noWrap w:val="0"/>
                  <w:vAlign w:val="center"/>
                </w:tcPr>
                <w:p w14:paraId="5AD4064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r>
            <w:tr w14:paraId="1108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357C8EEE">
                  <w:pPr>
                    <w:keepNext w:val="0"/>
                    <w:keepLines w:val="0"/>
                    <w:pageBreakBefore w:val="0"/>
                    <w:widowControl w:val="0"/>
                    <w:kinsoku/>
                    <w:wordWrap/>
                    <w:overflowPunct/>
                    <w:topLinePunct w:val="0"/>
                    <w:autoSpaceDN/>
                    <w:bidi w:val="0"/>
                    <w:spacing w:line="240" w:lineRule="auto"/>
                    <w:ind w:firstLine="0" w:firstLineChars="0"/>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35F04F2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S5</w:t>
                  </w:r>
                </w:p>
              </w:tc>
              <w:tc>
                <w:tcPr>
                  <w:tcW w:w="964" w:type="pct"/>
                  <w:tcBorders>
                    <w:top w:val="single" w:color="auto" w:sz="4" w:space="0"/>
                    <w:left w:val="nil"/>
                    <w:bottom w:val="single" w:color="auto" w:sz="4" w:space="0"/>
                    <w:right w:val="single" w:color="auto" w:sz="4" w:space="0"/>
                  </w:tcBorders>
                  <w:noWrap w:val="0"/>
                  <w:vAlign w:val="center"/>
                </w:tcPr>
                <w:p w14:paraId="382CBF2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隔油池</w:t>
                  </w:r>
                  <w:r>
                    <w:rPr>
                      <w:rFonts w:hint="default" w:ascii="Times New Roman" w:hAnsi="Times New Roman" w:cs="Times New Roman"/>
                      <w:color w:val="auto"/>
                      <w:sz w:val="21"/>
                      <w:szCs w:val="21"/>
                    </w:rPr>
                    <w:t>废油</w:t>
                  </w:r>
                </w:p>
              </w:tc>
              <w:tc>
                <w:tcPr>
                  <w:tcW w:w="1100" w:type="pct"/>
                  <w:tcBorders>
                    <w:top w:val="single" w:color="auto" w:sz="4" w:space="0"/>
                    <w:left w:val="nil"/>
                    <w:bottom w:val="single" w:color="auto" w:sz="4" w:space="0"/>
                    <w:right w:val="single" w:color="auto" w:sz="4" w:space="0"/>
                  </w:tcBorders>
                  <w:noWrap w:val="0"/>
                  <w:vAlign w:val="center"/>
                </w:tcPr>
                <w:p w14:paraId="01D26F4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eastAsia" w:cs="Times New Roman"/>
                      <w:color w:val="auto"/>
                      <w:sz w:val="21"/>
                      <w:szCs w:val="21"/>
                      <w:lang w:eastAsia="zh-CN"/>
                    </w:rPr>
                    <w:t>隔油池</w:t>
                  </w:r>
                </w:p>
              </w:tc>
              <w:tc>
                <w:tcPr>
                  <w:tcW w:w="867" w:type="pct"/>
                  <w:tcBorders>
                    <w:top w:val="single" w:color="auto" w:sz="4" w:space="0"/>
                    <w:left w:val="nil"/>
                    <w:bottom w:val="single" w:color="auto" w:sz="4" w:space="0"/>
                    <w:right w:val="single" w:color="auto" w:sz="4" w:space="0"/>
                  </w:tcBorders>
                  <w:noWrap w:val="0"/>
                  <w:vAlign w:val="center"/>
                </w:tcPr>
                <w:p w14:paraId="14A98002">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废油</w:t>
                  </w:r>
                </w:p>
              </w:tc>
              <w:tc>
                <w:tcPr>
                  <w:tcW w:w="867" w:type="pct"/>
                  <w:tcBorders>
                    <w:top w:val="single" w:color="auto" w:sz="4" w:space="0"/>
                    <w:left w:val="nil"/>
                    <w:bottom w:val="single" w:color="auto" w:sz="4" w:space="0"/>
                    <w:right w:val="single" w:color="auto" w:sz="4" w:space="0"/>
                  </w:tcBorders>
                  <w:noWrap w:val="0"/>
                  <w:vAlign w:val="center"/>
                </w:tcPr>
                <w:p w14:paraId="7F1AEB94">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r>
            <w:tr w14:paraId="0922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71685C54">
                  <w:pPr>
                    <w:keepNext w:val="0"/>
                    <w:keepLines w:val="0"/>
                    <w:pageBreakBefore w:val="0"/>
                    <w:widowControl w:val="0"/>
                    <w:kinsoku/>
                    <w:wordWrap/>
                    <w:overflowPunct/>
                    <w:topLinePunct w:val="0"/>
                    <w:autoSpaceDN/>
                    <w:bidi w:val="0"/>
                    <w:spacing w:line="240" w:lineRule="auto"/>
                    <w:ind w:firstLine="0" w:firstLineChars="0"/>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37A3102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S6</w:t>
                  </w:r>
                </w:p>
              </w:tc>
              <w:tc>
                <w:tcPr>
                  <w:tcW w:w="964" w:type="pct"/>
                  <w:tcBorders>
                    <w:top w:val="single" w:color="auto" w:sz="4" w:space="0"/>
                    <w:left w:val="nil"/>
                    <w:bottom w:val="single" w:color="auto" w:sz="4" w:space="0"/>
                    <w:right w:val="single" w:color="auto" w:sz="4" w:space="0"/>
                  </w:tcBorders>
                  <w:noWrap w:val="0"/>
                  <w:vAlign w:val="center"/>
                </w:tcPr>
                <w:p w14:paraId="66CEC8AB">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三级隔油</w:t>
                  </w:r>
                  <w:r>
                    <w:rPr>
                      <w:rFonts w:hint="default" w:ascii="Times New Roman" w:hAnsi="Times New Roman" w:cs="Times New Roman"/>
                      <w:color w:val="auto"/>
                      <w:sz w:val="21"/>
                      <w:szCs w:val="21"/>
                    </w:rPr>
                    <w:t>沉淀池污泥</w:t>
                  </w:r>
                </w:p>
              </w:tc>
              <w:tc>
                <w:tcPr>
                  <w:tcW w:w="1100" w:type="pct"/>
                  <w:tcBorders>
                    <w:top w:val="single" w:color="auto" w:sz="4" w:space="0"/>
                    <w:left w:val="nil"/>
                    <w:bottom w:val="single" w:color="auto" w:sz="4" w:space="0"/>
                    <w:right w:val="single" w:color="auto" w:sz="4" w:space="0"/>
                  </w:tcBorders>
                  <w:noWrap w:val="0"/>
                  <w:vAlign w:val="center"/>
                </w:tcPr>
                <w:p w14:paraId="6A97FF3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eastAsia" w:cs="Times New Roman"/>
                      <w:color w:val="auto"/>
                      <w:sz w:val="21"/>
                      <w:szCs w:val="21"/>
                      <w:lang w:val="en-US" w:eastAsia="zh-CN"/>
                    </w:rPr>
                    <w:t>三级隔油</w:t>
                  </w:r>
                  <w:r>
                    <w:rPr>
                      <w:rFonts w:hint="default" w:ascii="Times New Roman" w:hAnsi="Times New Roman" w:cs="Times New Roman"/>
                      <w:color w:val="auto"/>
                      <w:sz w:val="21"/>
                      <w:szCs w:val="21"/>
                    </w:rPr>
                    <w:t>沉淀池</w:t>
                  </w:r>
                </w:p>
              </w:tc>
              <w:tc>
                <w:tcPr>
                  <w:tcW w:w="867" w:type="pct"/>
                  <w:tcBorders>
                    <w:top w:val="single" w:color="auto" w:sz="4" w:space="0"/>
                    <w:left w:val="nil"/>
                    <w:bottom w:val="single" w:color="auto" w:sz="4" w:space="0"/>
                    <w:right w:val="single" w:color="auto" w:sz="4" w:space="0"/>
                  </w:tcBorders>
                  <w:noWrap w:val="0"/>
                  <w:vAlign w:val="center"/>
                </w:tcPr>
                <w:p w14:paraId="0850A57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污泥</w:t>
                  </w:r>
                </w:p>
              </w:tc>
              <w:tc>
                <w:tcPr>
                  <w:tcW w:w="867" w:type="pct"/>
                  <w:tcBorders>
                    <w:top w:val="single" w:color="auto" w:sz="4" w:space="0"/>
                    <w:left w:val="nil"/>
                    <w:bottom w:val="single" w:color="auto" w:sz="4" w:space="0"/>
                    <w:right w:val="single" w:color="auto" w:sz="4" w:space="0"/>
                  </w:tcBorders>
                  <w:noWrap w:val="0"/>
                  <w:vAlign w:val="center"/>
                </w:tcPr>
                <w:p w14:paraId="4FBB840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r>
            <w:tr w14:paraId="3844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20983572">
                  <w:pPr>
                    <w:keepNext w:val="0"/>
                    <w:keepLines w:val="0"/>
                    <w:pageBreakBefore w:val="0"/>
                    <w:widowControl w:val="0"/>
                    <w:kinsoku/>
                    <w:wordWrap/>
                    <w:overflowPunct/>
                    <w:topLinePunct w:val="0"/>
                    <w:autoSpaceDN/>
                    <w:bidi w:val="0"/>
                    <w:spacing w:line="240" w:lineRule="auto"/>
                    <w:ind w:firstLine="0" w:firstLineChars="0"/>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3DE71037">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S7</w:t>
                  </w:r>
                </w:p>
              </w:tc>
              <w:tc>
                <w:tcPr>
                  <w:tcW w:w="964" w:type="pct"/>
                  <w:tcBorders>
                    <w:top w:val="single" w:color="auto" w:sz="4" w:space="0"/>
                    <w:left w:val="nil"/>
                    <w:bottom w:val="single" w:color="auto" w:sz="4" w:space="0"/>
                    <w:right w:val="single" w:color="auto" w:sz="4" w:space="0"/>
                  </w:tcBorders>
                  <w:noWrap w:val="0"/>
                  <w:vAlign w:val="center"/>
                </w:tcPr>
                <w:p w14:paraId="3EF276B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废导热油</w:t>
                  </w:r>
                </w:p>
              </w:tc>
              <w:tc>
                <w:tcPr>
                  <w:tcW w:w="1100" w:type="pct"/>
                  <w:tcBorders>
                    <w:top w:val="single" w:color="auto" w:sz="4" w:space="0"/>
                    <w:left w:val="nil"/>
                    <w:bottom w:val="single" w:color="auto" w:sz="4" w:space="0"/>
                    <w:right w:val="single" w:color="auto" w:sz="4" w:space="0"/>
                  </w:tcBorders>
                  <w:noWrap w:val="0"/>
                  <w:vAlign w:val="center"/>
                </w:tcPr>
                <w:p w14:paraId="5906789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导热油炉</w:t>
                  </w:r>
                </w:p>
              </w:tc>
              <w:tc>
                <w:tcPr>
                  <w:tcW w:w="867" w:type="pct"/>
                  <w:tcBorders>
                    <w:top w:val="single" w:color="auto" w:sz="4" w:space="0"/>
                    <w:left w:val="nil"/>
                    <w:bottom w:val="single" w:color="auto" w:sz="4" w:space="0"/>
                    <w:right w:val="single" w:color="auto" w:sz="4" w:space="0"/>
                  </w:tcBorders>
                  <w:noWrap w:val="0"/>
                  <w:vAlign w:val="center"/>
                </w:tcPr>
                <w:p w14:paraId="74E821FF">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废导热油</w:t>
                  </w:r>
                </w:p>
              </w:tc>
              <w:tc>
                <w:tcPr>
                  <w:tcW w:w="867" w:type="pct"/>
                  <w:tcBorders>
                    <w:top w:val="single" w:color="auto" w:sz="4" w:space="0"/>
                    <w:left w:val="nil"/>
                    <w:bottom w:val="single" w:color="auto" w:sz="4" w:space="0"/>
                    <w:right w:val="single" w:color="auto" w:sz="4" w:space="0"/>
                  </w:tcBorders>
                  <w:noWrap w:val="0"/>
                  <w:vAlign w:val="center"/>
                </w:tcPr>
                <w:p w14:paraId="63E3D34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r>
            <w:tr w14:paraId="1524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5A1F984D">
                  <w:pPr>
                    <w:keepNext w:val="0"/>
                    <w:keepLines w:val="0"/>
                    <w:pageBreakBefore w:val="0"/>
                    <w:widowControl w:val="0"/>
                    <w:kinsoku/>
                    <w:wordWrap/>
                    <w:overflowPunct/>
                    <w:topLinePunct w:val="0"/>
                    <w:autoSpaceDN/>
                    <w:bidi w:val="0"/>
                    <w:spacing w:line="240" w:lineRule="auto"/>
                    <w:ind w:firstLine="0" w:firstLineChars="0"/>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497D157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S</w:t>
                  </w:r>
                  <w:r>
                    <w:rPr>
                      <w:rFonts w:hint="eastAsia" w:ascii="Times New Roman" w:hAnsi="Times New Roman" w:cs="Times New Roman"/>
                      <w:color w:val="auto"/>
                      <w:sz w:val="21"/>
                      <w:szCs w:val="21"/>
                      <w:lang w:val="en-US" w:eastAsia="zh-CN" w:bidi="ar"/>
                    </w:rPr>
                    <w:t>8</w:t>
                  </w:r>
                </w:p>
              </w:tc>
              <w:tc>
                <w:tcPr>
                  <w:tcW w:w="964" w:type="pct"/>
                  <w:tcBorders>
                    <w:top w:val="single" w:color="auto" w:sz="4" w:space="0"/>
                    <w:left w:val="nil"/>
                    <w:bottom w:val="single" w:color="auto" w:sz="4" w:space="0"/>
                    <w:right w:val="single" w:color="auto" w:sz="4" w:space="0"/>
                  </w:tcBorders>
                  <w:noWrap w:val="0"/>
                  <w:vAlign w:val="center"/>
                </w:tcPr>
                <w:p w14:paraId="7915742E">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废机油</w:t>
                  </w:r>
                </w:p>
              </w:tc>
              <w:tc>
                <w:tcPr>
                  <w:tcW w:w="1100" w:type="pct"/>
                  <w:tcBorders>
                    <w:top w:val="single" w:color="auto" w:sz="4" w:space="0"/>
                    <w:left w:val="nil"/>
                    <w:bottom w:val="single" w:color="auto" w:sz="4" w:space="0"/>
                    <w:right w:val="single" w:color="auto" w:sz="4" w:space="0"/>
                  </w:tcBorders>
                  <w:noWrap w:val="0"/>
                  <w:vAlign w:val="center"/>
                </w:tcPr>
                <w:p w14:paraId="3474DA9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设备维修</w:t>
                  </w:r>
                </w:p>
              </w:tc>
              <w:tc>
                <w:tcPr>
                  <w:tcW w:w="867" w:type="pct"/>
                  <w:tcBorders>
                    <w:top w:val="single" w:color="auto" w:sz="4" w:space="0"/>
                    <w:left w:val="nil"/>
                    <w:bottom w:val="single" w:color="auto" w:sz="4" w:space="0"/>
                    <w:right w:val="single" w:color="auto" w:sz="4" w:space="0"/>
                  </w:tcBorders>
                  <w:noWrap w:val="0"/>
                  <w:vAlign w:val="center"/>
                </w:tcPr>
                <w:p w14:paraId="246B835C">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废机油</w:t>
                  </w:r>
                </w:p>
              </w:tc>
              <w:tc>
                <w:tcPr>
                  <w:tcW w:w="867" w:type="pct"/>
                  <w:tcBorders>
                    <w:top w:val="single" w:color="auto" w:sz="4" w:space="0"/>
                    <w:left w:val="nil"/>
                    <w:bottom w:val="single" w:color="auto" w:sz="4" w:space="0"/>
                    <w:right w:val="single" w:color="auto" w:sz="4" w:space="0"/>
                  </w:tcBorders>
                  <w:noWrap w:val="0"/>
                  <w:vAlign w:val="center"/>
                </w:tcPr>
                <w:p w14:paraId="64A1C11D">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r>
            <w:tr w14:paraId="2AF7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tcBorders>
                    <w:left w:val="single" w:color="auto" w:sz="4" w:space="0"/>
                    <w:right w:val="single" w:color="auto" w:sz="4" w:space="0"/>
                  </w:tcBorders>
                  <w:noWrap w:val="0"/>
                  <w:vAlign w:val="center"/>
                </w:tcPr>
                <w:p w14:paraId="71F436DD">
                  <w:pPr>
                    <w:keepNext w:val="0"/>
                    <w:keepLines w:val="0"/>
                    <w:pageBreakBefore w:val="0"/>
                    <w:widowControl w:val="0"/>
                    <w:kinsoku/>
                    <w:wordWrap/>
                    <w:overflowPunct/>
                    <w:topLinePunct w:val="0"/>
                    <w:autoSpaceDN/>
                    <w:bidi w:val="0"/>
                    <w:spacing w:line="240" w:lineRule="auto"/>
                    <w:ind w:firstLine="0" w:firstLineChars="0"/>
                    <w:textAlignment w:val="auto"/>
                    <w:rPr>
                      <w:rFonts w:hint="default" w:ascii="Times New Roman" w:hAnsi="Times New Roman" w:cs="Times New Roman"/>
                      <w:color w:val="auto"/>
                      <w:sz w:val="21"/>
                      <w:szCs w:val="21"/>
                    </w:rPr>
                  </w:pPr>
                </w:p>
              </w:tc>
              <w:tc>
                <w:tcPr>
                  <w:tcW w:w="614" w:type="pct"/>
                  <w:tcBorders>
                    <w:top w:val="single" w:color="auto" w:sz="4" w:space="0"/>
                    <w:left w:val="nil"/>
                    <w:bottom w:val="single" w:color="auto" w:sz="4" w:space="0"/>
                    <w:right w:val="single" w:color="auto" w:sz="4" w:space="0"/>
                  </w:tcBorders>
                  <w:noWrap w:val="0"/>
                  <w:vAlign w:val="center"/>
                </w:tcPr>
                <w:p w14:paraId="69A48323">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S9</w:t>
                  </w:r>
                </w:p>
              </w:tc>
              <w:tc>
                <w:tcPr>
                  <w:tcW w:w="964" w:type="pct"/>
                  <w:tcBorders>
                    <w:top w:val="single" w:color="auto" w:sz="4" w:space="0"/>
                    <w:left w:val="nil"/>
                    <w:bottom w:val="single" w:color="auto" w:sz="4" w:space="0"/>
                    <w:right w:val="single" w:color="auto" w:sz="4" w:space="0"/>
                  </w:tcBorders>
                  <w:noWrap w:val="0"/>
                  <w:vAlign w:val="center"/>
                </w:tcPr>
                <w:p w14:paraId="4FA86056">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化粪池及污水站</w:t>
                  </w:r>
                  <w:r>
                    <w:rPr>
                      <w:rFonts w:hint="default" w:ascii="Times New Roman" w:hAnsi="Times New Roman" w:cs="Times New Roman"/>
                      <w:color w:val="auto"/>
                      <w:sz w:val="21"/>
                      <w:szCs w:val="21"/>
                    </w:rPr>
                    <w:t>污泥</w:t>
                  </w:r>
                </w:p>
              </w:tc>
              <w:tc>
                <w:tcPr>
                  <w:tcW w:w="1100" w:type="pct"/>
                  <w:tcBorders>
                    <w:top w:val="single" w:color="auto" w:sz="4" w:space="0"/>
                    <w:left w:val="nil"/>
                    <w:bottom w:val="single" w:color="auto" w:sz="4" w:space="0"/>
                    <w:right w:val="single" w:color="auto" w:sz="4" w:space="0"/>
                  </w:tcBorders>
                  <w:noWrap w:val="0"/>
                  <w:vAlign w:val="center"/>
                </w:tcPr>
                <w:p w14:paraId="76BF9038">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bidi="ar"/>
                    </w:rPr>
                  </w:pPr>
                  <w:r>
                    <w:rPr>
                      <w:rFonts w:hint="eastAsia" w:cs="Times New Roman"/>
                      <w:color w:val="auto"/>
                      <w:sz w:val="21"/>
                      <w:szCs w:val="21"/>
                      <w:lang w:val="en-US" w:eastAsia="zh-CN"/>
                    </w:rPr>
                    <w:t>化粪池、污水处理站</w:t>
                  </w:r>
                </w:p>
              </w:tc>
              <w:tc>
                <w:tcPr>
                  <w:tcW w:w="867" w:type="pct"/>
                  <w:tcBorders>
                    <w:top w:val="single" w:color="auto" w:sz="4" w:space="0"/>
                    <w:left w:val="nil"/>
                    <w:bottom w:val="single" w:color="auto" w:sz="4" w:space="0"/>
                    <w:right w:val="single" w:color="auto" w:sz="4" w:space="0"/>
                  </w:tcBorders>
                  <w:noWrap w:val="0"/>
                  <w:vAlign w:val="center"/>
                </w:tcPr>
                <w:p w14:paraId="68C6FEDA">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污泥</w:t>
                  </w:r>
                </w:p>
              </w:tc>
              <w:tc>
                <w:tcPr>
                  <w:tcW w:w="867" w:type="pct"/>
                  <w:tcBorders>
                    <w:top w:val="single" w:color="auto" w:sz="4" w:space="0"/>
                    <w:left w:val="nil"/>
                    <w:bottom w:val="single" w:color="auto" w:sz="4" w:space="0"/>
                    <w:right w:val="single" w:color="auto" w:sz="4" w:space="0"/>
                  </w:tcBorders>
                  <w:noWrap w:val="0"/>
                  <w:vAlign w:val="center"/>
                </w:tcPr>
                <w:p w14:paraId="4CCD9E81">
                  <w:pPr>
                    <w:keepNext w:val="0"/>
                    <w:keepLines w:val="0"/>
                    <w:pageBreakBefore w:val="0"/>
                    <w:widowControl w:val="0"/>
                    <w:kinsoku/>
                    <w:wordWrap/>
                    <w:overflowPunct/>
                    <w:topLinePunct w:val="0"/>
                    <w:autoSpaceDE w:val="0"/>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一般固废</w:t>
                  </w:r>
                </w:p>
              </w:tc>
            </w:tr>
          </w:tbl>
          <w:p w14:paraId="28EEAC64">
            <w:pPr>
              <w:ind w:left="0" w:leftChars="0" w:firstLine="480" w:firstLineChars="200"/>
              <w:rPr>
                <w:rFonts w:hint="default"/>
                <w:b w:val="0"/>
                <w:bCs w:val="0"/>
                <w:color w:val="auto"/>
                <w:highlight w:val="none"/>
                <w:lang w:val="en-US" w:eastAsia="zh-CN"/>
              </w:rPr>
            </w:pPr>
          </w:p>
        </w:tc>
      </w:tr>
      <w:tr w14:paraId="4E909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7" w:type="dxa"/>
            <w:vAlign w:val="center"/>
          </w:tcPr>
          <w:p w14:paraId="448CED53">
            <w:pPr>
              <w:spacing w:line="360" w:lineRule="auto"/>
              <w:ind w:firstLine="0" w:firstLineChars="0"/>
              <w:rPr>
                <w:color w:val="auto"/>
                <w:highlight w:val="none"/>
              </w:rPr>
            </w:pPr>
            <w:r>
              <w:rPr>
                <w:rFonts w:hint="eastAsia"/>
                <w:color w:val="auto"/>
                <w:highlight w:val="none"/>
              </w:rPr>
              <w:t>与项目有关的原有环境污染和生态破坏问题</w:t>
            </w:r>
          </w:p>
        </w:tc>
        <w:tc>
          <w:tcPr>
            <w:tcW w:w="8075" w:type="dxa"/>
            <w:vAlign w:val="center"/>
          </w:tcPr>
          <w:p w14:paraId="4A356B02">
            <w:pPr>
              <w:adjustRightInd w:val="0"/>
              <w:snapToGrid w:val="0"/>
              <w:spacing w:line="360" w:lineRule="auto"/>
              <w:ind w:firstLine="480" w:firstLineChars="200"/>
              <w:jc w:val="left"/>
              <w:rPr>
                <w:rFonts w:hint="default"/>
                <w:bCs/>
                <w:color w:val="auto"/>
                <w:szCs w:val="21"/>
                <w:lang w:val="en-US"/>
              </w:rPr>
            </w:pPr>
            <w:r>
              <w:rPr>
                <w:rFonts w:hint="default" w:ascii="Times New Roman" w:hAnsi="Times New Roman" w:cs="Times New Roman"/>
                <w:color w:val="auto"/>
                <w:sz w:val="24"/>
              </w:rPr>
              <w:t>项目为新建</w:t>
            </w:r>
            <w:r>
              <w:rPr>
                <w:rFonts w:hint="eastAsia" w:cs="Times New Roman"/>
                <w:color w:val="auto"/>
                <w:sz w:val="24"/>
                <w:lang w:eastAsia="zh-CN"/>
              </w:rPr>
              <w:t>项目</w:t>
            </w:r>
            <w:r>
              <w:rPr>
                <w:rFonts w:hint="default" w:ascii="Times New Roman" w:hAnsi="Times New Roman" w:cs="Times New Roman"/>
                <w:color w:val="auto"/>
                <w:sz w:val="24"/>
              </w:rPr>
              <w:t>，</w:t>
            </w:r>
            <w:r>
              <w:rPr>
                <w:rFonts w:ascii="Times New Roman" w:hAnsi="Times New Roman"/>
                <w:color w:val="auto"/>
                <w:kern w:val="0"/>
                <w:szCs w:val="21"/>
              </w:rPr>
              <w:t>根据</w:t>
            </w:r>
            <w:r>
              <w:rPr>
                <w:rFonts w:hint="eastAsia"/>
                <w:color w:val="auto"/>
                <w:kern w:val="0"/>
                <w:szCs w:val="21"/>
                <w:lang w:eastAsia="zh-CN"/>
              </w:rPr>
              <w:t>下文</w:t>
            </w:r>
            <w:r>
              <w:rPr>
                <w:rFonts w:hint="eastAsia" w:ascii="Times New Roman" w:hAnsi="Times New Roman" w:eastAsia="宋体" w:cs="Times New Roman"/>
                <w:b w:val="0"/>
                <w:bCs w:val="0"/>
                <w:color w:val="auto"/>
                <w:kern w:val="2"/>
                <w:sz w:val="24"/>
                <w:szCs w:val="24"/>
                <w:lang w:val="en-US" w:eastAsia="zh-CN" w:bidi="ar-SA"/>
              </w:rPr>
              <w:t>项目场地北侧柴油罐区土壤</w:t>
            </w:r>
            <w:r>
              <w:rPr>
                <w:rFonts w:ascii="Times New Roman" w:hAnsi="Times New Roman"/>
                <w:color w:val="auto"/>
                <w:kern w:val="0"/>
                <w:szCs w:val="21"/>
              </w:rPr>
              <w:t>监测结果，项目区内土壤</w:t>
            </w:r>
            <w:r>
              <w:rPr>
                <w:rFonts w:hint="eastAsia" w:ascii="Times New Roman" w:hAnsi="Times New Roman"/>
                <w:color w:val="auto"/>
                <w:kern w:val="0"/>
                <w:szCs w:val="21"/>
                <w:lang w:val="en-US" w:eastAsia="zh-CN"/>
              </w:rPr>
              <w:t>各项检测指标均低于</w:t>
            </w:r>
            <w:r>
              <w:rPr>
                <w:rFonts w:ascii="Times New Roman" w:hAnsi="Times New Roman"/>
                <w:color w:val="auto"/>
                <w:kern w:val="0"/>
                <w:szCs w:val="21"/>
              </w:rPr>
              <w:t>《土壤环境质量 建设用地土壤污染风险管控标准（试行）》（GB36600-2018）第二类土壤标准的筛选值</w:t>
            </w:r>
            <w:r>
              <w:rPr>
                <w:rFonts w:hint="eastAsia" w:ascii="Times New Roman" w:hAnsi="Times New Roman"/>
                <w:color w:val="auto"/>
                <w:kern w:val="0"/>
                <w:szCs w:val="21"/>
                <w:lang w:eastAsia="zh-CN"/>
              </w:rPr>
              <w:t>，</w:t>
            </w:r>
            <w:r>
              <w:rPr>
                <w:rFonts w:hint="eastAsia" w:ascii="Times New Roman" w:hAnsi="Times New Roman"/>
                <w:color w:val="auto"/>
                <w:kern w:val="0"/>
                <w:szCs w:val="21"/>
                <w:lang w:val="en-US" w:eastAsia="zh-CN"/>
              </w:rPr>
              <w:t>现状土壤环境质量较好。后期建设单位建设及运营过程中应确保做好各分区防渗工作，防止土壤污染。</w:t>
            </w:r>
          </w:p>
          <w:p w14:paraId="58B96031">
            <w:pPr>
              <w:spacing w:line="360" w:lineRule="auto"/>
              <w:ind w:firstLine="480"/>
              <w:rPr>
                <w:rFonts w:hint="default"/>
                <w:color w:val="auto"/>
                <w:highlight w:val="none"/>
                <w:lang w:val="en-US" w:eastAsia="zh-CN"/>
              </w:rPr>
            </w:pPr>
          </w:p>
        </w:tc>
      </w:tr>
    </w:tbl>
    <w:p w14:paraId="0E64AFEE">
      <w:pPr>
        <w:pStyle w:val="5"/>
        <w:jc w:val="center"/>
        <w:rPr>
          <w:color w:val="auto"/>
          <w:highlight w:val="none"/>
        </w:rPr>
      </w:pPr>
      <w:r>
        <w:rPr>
          <w:rFonts w:hint="eastAsia"/>
          <w:color w:val="auto"/>
          <w:highlight w:val="none"/>
        </w:rPr>
        <w:br w:type="page"/>
      </w:r>
      <w:bookmarkStart w:id="3" w:name="_Toc31593"/>
      <w:r>
        <w:rPr>
          <w:rFonts w:hint="eastAsia"/>
          <w:color w:val="auto"/>
          <w:highlight w:val="none"/>
        </w:rPr>
        <w:t>三、区域环境质量现状、保护目标及评价标准</w:t>
      </w:r>
      <w:bookmarkEnd w:id="3"/>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2"/>
        <w:gridCol w:w="8090"/>
      </w:tblGrid>
      <w:tr w14:paraId="707F3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dxa"/>
            <w:vAlign w:val="center"/>
          </w:tcPr>
          <w:p w14:paraId="55A758E5">
            <w:pPr>
              <w:ind w:firstLine="0" w:firstLineChars="0"/>
              <w:rPr>
                <w:color w:val="auto"/>
                <w:highlight w:val="none"/>
              </w:rPr>
            </w:pPr>
            <w:r>
              <w:rPr>
                <w:rFonts w:hint="eastAsia"/>
                <w:color w:val="auto"/>
                <w:highlight w:val="none"/>
              </w:rPr>
              <w:t>区域环境质量现状</w:t>
            </w:r>
          </w:p>
        </w:tc>
        <w:tc>
          <w:tcPr>
            <w:tcW w:w="8090" w:type="dxa"/>
            <w:vAlign w:val="center"/>
          </w:tcPr>
          <w:p w14:paraId="601778BB">
            <w:pPr>
              <w:numPr>
                <w:ilvl w:val="0"/>
                <w:numId w:val="0"/>
              </w:numPr>
              <w:ind w:firstLine="482" w:firstLineChars="200"/>
              <w:rPr>
                <w:rFonts w:hint="default" w:eastAsia="宋体"/>
                <w:b/>
                <w:bCs/>
                <w:color w:val="auto"/>
                <w:highlight w:val="none"/>
                <w:lang w:val="en-US" w:eastAsia="zh-CN"/>
              </w:rPr>
            </w:pPr>
            <w:r>
              <w:rPr>
                <w:rFonts w:hint="eastAsia"/>
                <w:b/>
                <w:bCs/>
                <w:color w:val="auto"/>
                <w:highlight w:val="none"/>
                <w:lang w:val="en-US" w:eastAsia="zh-CN"/>
              </w:rPr>
              <w:t>1、</w:t>
            </w:r>
            <w:r>
              <w:rPr>
                <w:rFonts w:hint="eastAsia"/>
                <w:b/>
                <w:bCs/>
                <w:color w:val="auto"/>
                <w:highlight w:val="none"/>
              </w:rPr>
              <w:t>大气环境</w:t>
            </w:r>
          </w:p>
          <w:p w14:paraId="12A62022">
            <w:pPr>
              <w:pStyle w:val="55"/>
              <w:spacing w:line="360" w:lineRule="auto"/>
              <w:ind w:firstLine="482"/>
              <w:rPr>
                <w:rFonts w:hint="eastAsia"/>
                <w:b/>
                <w:bCs/>
                <w:color w:val="auto"/>
              </w:rPr>
            </w:pPr>
            <w:r>
              <w:rPr>
                <w:rFonts w:hint="eastAsia"/>
                <w:b/>
                <w:bCs/>
                <w:color w:val="auto"/>
              </w:rPr>
              <w:t>（1）环境空气质量标准</w:t>
            </w:r>
          </w:p>
          <w:p w14:paraId="24976DEB">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项目区</w:t>
            </w:r>
            <w:r>
              <w:rPr>
                <w:rFonts w:hint="eastAsia" w:cs="Times New Roman"/>
                <w:color w:val="auto"/>
                <w:sz w:val="24"/>
                <w:szCs w:val="24"/>
                <w:lang w:val="en-US" w:eastAsia="zh-CN"/>
              </w:rPr>
              <w:t>位于</w:t>
            </w:r>
            <w:r>
              <w:rPr>
                <w:rFonts w:hint="default" w:ascii="Times New Roman" w:hAnsi="Times New Roman" w:cs="Times New Roman"/>
                <w:color w:val="auto"/>
                <w:sz w:val="24"/>
              </w:rPr>
              <w:t>云南省德宏州芒市帕底工业园区等岗组团</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属于环境空气功能区中的二类区，执行《环境空气质量标准》（GB3095-2012）</w:t>
            </w:r>
            <w:r>
              <w:rPr>
                <w:rFonts w:hint="eastAsia" w:ascii="Times New Roman" w:hAnsi="Times New Roman" w:eastAsia="宋体" w:cs="Times New Roman"/>
                <w:color w:val="auto"/>
                <w:sz w:val="24"/>
                <w:szCs w:val="24"/>
                <w:lang w:val="en-US" w:eastAsia="zh-CN"/>
              </w:rPr>
              <w:t>及修改单</w:t>
            </w:r>
            <w:r>
              <w:rPr>
                <w:rFonts w:hint="default" w:ascii="Times New Roman" w:hAnsi="Times New Roman" w:eastAsia="宋体" w:cs="Times New Roman"/>
                <w:color w:val="auto"/>
                <w:sz w:val="24"/>
                <w:szCs w:val="24"/>
              </w:rPr>
              <w:t>二级标准</w:t>
            </w:r>
            <w:r>
              <w:rPr>
                <w:rFonts w:hint="eastAsia"/>
                <w:color w:val="auto"/>
              </w:rPr>
              <w:t>，</w:t>
            </w:r>
            <w:r>
              <w:rPr>
                <w:rFonts w:ascii="Times New Roman" w:hAnsi="Times New Roman"/>
                <w:color w:val="auto"/>
                <w:sz w:val="24"/>
              </w:rPr>
              <w:t>非甲烷总烃（NMHC）参照《大气污染物综合排放标准详解》</w:t>
            </w:r>
            <w:r>
              <w:rPr>
                <w:rFonts w:hint="eastAsia" w:ascii="Times New Roman" w:hAnsi="Times New Roman"/>
                <w:color w:val="auto"/>
                <w:sz w:val="24"/>
                <w:lang w:eastAsia="zh-CN"/>
              </w:rPr>
              <w:t>“</w:t>
            </w:r>
            <w:r>
              <w:rPr>
                <w:rFonts w:ascii="Times New Roman" w:hAnsi="Times New Roman"/>
                <w:color w:val="auto"/>
                <w:sz w:val="24"/>
              </w:rPr>
              <w:t>2.0mg/m</w:t>
            </w:r>
            <w:r>
              <w:rPr>
                <w:rFonts w:ascii="Times New Roman" w:hAnsi="Times New Roman"/>
                <w:color w:val="auto"/>
                <w:sz w:val="24"/>
                <w:vertAlign w:val="superscript"/>
              </w:rPr>
              <w:t>3</w:t>
            </w:r>
            <w:r>
              <w:rPr>
                <w:rFonts w:hint="eastAsia" w:ascii="Times New Roman" w:hAnsi="Times New Roman"/>
                <w:color w:val="auto"/>
                <w:sz w:val="24"/>
                <w:lang w:eastAsia="zh-CN"/>
              </w:rPr>
              <w:t>”</w:t>
            </w:r>
            <w:r>
              <w:rPr>
                <w:rFonts w:ascii="Times New Roman" w:hAnsi="Times New Roman"/>
                <w:color w:val="auto"/>
                <w:sz w:val="24"/>
              </w:rPr>
              <w:t>，</w:t>
            </w:r>
            <w:r>
              <w:rPr>
                <w:rFonts w:hint="eastAsia"/>
                <w:color w:val="auto"/>
              </w:rPr>
              <w:t>执行具体标准见下表3-1</w:t>
            </w:r>
            <w:r>
              <w:rPr>
                <w:rFonts w:hint="default" w:ascii="Times New Roman" w:hAnsi="Times New Roman" w:eastAsia="宋体" w:cs="Times New Roman"/>
                <w:color w:val="auto"/>
                <w:sz w:val="24"/>
                <w:szCs w:val="24"/>
              </w:rPr>
              <w:t>。</w:t>
            </w:r>
          </w:p>
          <w:p w14:paraId="75B019F3">
            <w:pPr>
              <w:jc w:val="center"/>
              <w:rPr>
                <w:b/>
                <w:bCs/>
                <w:color w:val="auto"/>
                <w:sz w:val="21"/>
                <w:szCs w:val="21"/>
              </w:rPr>
            </w:pPr>
            <w:r>
              <w:rPr>
                <w:b/>
                <w:bCs/>
                <w:color w:val="auto"/>
                <w:sz w:val="21"/>
                <w:szCs w:val="21"/>
              </w:rPr>
              <w:t>表</w:t>
            </w:r>
            <w:r>
              <w:rPr>
                <w:rFonts w:hint="eastAsia"/>
                <w:b/>
                <w:bCs/>
                <w:color w:val="auto"/>
                <w:sz w:val="21"/>
                <w:szCs w:val="21"/>
              </w:rPr>
              <w:t>3</w:t>
            </w:r>
            <w:r>
              <w:rPr>
                <w:b/>
                <w:bCs/>
                <w:color w:val="auto"/>
                <w:sz w:val="21"/>
                <w:szCs w:val="21"/>
              </w:rPr>
              <w:t>-1  环境空气质量标准限值</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718"/>
              <w:gridCol w:w="1610"/>
              <w:gridCol w:w="2370"/>
              <w:gridCol w:w="1130"/>
            </w:tblGrid>
            <w:tr w14:paraId="1B01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932" w:type="dxa"/>
                  <w:noWrap w:val="0"/>
                  <w:vAlign w:val="center"/>
                </w:tcPr>
                <w:p w14:paraId="46F01B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序号</w:t>
                  </w:r>
                </w:p>
              </w:tc>
              <w:tc>
                <w:tcPr>
                  <w:tcW w:w="1718" w:type="dxa"/>
                  <w:noWrap w:val="0"/>
                  <w:vAlign w:val="center"/>
                </w:tcPr>
                <w:p w14:paraId="2F3C17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污染物项目</w:t>
                  </w:r>
                </w:p>
              </w:tc>
              <w:tc>
                <w:tcPr>
                  <w:tcW w:w="1610" w:type="dxa"/>
                  <w:noWrap w:val="0"/>
                  <w:vAlign w:val="center"/>
                </w:tcPr>
                <w:p w14:paraId="14169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平均时间</w:t>
                  </w:r>
                </w:p>
              </w:tc>
              <w:tc>
                <w:tcPr>
                  <w:tcW w:w="2370" w:type="dxa"/>
                  <w:noWrap w:val="0"/>
                  <w:vAlign w:val="center"/>
                </w:tcPr>
                <w:p w14:paraId="75B35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浓度限值（二级）</w:t>
                  </w:r>
                </w:p>
              </w:tc>
              <w:tc>
                <w:tcPr>
                  <w:tcW w:w="1130" w:type="dxa"/>
                  <w:noWrap w:val="0"/>
                  <w:vAlign w:val="center"/>
                </w:tcPr>
                <w:p w14:paraId="7C9E52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单位</w:t>
                  </w:r>
                </w:p>
              </w:tc>
            </w:tr>
            <w:tr w14:paraId="6EDF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restart"/>
                  <w:noWrap w:val="0"/>
                  <w:vAlign w:val="center"/>
                </w:tcPr>
                <w:p w14:paraId="60D1EE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w:t>
                  </w:r>
                </w:p>
              </w:tc>
              <w:tc>
                <w:tcPr>
                  <w:tcW w:w="1718" w:type="dxa"/>
                  <w:vMerge w:val="restart"/>
                  <w:noWrap w:val="0"/>
                  <w:vAlign w:val="center"/>
                </w:tcPr>
                <w:p w14:paraId="0BB0BC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二氧化硫（SO</w:t>
                  </w:r>
                  <w:r>
                    <w:rPr>
                      <w:rFonts w:ascii="Times New Roman" w:hAnsi="Times New Roman"/>
                      <w:color w:val="auto"/>
                      <w:sz w:val="21"/>
                      <w:szCs w:val="21"/>
                      <w:vertAlign w:val="subscript"/>
                    </w:rPr>
                    <w:t>2</w:t>
                  </w:r>
                  <w:r>
                    <w:rPr>
                      <w:rFonts w:ascii="Times New Roman" w:hAnsi="Times New Roman"/>
                      <w:color w:val="auto"/>
                      <w:sz w:val="21"/>
                      <w:szCs w:val="21"/>
                    </w:rPr>
                    <w:t>）</w:t>
                  </w:r>
                </w:p>
              </w:tc>
              <w:tc>
                <w:tcPr>
                  <w:tcW w:w="1610" w:type="dxa"/>
                  <w:noWrap w:val="0"/>
                  <w:vAlign w:val="center"/>
                </w:tcPr>
                <w:p w14:paraId="566B3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年平均</w:t>
                  </w:r>
                </w:p>
              </w:tc>
              <w:tc>
                <w:tcPr>
                  <w:tcW w:w="2370" w:type="dxa"/>
                  <w:noWrap w:val="0"/>
                  <w:vAlign w:val="center"/>
                </w:tcPr>
                <w:p w14:paraId="603055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60</w:t>
                  </w:r>
                </w:p>
              </w:tc>
              <w:tc>
                <w:tcPr>
                  <w:tcW w:w="1130" w:type="dxa"/>
                  <w:vMerge w:val="restart"/>
                  <w:noWrap w:val="0"/>
                  <w:vAlign w:val="center"/>
                </w:tcPr>
                <w:p w14:paraId="3F7916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μg/m</w:t>
                  </w:r>
                  <w:r>
                    <w:rPr>
                      <w:rFonts w:ascii="Times New Roman" w:hAnsi="Times New Roman"/>
                      <w:bCs/>
                      <w:color w:val="auto"/>
                      <w:sz w:val="21"/>
                      <w:szCs w:val="21"/>
                      <w:vertAlign w:val="superscript"/>
                    </w:rPr>
                    <w:t>3</w:t>
                  </w:r>
                </w:p>
              </w:tc>
            </w:tr>
            <w:tr w14:paraId="3279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354CD6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79C12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1FAF4C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24小时平均</w:t>
                  </w:r>
                </w:p>
              </w:tc>
              <w:tc>
                <w:tcPr>
                  <w:tcW w:w="2370" w:type="dxa"/>
                  <w:noWrap w:val="0"/>
                  <w:vAlign w:val="center"/>
                </w:tcPr>
                <w:p w14:paraId="43AE4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150</w:t>
                  </w:r>
                </w:p>
              </w:tc>
              <w:tc>
                <w:tcPr>
                  <w:tcW w:w="1130" w:type="dxa"/>
                  <w:vMerge w:val="continue"/>
                  <w:noWrap w:val="0"/>
                  <w:vAlign w:val="center"/>
                </w:tcPr>
                <w:p w14:paraId="4ABBC4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7338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125D3D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409064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4EFCC0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1小时平均</w:t>
                  </w:r>
                </w:p>
              </w:tc>
              <w:tc>
                <w:tcPr>
                  <w:tcW w:w="2370" w:type="dxa"/>
                  <w:noWrap w:val="0"/>
                  <w:vAlign w:val="center"/>
                </w:tcPr>
                <w:p w14:paraId="29BB22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500</w:t>
                  </w:r>
                </w:p>
              </w:tc>
              <w:tc>
                <w:tcPr>
                  <w:tcW w:w="1130" w:type="dxa"/>
                  <w:vMerge w:val="continue"/>
                  <w:noWrap w:val="0"/>
                  <w:vAlign w:val="center"/>
                </w:tcPr>
                <w:p w14:paraId="063B06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6738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restart"/>
                  <w:noWrap w:val="0"/>
                  <w:vAlign w:val="center"/>
                </w:tcPr>
                <w:p w14:paraId="03012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w:t>
                  </w:r>
                </w:p>
              </w:tc>
              <w:tc>
                <w:tcPr>
                  <w:tcW w:w="1718" w:type="dxa"/>
                  <w:vMerge w:val="restart"/>
                  <w:noWrap w:val="0"/>
                  <w:vAlign w:val="center"/>
                </w:tcPr>
                <w:p w14:paraId="31F5CE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二氧化氮（NO</w:t>
                  </w:r>
                  <w:r>
                    <w:rPr>
                      <w:rFonts w:ascii="Times New Roman" w:hAnsi="Times New Roman"/>
                      <w:color w:val="auto"/>
                      <w:sz w:val="21"/>
                      <w:szCs w:val="21"/>
                      <w:vertAlign w:val="subscript"/>
                    </w:rPr>
                    <w:t>2</w:t>
                  </w:r>
                  <w:r>
                    <w:rPr>
                      <w:rFonts w:ascii="Times New Roman" w:hAnsi="Times New Roman"/>
                      <w:color w:val="auto"/>
                      <w:sz w:val="21"/>
                      <w:szCs w:val="21"/>
                    </w:rPr>
                    <w:t>）</w:t>
                  </w:r>
                </w:p>
              </w:tc>
              <w:tc>
                <w:tcPr>
                  <w:tcW w:w="1610" w:type="dxa"/>
                  <w:noWrap w:val="0"/>
                  <w:vAlign w:val="center"/>
                </w:tcPr>
                <w:p w14:paraId="7F3049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年平均</w:t>
                  </w:r>
                </w:p>
              </w:tc>
              <w:tc>
                <w:tcPr>
                  <w:tcW w:w="2370" w:type="dxa"/>
                  <w:noWrap w:val="0"/>
                  <w:vAlign w:val="center"/>
                </w:tcPr>
                <w:p w14:paraId="272B34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40</w:t>
                  </w:r>
                </w:p>
              </w:tc>
              <w:tc>
                <w:tcPr>
                  <w:tcW w:w="1130" w:type="dxa"/>
                  <w:vMerge w:val="continue"/>
                  <w:noWrap w:val="0"/>
                  <w:vAlign w:val="center"/>
                </w:tcPr>
                <w:p w14:paraId="57B99C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3871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3B9E50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5137A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6DB9C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24小时平均</w:t>
                  </w:r>
                </w:p>
              </w:tc>
              <w:tc>
                <w:tcPr>
                  <w:tcW w:w="2370" w:type="dxa"/>
                  <w:noWrap w:val="0"/>
                  <w:vAlign w:val="center"/>
                </w:tcPr>
                <w:p w14:paraId="17B3C7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80</w:t>
                  </w:r>
                </w:p>
              </w:tc>
              <w:tc>
                <w:tcPr>
                  <w:tcW w:w="1130" w:type="dxa"/>
                  <w:vMerge w:val="continue"/>
                  <w:noWrap w:val="0"/>
                  <w:vAlign w:val="center"/>
                </w:tcPr>
                <w:p w14:paraId="36CF78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1284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08FECA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51257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046B32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1小时平均</w:t>
                  </w:r>
                </w:p>
              </w:tc>
              <w:tc>
                <w:tcPr>
                  <w:tcW w:w="2370" w:type="dxa"/>
                  <w:noWrap w:val="0"/>
                  <w:vAlign w:val="center"/>
                </w:tcPr>
                <w:p w14:paraId="51B0A2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cr/>
                  </w:r>
                  <w:r>
                    <w:rPr>
                      <w:rFonts w:hint="eastAsia" w:ascii="Times New Roman" w:hAnsi="Times New Roman"/>
                      <w:color w:val="auto"/>
                      <w:sz w:val="21"/>
                      <w:szCs w:val="21"/>
                    </w:rPr>
                    <w:t>2</w:t>
                  </w:r>
                  <w:r>
                    <w:rPr>
                      <w:rFonts w:ascii="Times New Roman" w:hAnsi="Times New Roman"/>
                      <w:color w:val="auto"/>
                      <w:sz w:val="21"/>
                      <w:szCs w:val="21"/>
                    </w:rPr>
                    <w:t>00</w:t>
                  </w:r>
                </w:p>
              </w:tc>
              <w:tc>
                <w:tcPr>
                  <w:tcW w:w="1130" w:type="dxa"/>
                  <w:vMerge w:val="continue"/>
                  <w:noWrap w:val="0"/>
                  <w:vAlign w:val="center"/>
                </w:tcPr>
                <w:p w14:paraId="29029E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754B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restart"/>
                  <w:noWrap w:val="0"/>
                  <w:vAlign w:val="center"/>
                </w:tcPr>
                <w:p w14:paraId="2E7B4C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3</w:t>
                  </w:r>
                </w:p>
              </w:tc>
              <w:tc>
                <w:tcPr>
                  <w:tcW w:w="1718" w:type="dxa"/>
                  <w:vMerge w:val="restart"/>
                  <w:noWrap w:val="0"/>
                  <w:vAlign w:val="center"/>
                </w:tcPr>
                <w:p w14:paraId="4370C7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一氧化碳（CO）</w:t>
                  </w:r>
                </w:p>
              </w:tc>
              <w:tc>
                <w:tcPr>
                  <w:tcW w:w="1610" w:type="dxa"/>
                  <w:noWrap w:val="0"/>
                  <w:vAlign w:val="center"/>
                </w:tcPr>
                <w:p w14:paraId="431359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24小时平均</w:t>
                  </w:r>
                </w:p>
              </w:tc>
              <w:tc>
                <w:tcPr>
                  <w:tcW w:w="2370" w:type="dxa"/>
                  <w:noWrap w:val="0"/>
                  <w:vAlign w:val="center"/>
                </w:tcPr>
                <w:p w14:paraId="3FDB4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4</w:t>
                  </w:r>
                </w:p>
              </w:tc>
              <w:tc>
                <w:tcPr>
                  <w:tcW w:w="1130" w:type="dxa"/>
                  <w:vMerge w:val="restart"/>
                  <w:noWrap w:val="0"/>
                  <w:vAlign w:val="center"/>
                </w:tcPr>
                <w:p w14:paraId="49BDA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mg/m</w:t>
                  </w:r>
                  <w:r>
                    <w:rPr>
                      <w:rFonts w:ascii="Times New Roman" w:hAnsi="Times New Roman"/>
                      <w:bCs/>
                      <w:color w:val="auto"/>
                      <w:sz w:val="21"/>
                      <w:szCs w:val="21"/>
                      <w:vertAlign w:val="superscript"/>
                    </w:rPr>
                    <w:t>3</w:t>
                  </w:r>
                </w:p>
              </w:tc>
            </w:tr>
            <w:tr w14:paraId="7D18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2DDFA2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66438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7375DF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1小时平均</w:t>
                  </w:r>
                </w:p>
              </w:tc>
              <w:tc>
                <w:tcPr>
                  <w:tcW w:w="2370" w:type="dxa"/>
                  <w:noWrap w:val="0"/>
                  <w:vAlign w:val="center"/>
                </w:tcPr>
                <w:p w14:paraId="4AE5CD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10</w:t>
                  </w:r>
                </w:p>
              </w:tc>
              <w:tc>
                <w:tcPr>
                  <w:tcW w:w="1130" w:type="dxa"/>
                  <w:vMerge w:val="continue"/>
                  <w:noWrap w:val="0"/>
                  <w:vAlign w:val="center"/>
                </w:tcPr>
                <w:p w14:paraId="0EB12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33CD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32" w:type="dxa"/>
                  <w:vMerge w:val="restart"/>
                  <w:noWrap w:val="0"/>
                  <w:vAlign w:val="center"/>
                </w:tcPr>
                <w:p w14:paraId="06E40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4</w:t>
                  </w:r>
                </w:p>
              </w:tc>
              <w:tc>
                <w:tcPr>
                  <w:tcW w:w="1718" w:type="dxa"/>
                  <w:vMerge w:val="restart"/>
                  <w:noWrap w:val="0"/>
                  <w:vAlign w:val="center"/>
                </w:tcPr>
                <w:p w14:paraId="7C1E40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臭氧</w:t>
                  </w:r>
                </w:p>
              </w:tc>
              <w:tc>
                <w:tcPr>
                  <w:tcW w:w="1610" w:type="dxa"/>
                  <w:noWrap w:val="0"/>
                  <w:vAlign w:val="center"/>
                </w:tcPr>
                <w:p w14:paraId="02B5B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日最大8小时平均</w:t>
                  </w:r>
                </w:p>
              </w:tc>
              <w:tc>
                <w:tcPr>
                  <w:tcW w:w="2370" w:type="dxa"/>
                  <w:noWrap w:val="0"/>
                  <w:vAlign w:val="center"/>
                </w:tcPr>
                <w:p w14:paraId="6582DD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160</w:t>
                  </w:r>
                </w:p>
              </w:tc>
              <w:tc>
                <w:tcPr>
                  <w:tcW w:w="1130" w:type="dxa"/>
                  <w:vMerge w:val="restart"/>
                  <w:noWrap w:val="0"/>
                  <w:vAlign w:val="center"/>
                </w:tcPr>
                <w:p w14:paraId="4ED0D0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μg/m</w:t>
                  </w:r>
                  <w:r>
                    <w:rPr>
                      <w:rFonts w:ascii="Times New Roman" w:hAnsi="Times New Roman"/>
                      <w:bCs/>
                      <w:color w:val="auto"/>
                      <w:sz w:val="21"/>
                      <w:szCs w:val="21"/>
                      <w:vertAlign w:val="superscript"/>
                    </w:rPr>
                    <w:t>3</w:t>
                  </w:r>
                </w:p>
              </w:tc>
            </w:tr>
            <w:tr w14:paraId="1BDE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1A7281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4FDAF6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4A880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1小时平均</w:t>
                  </w:r>
                </w:p>
              </w:tc>
              <w:tc>
                <w:tcPr>
                  <w:tcW w:w="2370" w:type="dxa"/>
                  <w:noWrap w:val="0"/>
                  <w:vAlign w:val="center"/>
                </w:tcPr>
                <w:p w14:paraId="025A15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200</w:t>
                  </w:r>
                </w:p>
              </w:tc>
              <w:tc>
                <w:tcPr>
                  <w:tcW w:w="1130" w:type="dxa"/>
                  <w:vMerge w:val="continue"/>
                  <w:noWrap w:val="0"/>
                  <w:vAlign w:val="center"/>
                </w:tcPr>
                <w:p w14:paraId="3A85B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7580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restart"/>
                  <w:noWrap w:val="0"/>
                  <w:vAlign w:val="center"/>
                </w:tcPr>
                <w:p w14:paraId="76B0B4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5</w:t>
                  </w:r>
                </w:p>
              </w:tc>
              <w:tc>
                <w:tcPr>
                  <w:tcW w:w="1718" w:type="dxa"/>
                  <w:vMerge w:val="restart"/>
                  <w:noWrap w:val="0"/>
                  <w:vAlign w:val="center"/>
                </w:tcPr>
                <w:p w14:paraId="319BE4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颗粒物（粒径小于等于10</w:t>
                  </w:r>
                  <w:r>
                    <w:rPr>
                      <w:rFonts w:ascii="Times New Roman" w:hAnsi="Times New Roman"/>
                      <w:bCs/>
                      <w:color w:val="auto"/>
                      <w:sz w:val="21"/>
                      <w:szCs w:val="21"/>
                    </w:rPr>
                    <w:t>μm</w:t>
                  </w:r>
                  <w:r>
                    <w:rPr>
                      <w:rFonts w:ascii="Times New Roman" w:hAnsi="Times New Roman"/>
                      <w:color w:val="auto"/>
                      <w:sz w:val="21"/>
                      <w:szCs w:val="21"/>
                    </w:rPr>
                    <w:t>）</w:t>
                  </w:r>
                </w:p>
              </w:tc>
              <w:tc>
                <w:tcPr>
                  <w:tcW w:w="1610" w:type="dxa"/>
                  <w:noWrap w:val="0"/>
                  <w:vAlign w:val="center"/>
                </w:tcPr>
                <w:p w14:paraId="5A1A07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年平均</w:t>
                  </w:r>
                </w:p>
              </w:tc>
              <w:tc>
                <w:tcPr>
                  <w:tcW w:w="2370" w:type="dxa"/>
                  <w:noWrap w:val="0"/>
                  <w:vAlign w:val="center"/>
                </w:tcPr>
                <w:p w14:paraId="1C37AF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70</w:t>
                  </w:r>
                </w:p>
              </w:tc>
              <w:tc>
                <w:tcPr>
                  <w:tcW w:w="1130" w:type="dxa"/>
                  <w:vMerge w:val="continue"/>
                  <w:noWrap w:val="0"/>
                  <w:vAlign w:val="center"/>
                </w:tcPr>
                <w:p w14:paraId="258A9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0F55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55409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1C05EC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2F151F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24小时平均</w:t>
                  </w:r>
                </w:p>
              </w:tc>
              <w:tc>
                <w:tcPr>
                  <w:tcW w:w="2370" w:type="dxa"/>
                  <w:noWrap w:val="0"/>
                  <w:vAlign w:val="center"/>
                </w:tcPr>
                <w:p w14:paraId="620CEE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15</w:t>
                  </w:r>
                  <w:r>
                    <w:rPr>
                      <w:rFonts w:hint="eastAsia" w:ascii="Times New Roman" w:hAnsi="Times New Roman"/>
                      <w:color w:val="auto"/>
                      <w:sz w:val="21"/>
                      <w:szCs w:val="21"/>
                    </w:rPr>
                    <w:t>0</w:t>
                  </w:r>
                </w:p>
              </w:tc>
              <w:tc>
                <w:tcPr>
                  <w:tcW w:w="1130" w:type="dxa"/>
                  <w:vMerge w:val="continue"/>
                  <w:noWrap w:val="0"/>
                  <w:vAlign w:val="center"/>
                </w:tcPr>
                <w:p w14:paraId="1B685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7501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restart"/>
                  <w:noWrap w:val="0"/>
                  <w:vAlign w:val="center"/>
                </w:tcPr>
                <w:p w14:paraId="1639B8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6</w:t>
                  </w:r>
                </w:p>
              </w:tc>
              <w:tc>
                <w:tcPr>
                  <w:tcW w:w="1718" w:type="dxa"/>
                  <w:vMerge w:val="restart"/>
                  <w:noWrap w:val="0"/>
                  <w:vAlign w:val="center"/>
                </w:tcPr>
                <w:p w14:paraId="0A4304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颗粒物（粒径小于等于2.5</w:t>
                  </w:r>
                  <w:r>
                    <w:rPr>
                      <w:rFonts w:ascii="Times New Roman" w:hAnsi="Times New Roman"/>
                      <w:bCs/>
                      <w:color w:val="auto"/>
                      <w:sz w:val="21"/>
                      <w:szCs w:val="21"/>
                    </w:rPr>
                    <w:t>μm</w:t>
                  </w:r>
                  <w:r>
                    <w:rPr>
                      <w:rFonts w:ascii="Times New Roman" w:hAnsi="Times New Roman"/>
                      <w:color w:val="auto"/>
                      <w:sz w:val="21"/>
                      <w:szCs w:val="21"/>
                    </w:rPr>
                    <w:t>）</w:t>
                  </w:r>
                </w:p>
              </w:tc>
              <w:tc>
                <w:tcPr>
                  <w:tcW w:w="1610" w:type="dxa"/>
                  <w:noWrap w:val="0"/>
                  <w:vAlign w:val="center"/>
                </w:tcPr>
                <w:p w14:paraId="3821FE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年平均</w:t>
                  </w:r>
                </w:p>
              </w:tc>
              <w:tc>
                <w:tcPr>
                  <w:tcW w:w="2370" w:type="dxa"/>
                  <w:noWrap w:val="0"/>
                  <w:vAlign w:val="center"/>
                </w:tcPr>
                <w:p w14:paraId="41340F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35</w:t>
                  </w:r>
                </w:p>
              </w:tc>
              <w:tc>
                <w:tcPr>
                  <w:tcW w:w="1130" w:type="dxa"/>
                  <w:vMerge w:val="continue"/>
                  <w:noWrap w:val="0"/>
                  <w:vAlign w:val="center"/>
                </w:tcPr>
                <w:p w14:paraId="1548F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3362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0DA5C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69A6CA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2020F0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24小时平均</w:t>
                  </w:r>
                </w:p>
              </w:tc>
              <w:tc>
                <w:tcPr>
                  <w:tcW w:w="2370" w:type="dxa"/>
                  <w:noWrap w:val="0"/>
                  <w:vAlign w:val="center"/>
                </w:tcPr>
                <w:p w14:paraId="50E9C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75</w:t>
                  </w:r>
                </w:p>
              </w:tc>
              <w:tc>
                <w:tcPr>
                  <w:tcW w:w="1130" w:type="dxa"/>
                  <w:vMerge w:val="continue"/>
                  <w:noWrap w:val="0"/>
                  <w:vAlign w:val="center"/>
                </w:tcPr>
                <w:p w14:paraId="54083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4D60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restart"/>
                  <w:noWrap w:val="0"/>
                  <w:vAlign w:val="center"/>
                </w:tcPr>
                <w:p w14:paraId="579F95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7</w:t>
                  </w:r>
                </w:p>
              </w:tc>
              <w:tc>
                <w:tcPr>
                  <w:tcW w:w="1718" w:type="dxa"/>
                  <w:vMerge w:val="restart"/>
                  <w:noWrap w:val="0"/>
                  <w:vAlign w:val="center"/>
                </w:tcPr>
                <w:p w14:paraId="753AC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总悬浮颗粒物（TSP）</w:t>
                  </w:r>
                </w:p>
              </w:tc>
              <w:tc>
                <w:tcPr>
                  <w:tcW w:w="1610" w:type="dxa"/>
                  <w:noWrap w:val="0"/>
                  <w:vAlign w:val="center"/>
                </w:tcPr>
                <w:p w14:paraId="6C2BF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年平均</w:t>
                  </w:r>
                </w:p>
              </w:tc>
              <w:tc>
                <w:tcPr>
                  <w:tcW w:w="2370" w:type="dxa"/>
                  <w:noWrap w:val="0"/>
                  <w:vAlign w:val="center"/>
                </w:tcPr>
                <w:p w14:paraId="08A71E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200</w:t>
                  </w:r>
                </w:p>
              </w:tc>
              <w:tc>
                <w:tcPr>
                  <w:tcW w:w="1130" w:type="dxa"/>
                  <w:vMerge w:val="continue"/>
                  <w:noWrap w:val="0"/>
                  <w:vAlign w:val="center"/>
                </w:tcPr>
                <w:p w14:paraId="3309B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0DF8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3FE756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4498E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4AE75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24小时平均</w:t>
                  </w:r>
                </w:p>
              </w:tc>
              <w:tc>
                <w:tcPr>
                  <w:tcW w:w="2370" w:type="dxa"/>
                  <w:noWrap w:val="0"/>
                  <w:vAlign w:val="center"/>
                </w:tcPr>
                <w:p w14:paraId="01B838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300</w:t>
                  </w:r>
                </w:p>
              </w:tc>
              <w:tc>
                <w:tcPr>
                  <w:tcW w:w="1130" w:type="dxa"/>
                  <w:vMerge w:val="continue"/>
                  <w:noWrap w:val="0"/>
                  <w:vAlign w:val="center"/>
                </w:tcPr>
                <w:p w14:paraId="55F35B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2871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restart"/>
                  <w:noWrap w:val="0"/>
                  <w:vAlign w:val="center"/>
                </w:tcPr>
                <w:p w14:paraId="282B17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8</w:t>
                  </w:r>
                </w:p>
              </w:tc>
              <w:tc>
                <w:tcPr>
                  <w:tcW w:w="1718" w:type="dxa"/>
                  <w:vMerge w:val="restart"/>
                  <w:noWrap w:val="0"/>
                  <w:vAlign w:val="center"/>
                </w:tcPr>
                <w:p w14:paraId="03D8E7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苯并芘</w:t>
                  </w:r>
                </w:p>
              </w:tc>
              <w:tc>
                <w:tcPr>
                  <w:tcW w:w="1610" w:type="dxa"/>
                  <w:noWrap w:val="0"/>
                  <w:vAlign w:val="center"/>
                </w:tcPr>
                <w:p w14:paraId="46E7A8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年平均</w:t>
                  </w:r>
                </w:p>
              </w:tc>
              <w:tc>
                <w:tcPr>
                  <w:tcW w:w="2370" w:type="dxa"/>
                  <w:noWrap w:val="0"/>
                  <w:vAlign w:val="center"/>
                </w:tcPr>
                <w:p w14:paraId="1DACD7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0.001</w:t>
                  </w:r>
                </w:p>
              </w:tc>
              <w:tc>
                <w:tcPr>
                  <w:tcW w:w="1130" w:type="dxa"/>
                  <w:vMerge w:val="restart"/>
                  <w:noWrap w:val="0"/>
                  <w:vAlign w:val="center"/>
                </w:tcPr>
                <w:p w14:paraId="3F4000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μg/m</w:t>
                  </w:r>
                  <w:r>
                    <w:rPr>
                      <w:rFonts w:ascii="Times New Roman" w:hAnsi="Times New Roman"/>
                      <w:bCs/>
                      <w:color w:val="auto"/>
                      <w:sz w:val="21"/>
                      <w:szCs w:val="21"/>
                      <w:vertAlign w:val="superscript"/>
                    </w:rPr>
                    <w:t>3</w:t>
                  </w:r>
                </w:p>
              </w:tc>
            </w:tr>
            <w:tr w14:paraId="3CDE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7D2542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463CB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60EF75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24小时平均</w:t>
                  </w:r>
                </w:p>
              </w:tc>
              <w:tc>
                <w:tcPr>
                  <w:tcW w:w="2370" w:type="dxa"/>
                  <w:noWrap w:val="0"/>
                  <w:vAlign w:val="center"/>
                </w:tcPr>
                <w:p w14:paraId="576AB0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0.0025</w:t>
                  </w:r>
                </w:p>
              </w:tc>
              <w:tc>
                <w:tcPr>
                  <w:tcW w:w="1130" w:type="dxa"/>
                  <w:vMerge w:val="continue"/>
                  <w:noWrap w:val="0"/>
                  <w:vAlign w:val="center"/>
                </w:tcPr>
                <w:p w14:paraId="06CC14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5D7E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restart"/>
                  <w:noWrap w:val="0"/>
                  <w:vAlign w:val="center"/>
                </w:tcPr>
                <w:p w14:paraId="5C6AD2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9</w:t>
                  </w:r>
                </w:p>
              </w:tc>
              <w:tc>
                <w:tcPr>
                  <w:tcW w:w="1718" w:type="dxa"/>
                  <w:vMerge w:val="restart"/>
                  <w:noWrap w:val="0"/>
                  <w:vAlign w:val="center"/>
                </w:tcPr>
                <w:p w14:paraId="531DF1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氮氧化物</w:t>
                  </w:r>
                </w:p>
              </w:tc>
              <w:tc>
                <w:tcPr>
                  <w:tcW w:w="1610" w:type="dxa"/>
                  <w:noWrap w:val="0"/>
                  <w:vAlign w:val="center"/>
                </w:tcPr>
                <w:p w14:paraId="1336C7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年平均</w:t>
                  </w:r>
                </w:p>
              </w:tc>
              <w:tc>
                <w:tcPr>
                  <w:tcW w:w="2370" w:type="dxa"/>
                  <w:noWrap w:val="0"/>
                  <w:vAlign w:val="center"/>
                </w:tcPr>
                <w:p w14:paraId="2726C6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50</w:t>
                  </w:r>
                </w:p>
              </w:tc>
              <w:tc>
                <w:tcPr>
                  <w:tcW w:w="1130" w:type="dxa"/>
                  <w:vMerge w:val="continue"/>
                  <w:noWrap w:val="0"/>
                  <w:vAlign w:val="center"/>
                </w:tcPr>
                <w:p w14:paraId="631C31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177A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4077CC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7E9E64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5E9C86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24小时平均</w:t>
                  </w:r>
                </w:p>
              </w:tc>
              <w:tc>
                <w:tcPr>
                  <w:tcW w:w="2370" w:type="dxa"/>
                  <w:noWrap w:val="0"/>
                  <w:vAlign w:val="center"/>
                </w:tcPr>
                <w:p w14:paraId="53EE86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100</w:t>
                  </w:r>
                </w:p>
              </w:tc>
              <w:tc>
                <w:tcPr>
                  <w:tcW w:w="1130" w:type="dxa"/>
                  <w:vMerge w:val="continue"/>
                  <w:noWrap w:val="0"/>
                  <w:vAlign w:val="center"/>
                </w:tcPr>
                <w:p w14:paraId="5F9C5D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122C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2" w:type="dxa"/>
                  <w:vMerge w:val="continue"/>
                  <w:noWrap w:val="0"/>
                  <w:vAlign w:val="center"/>
                </w:tcPr>
                <w:p w14:paraId="6C412F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718" w:type="dxa"/>
                  <w:vMerge w:val="continue"/>
                  <w:noWrap w:val="0"/>
                  <w:vAlign w:val="center"/>
                </w:tcPr>
                <w:p w14:paraId="5C5A39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610" w:type="dxa"/>
                  <w:noWrap w:val="0"/>
                  <w:vAlign w:val="center"/>
                </w:tcPr>
                <w:p w14:paraId="49B438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1小时平均</w:t>
                  </w:r>
                </w:p>
              </w:tc>
              <w:tc>
                <w:tcPr>
                  <w:tcW w:w="2370" w:type="dxa"/>
                  <w:noWrap w:val="0"/>
                  <w:vAlign w:val="center"/>
                </w:tcPr>
                <w:p w14:paraId="247EB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250</w:t>
                  </w:r>
                </w:p>
              </w:tc>
              <w:tc>
                <w:tcPr>
                  <w:tcW w:w="1130" w:type="dxa"/>
                  <w:vMerge w:val="continue"/>
                  <w:noWrap w:val="0"/>
                  <w:vAlign w:val="center"/>
                </w:tcPr>
                <w:p w14:paraId="46CA57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r>
            <w:tr w14:paraId="3F8E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932" w:type="dxa"/>
                  <w:noWrap w:val="0"/>
                  <w:vAlign w:val="center"/>
                </w:tcPr>
                <w:p w14:paraId="2197C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10</w:t>
                  </w:r>
                </w:p>
              </w:tc>
              <w:tc>
                <w:tcPr>
                  <w:tcW w:w="1718" w:type="dxa"/>
                  <w:noWrap w:val="0"/>
                  <w:vAlign w:val="center"/>
                </w:tcPr>
                <w:p w14:paraId="1968FC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非甲烷总烃</w:t>
                  </w:r>
                </w:p>
              </w:tc>
              <w:tc>
                <w:tcPr>
                  <w:tcW w:w="1610" w:type="dxa"/>
                  <w:noWrap w:val="0"/>
                  <w:vAlign w:val="center"/>
                </w:tcPr>
                <w:p w14:paraId="326D16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1小时平均</w:t>
                  </w:r>
                </w:p>
              </w:tc>
              <w:tc>
                <w:tcPr>
                  <w:tcW w:w="2370" w:type="dxa"/>
                  <w:noWrap w:val="0"/>
                  <w:vAlign w:val="center"/>
                </w:tcPr>
                <w:p w14:paraId="00F360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2.0</w:t>
                  </w:r>
                </w:p>
              </w:tc>
              <w:tc>
                <w:tcPr>
                  <w:tcW w:w="1130" w:type="dxa"/>
                  <w:noWrap w:val="0"/>
                  <w:vAlign w:val="center"/>
                </w:tcPr>
                <w:p w14:paraId="19E278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mg/m</w:t>
                  </w:r>
                  <w:r>
                    <w:rPr>
                      <w:rFonts w:ascii="Times New Roman" w:hAnsi="Times New Roman"/>
                      <w:bCs/>
                      <w:color w:val="auto"/>
                      <w:sz w:val="21"/>
                      <w:szCs w:val="21"/>
                      <w:vertAlign w:val="superscript"/>
                    </w:rPr>
                    <w:t>3</w:t>
                  </w:r>
                </w:p>
              </w:tc>
            </w:tr>
          </w:tbl>
          <w:p w14:paraId="786832EC">
            <w:pPr>
              <w:pStyle w:val="55"/>
              <w:spacing w:line="360" w:lineRule="auto"/>
              <w:ind w:firstLine="482"/>
              <w:rPr>
                <w:rFonts w:hint="eastAsia"/>
                <w:b/>
                <w:bCs/>
                <w:color w:val="auto"/>
              </w:rPr>
            </w:pPr>
            <w:r>
              <w:rPr>
                <w:rFonts w:hint="eastAsia"/>
                <w:b/>
                <w:bCs/>
                <w:color w:val="auto"/>
              </w:rPr>
              <w:t>（2）区域大气环境质量现状</w:t>
            </w:r>
          </w:p>
          <w:p w14:paraId="4ECA0AB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kern w:val="0"/>
                <w:sz w:val="24"/>
                <w:szCs w:val="24"/>
                <w:lang w:val="en-US" w:eastAsia="zh-CN" w:bidi="ar"/>
              </w:rPr>
              <w:t>根据环境功能区划分原则，项目区域环境空气质量功能区划为二类区，环境空气质量执行</w:t>
            </w:r>
            <w:r>
              <w:rPr>
                <w:rFonts w:hint="eastAsia" w:ascii="Times New Roman" w:hAnsi="Times New Roman" w:eastAsia="宋体" w:cs="Times New Roman"/>
                <w:color w:val="auto"/>
                <w:kern w:val="0"/>
                <w:sz w:val="24"/>
                <w:szCs w:val="24"/>
                <w:lang w:val="en-US" w:eastAsia="zh-CN" w:bidi="ar"/>
              </w:rPr>
              <w:t>《环境空气质量标准》（GB3095-2012）及其修改单二级标准</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sz w:val="24"/>
                <w:szCs w:val="24"/>
                <w:lang w:val="en-US" w:eastAsia="zh-CN"/>
              </w:rPr>
              <w:t>根据</w:t>
            </w:r>
            <w:r>
              <w:rPr>
                <w:rFonts w:hint="eastAsia" w:ascii="Times New Roman" w:hAnsi="Times New Roman" w:eastAsia="宋体" w:cs="Times New Roman"/>
                <w:sz w:val="24"/>
                <w:szCs w:val="24"/>
                <w:lang w:val="en-US" w:eastAsia="zh-CN"/>
              </w:rPr>
              <w:t>《2022年德宏州生态环境状况公报》，</w:t>
            </w:r>
            <w:r>
              <w:rPr>
                <w:rFonts w:hint="default" w:ascii="Times New Roman" w:hAnsi="Times New Roman" w:eastAsia="宋体" w:cs="Times New Roman"/>
                <w:sz w:val="24"/>
                <w:szCs w:val="24"/>
                <w:lang w:val="en-US" w:eastAsia="zh-CN"/>
              </w:rPr>
              <w:t>芒市环境空气质量</w:t>
            </w:r>
            <w:r>
              <w:rPr>
                <w:rFonts w:hint="eastAsia" w:ascii="Times New Roman" w:hAnsi="Times New Roman" w:eastAsia="宋体" w:cs="Times New Roman"/>
                <w:sz w:val="24"/>
                <w:szCs w:val="24"/>
                <w:lang w:val="en-US" w:eastAsia="zh-CN"/>
              </w:rPr>
              <w:t>NO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、CO相应百分位数达到一级标准，SO</w:t>
            </w:r>
            <w:r>
              <w:rPr>
                <w:rFonts w:hint="eastAsia" w:ascii="Times New Roman" w:hAnsi="Times New Roman" w:eastAsia="宋体"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eastAsia" w:ascii="Times New Roman" w:hAnsi="Times New Roman" w:eastAsia="宋体" w:cs="Times New Roman"/>
                <w:sz w:val="24"/>
                <w:szCs w:val="24"/>
                <w:lang w:val="en-US" w:eastAsia="zh-CN"/>
              </w:rPr>
              <w:t>相应百分位数达到二级标准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E77329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202</w:t>
            </w: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hint="default" w:ascii="Times New Roman" w:hAnsi="Times New Roman" w:cs="Times New Roman"/>
                <w:b/>
                <w:bCs/>
                <w:color w:val="000000" w:themeColor="text1"/>
                <w:sz w:val="21"/>
                <w:szCs w:val="21"/>
                <w14:textFill>
                  <w14:solidFill>
                    <w14:schemeClr w14:val="tx1"/>
                  </w14:solidFill>
                </w14:textFill>
              </w:rPr>
              <w:t>年德宏州</w:t>
            </w:r>
            <w:r>
              <w:rPr>
                <w:rFonts w:hint="default" w:ascii="Times New Roman" w:hAnsi="Times New Roman" w:cs="Times New Roman"/>
                <w:b/>
                <w:bCs/>
                <w:color w:val="000000" w:themeColor="text1"/>
                <w:sz w:val="21"/>
                <w:szCs w:val="21"/>
                <w:lang w:val="en-US" w:eastAsia="zh-CN"/>
                <w14:textFill>
                  <w14:solidFill>
                    <w14:schemeClr w14:val="tx1"/>
                  </w14:solidFill>
                </w14:textFill>
              </w:rPr>
              <w:t>芒</w:t>
            </w:r>
            <w:r>
              <w:rPr>
                <w:rFonts w:hint="default" w:ascii="Times New Roman" w:hAnsi="Times New Roman" w:cs="Times New Roman"/>
                <w:b/>
                <w:bCs/>
                <w:color w:val="000000" w:themeColor="text1"/>
                <w:sz w:val="21"/>
                <w:szCs w:val="21"/>
                <w14:textFill>
                  <w14:solidFill>
                    <w14:schemeClr w14:val="tx1"/>
                  </w14:solidFill>
                </w14:textFill>
              </w:rPr>
              <w:t>市城市空气监测结果</w:t>
            </w:r>
          </w:p>
          <w:tbl>
            <w:tblPr>
              <w:tblStyle w:val="27"/>
              <w:tblW w:w="495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Layout w:type="fixed"/>
              <w:tblCellMar>
                <w:top w:w="15" w:type="dxa"/>
                <w:left w:w="15" w:type="dxa"/>
                <w:bottom w:w="15" w:type="dxa"/>
                <w:right w:w="15" w:type="dxa"/>
              </w:tblCellMar>
            </w:tblPr>
            <w:tblGrid>
              <w:gridCol w:w="669"/>
              <w:gridCol w:w="635"/>
              <w:gridCol w:w="721"/>
              <w:gridCol w:w="594"/>
              <w:gridCol w:w="594"/>
              <w:gridCol w:w="594"/>
              <w:gridCol w:w="594"/>
              <w:gridCol w:w="594"/>
              <w:gridCol w:w="607"/>
              <w:gridCol w:w="787"/>
              <w:gridCol w:w="787"/>
              <w:gridCol w:w="619"/>
            </w:tblGrid>
            <w:tr w14:paraId="31E62D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56" w:hRule="atLeast"/>
              </w:trPr>
              <w:tc>
                <w:tcPr>
                  <w:tcW w:w="429"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20B0A9A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 </w:t>
                  </w:r>
                </w:p>
                <w:p w14:paraId="3E4F653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城市</w:t>
                  </w:r>
                </w:p>
              </w:tc>
              <w:tc>
                <w:tcPr>
                  <w:tcW w:w="869"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263C1E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二氧化硫</w:t>
                  </w:r>
                </w:p>
              </w:tc>
              <w:tc>
                <w:tcPr>
                  <w:tcW w:w="762"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3671804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二氧化氮</w:t>
                  </w:r>
                </w:p>
              </w:tc>
              <w:tc>
                <w:tcPr>
                  <w:tcW w:w="762"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1216214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可吸入颗</w:t>
                  </w:r>
                </w:p>
                <w:p w14:paraId="4E3C5D8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粒物</w:t>
                  </w:r>
                </w:p>
              </w:tc>
              <w:tc>
                <w:tcPr>
                  <w:tcW w:w="770" w:type="pct"/>
                  <w:gridSpan w:val="2"/>
                  <w:tcBorders>
                    <w:top w:val="single" w:color="auto" w:sz="8" w:space="0"/>
                    <w:left w:val="single" w:color="auto" w:sz="8" w:space="0"/>
                    <w:bottom w:val="single" w:color="auto" w:sz="8" w:space="0"/>
                    <w:right w:val="single" w:color="auto" w:sz="8" w:space="0"/>
                  </w:tcBorders>
                  <w:shd w:val="clear" w:color="auto" w:fill="F7F7F7"/>
                  <w:vAlign w:val="center"/>
                </w:tcPr>
                <w:p w14:paraId="6EC8D86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细颗粒物</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1E53E0C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一氧</w:t>
                  </w:r>
                </w:p>
                <w:p w14:paraId="5E09D3D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化碳</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5C5703D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臭氧</w:t>
                  </w:r>
                </w:p>
              </w:tc>
              <w:tc>
                <w:tcPr>
                  <w:tcW w:w="396"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40A314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达标</w:t>
                  </w:r>
                </w:p>
                <w:p w14:paraId="77735ED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情况</w:t>
                  </w:r>
                </w:p>
              </w:tc>
            </w:tr>
            <w:tr w14:paraId="5775ECC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CellMar>
                  <w:top w:w="15" w:type="dxa"/>
                  <w:left w:w="15" w:type="dxa"/>
                  <w:bottom w:w="15" w:type="dxa"/>
                  <w:right w:w="15" w:type="dxa"/>
                </w:tblCellMar>
              </w:tblPrEx>
              <w:trPr>
                <w:trHeight w:val="813" w:hRule="atLeast"/>
              </w:trPr>
              <w:tc>
                <w:tcPr>
                  <w:tcW w:w="429"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7BBC4F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i w:val="0"/>
                      <w:caps w:val="0"/>
                      <w:color w:val="auto"/>
                      <w:spacing w:val="0"/>
                      <w:sz w:val="21"/>
                      <w:szCs w:val="21"/>
                    </w:rPr>
                  </w:pPr>
                </w:p>
              </w:tc>
              <w:tc>
                <w:tcPr>
                  <w:tcW w:w="407" w:type="pct"/>
                  <w:tcBorders>
                    <w:top w:val="single" w:color="auto" w:sz="8" w:space="0"/>
                    <w:left w:val="single" w:color="auto" w:sz="8" w:space="0"/>
                    <w:bottom w:val="single" w:color="auto" w:sz="8" w:space="0"/>
                    <w:right w:val="single" w:color="auto" w:sz="8" w:space="0"/>
                  </w:tcBorders>
                  <w:shd w:val="clear" w:color="auto" w:fill="F7F7F7"/>
                  <w:vAlign w:val="center"/>
                </w:tcPr>
                <w:p w14:paraId="5CC41E1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年均值</w:t>
                  </w:r>
                </w:p>
              </w:tc>
              <w:tc>
                <w:tcPr>
                  <w:tcW w:w="461" w:type="pct"/>
                  <w:tcBorders>
                    <w:top w:val="single" w:color="auto" w:sz="8" w:space="0"/>
                    <w:left w:val="single" w:color="auto" w:sz="8" w:space="0"/>
                    <w:bottom w:val="single" w:color="auto" w:sz="8" w:space="0"/>
                    <w:right w:val="single" w:color="auto" w:sz="8" w:space="0"/>
                  </w:tcBorders>
                  <w:shd w:val="clear" w:color="auto" w:fill="F7F7F7"/>
                  <w:vAlign w:val="center"/>
                </w:tcPr>
                <w:p w14:paraId="1F8632E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98</w:t>
                  </w:r>
                </w:p>
                <w:p w14:paraId="5DCEAA2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百分位数</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07ED81F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年均值</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4F33F4E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98百分位数</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561D71F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年均值</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0822D80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95百分位数</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0503323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年均值</w:t>
                  </w:r>
                </w:p>
              </w:tc>
              <w:tc>
                <w:tcPr>
                  <w:tcW w:w="389" w:type="pct"/>
                  <w:tcBorders>
                    <w:top w:val="single" w:color="auto" w:sz="8" w:space="0"/>
                    <w:left w:val="single" w:color="auto" w:sz="8" w:space="0"/>
                    <w:bottom w:val="single" w:color="auto" w:sz="8" w:space="0"/>
                    <w:right w:val="single" w:color="auto" w:sz="8" w:space="0"/>
                  </w:tcBorders>
                  <w:shd w:val="clear" w:color="auto" w:fill="F7F7F7"/>
                  <w:vAlign w:val="center"/>
                </w:tcPr>
                <w:p w14:paraId="474C4E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95</w:t>
                  </w:r>
                </w:p>
                <w:p w14:paraId="68056BC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百分位数</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00F8A93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95</w:t>
                  </w:r>
                </w:p>
                <w:p w14:paraId="6313B0D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百分</w:t>
                  </w:r>
                </w:p>
                <w:p w14:paraId="5CE85A6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位数</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4E70E21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90</w:t>
                  </w:r>
                </w:p>
                <w:p w14:paraId="560BF2A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百分</w:t>
                  </w:r>
                </w:p>
                <w:p w14:paraId="652AE1A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位数</w:t>
                  </w:r>
                </w:p>
              </w:tc>
              <w:tc>
                <w:tcPr>
                  <w:tcW w:w="396"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32CF08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i w:val="0"/>
                      <w:caps w:val="0"/>
                      <w:color w:val="auto"/>
                      <w:spacing w:val="0"/>
                      <w:sz w:val="21"/>
                      <w:szCs w:val="21"/>
                    </w:rPr>
                  </w:pPr>
                </w:p>
              </w:tc>
            </w:tr>
            <w:tr w14:paraId="6A7EA8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CellMar>
                  <w:top w:w="15" w:type="dxa"/>
                  <w:left w:w="15" w:type="dxa"/>
                  <w:bottom w:w="15" w:type="dxa"/>
                  <w:right w:w="15" w:type="dxa"/>
                </w:tblCellMar>
              </w:tblPrEx>
              <w:trPr>
                <w:trHeight w:val="299" w:hRule="atLeast"/>
              </w:trPr>
              <w:tc>
                <w:tcPr>
                  <w:tcW w:w="429"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0C8D6A8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芒市</w:t>
                  </w:r>
                </w:p>
              </w:tc>
              <w:tc>
                <w:tcPr>
                  <w:tcW w:w="407" w:type="pct"/>
                  <w:tcBorders>
                    <w:top w:val="single" w:color="auto" w:sz="8" w:space="0"/>
                    <w:left w:val="single" w:color="auto" w:sz="8" w:space="0"/>
                    <w:bottom w:val="single" w:color="auto" w:sz="8" w:space="0"/>
                    <w:right w:val="single" w:color="auto" w:sz="8" w:space="0"/>
                  </w:tcBorders>
                  <w:shd w:val="clear" w:color="auto" w:fill="F7F7F7"/>
                  <w:vAlign w:val="center"/>
                </w:tcPr>
                <w:p w14:paraId="1C266BA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9</w:t>
                  </w:r>
                </w:p>
              </w:tc>
              <w:tc>
                <w:tcPr>
                  <w:tcW w:w="461" w:type="pct"/>
                  <w:tcBorders>
                    <w:top w:val="single" w:color="auto" w:sz="8" w:space="0"/>
                    <w:left w:val="single" w:color="auto" w:sz="8" w:space="0"/>
                    <w:bottom w:val="single" w:color="auto" w:sz="8" w:space="0"/>
                    <w:right w:val="single" w:color="auto" w:sz="8" w:space="0"/>
                  </w:tcBorders>
                  <w:shd w:val="clear" w:color="auto" w:fill="F7F7F7"/>
                  <w:vAlign w:val="center"/>
                </w:tcPr>
                <w:p w14:paraId="43EB72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21</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0BF1847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12</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3CE078A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26</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5645EC7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41</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52FA9E0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85</w:t>
                  </w:r>
                </w:p>
              </w:tc>
              <w:tc>
                <w:tcPr>
                  <w:tcW w:w="381" w:type="pct"/>
                  <w:tcBorders>
                    <w:top w:val="single" w:color="auto" w:sz="8" w:space="0"/>
                    <w:left w:val="single" w:color="auto" w:sz="8" w:space="0"/>
                    <w:bottom w:val="single" w:color="auto" w:sz="8" w:space="0"/>
                    <w:right w:val="single" w:color="auto" w:sz="8" w:space="0"/>
                  </w:tcBorders>
                  <w:shd w:val="clear" w:color="auto" w:fill="F7F7F7"/>
                  <w:vAlign w:val="center"/>
                </w:tcPr>
                <w:p w14:paraId="05DB59B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22</w:t>
                  </w:r>
                </w:p>
              </w:tc>
              <w:tc>
                <w:tcPr>
                  <w:tcW w:w="389" w:type="pct"/>
                  <w:tcBorders>
                    <w:top w:val="single" w:color="auto" w:sz="8" w:space="0"/>
                    <w:left w:val="single" w:color="auto" w:sz="8" w:space="0"/>
                    <w:bottom w:val="single" w:color="auto" w:sz="8" w:space="0"/>
                    <w:right w:val="single" w:color="auto" w:sz="8" w:space="0"/>
                  </w:tcBorders>
                  <w:shd w:val="clear" w:color="auto" w:fill="F7F7F7"/>
                  <w:vAlign w:val="center"/>
                </w:tcPr>
                <w:p w14:paraId="05EE221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48</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38FEF51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0.9</w:t>
                  </w:r>
                </w:p>
              </w:tc>
              <w:tc>
                <w:tcPr>
                  <w:tcW w:w="504" w:type="pct"/>
                  <w:tcBorders>
                    <w:top w:val="single" w:color="auto" w:sz="8" w:space="0"/>
                    <w:left w:val="single" w:color="auto" w:sz="8" w:space="0"/>
                    <w:bottom w:val="single" w:color="auto" w:sz="8" w:space="0"/>
                    <w:right w:val="single" w:color="auto" w:sz="8" w:space="0"/>
                  </w:tcBorders>
                  <w:shd w:val="clear" w:color="auto" w:fill="F7F7F7"/>
                  <w:vAlign w:val="center"/>
                </w:tcPr>
                <w:p w14:paraId="219B18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118</w:t>
                  </w:r>
                </w:p>
              </w:tc>
              <w:tc>
                <w:tcPr>
                  <w:tcW w:w="396" w:type="pct"/>
                  <w:vMerge w:val="restart"/>
                  <w:tcBorders>
                    <w:top w:val="single" w:color="auto" w:sz="8" w:space="0"/>
                    <w:left w:val="single" w:color="auto" w:sz="8" w:space="0"/>
                    <w:bottom w:val="single" w:color="auto" w:sz="8" w:space="0"/>
                    <w:right w:val="single" w:color="auto" w:sz="8" w:space="0"/>
                  </w:tcBorders>
                  <w:shd w:val="clear" w:color="auto" w:fill="F7F7F7"/>
                  <w:vAlign w:val="center"/>
                </w:tcPr>
                <w:p w14:paraId="5E22B6A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caps w:val="0"/>
                      <w:color w:val="auto"/>
                      <w:spacing w:val="0"/>
                      <w:kern w:val="0"/>
                      <w:sz w:val="21"/>
                      <w:szCs w:val="21"/>
                      <w:lang w:val="en-US" w:eastAsia="zh-CN" w:bidi="ar"/>
                    </w:rPr>
                    <w:t>二级</w:t>
                  </w:r>
                </w:p>
              </w:tc>
            </w:tr>
            <w:tr w14:paraId="547E9C0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7F7F7"/>
                <w:tblCellMar>
                  <w:top w:w="15" w:type="dxa"/>
                  <w:left w:w="15" w:type="dxa"/>
                  <w:bottom w:w="15" w:type="dxa"/>
                  <w:right w:w="15" w:type="dxa"/>
                </w:tblCellMar>
              </w:tblPrEx>
              <w:trPr>
                <w:trHeight w:val="315" w:hRule="atLeast"/>
              </w:trPr>
              <w:tc>
                <w:tcPr>
                  <w:tcW w:w="429"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2C7E3C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i w:val="0"/>
                      <w:caps w:val="0"/>
                      <w:color w:val="auto"/>
                      <w:spacing w:val="0"/>
                      <w:sz w:val="21"/>
                      <w:szCs w:val="21"/>
                    </w:rPr>
                  </w:pPr>
                </w:p>
              </w:tc>
              <w:tc>
                <w:tcPr>
                  <w:tcW w:w="407" w:type="pct"/>
                  <w:tcBorders>
                    <w:top w:val="outset" w:color="auto" w:sz="6" w:space="0"/>
                    <w:left w:val="nil"/>
                    <w:bottom w:val="outset" w:color="auto" w:sz="6" w:space="0"/>
                    <w:right w:val="outset" w:color="auto" w:sz="6" w:space="0"/>
                  </w:tcBorders>
                  <w:shd w:val="clear" w:color="auto" w:fill="F7F7F7"/>
                  <w:vAlign w:val="center"/>
                </w:tcPr>
                <w:p w14:paraId="72FC05A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kern w:val="0"/>
                      <w:sz w:val="21"/>
                      <w:szCs w:val="21"/>
                      <w:lang w:val="en-US" w:eastAsia="zh-CN" w:bidi="ar"/>
                    </w:rPr>
                    <w:t>一级</w:t>
                  </w:r>
                </w:p>
              </w:tc>
              <w:tc>
                <w:tcPr>
                  <w:tcW w:w="461" w:type="pct"/>
                  <w:tcBorders>
                    <w:top w:val="outset" w:color="auto" w:sz="6" w:space="0"/>
                    <w:left w:val="nil"/>
                    <w:bottom w:val="outset" w:color="auto" w:sz="6" w:space="0"/>
                    <w:right w:val="outset" w:color="auto" w:sz="6" w:space="0"/>
                  </w:tcBorders>
                  <w:shd w:val="clear" w:color="auto" w:fill="F7F7F7"/>
                  <w:vAlign w:val="center"/>
                </w:tcPr>
                <w:p w14:paraId="40A7A94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kern w:val="0"/>
                      <w:sz w:val="21"/>
                      <w:szCs w:val="21"/>
                      <w:lang w:val="en-US" w:eastAsia="zh-CN" w:bidi="ar"/>
                    </w:rPr>
                    <w:t>二级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7E78924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kern w:val="0"/>
                      <w:sz w:val="21"/>
                      <w:szCs w:val="21"/>
                      <w:lang w:val="en-US" w:eastAsia="zh-CN" w:bidi="ar"/>
                    </w:rPr>
                    <w:t>一级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7EFFB63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kern w:val="0"/>
                      <w:sz w:val="21"/>
                      <w:szCs w:val="21"/>
                      <w:lang w:val="en-US" w:eastAsia="zh-CN" w:bidi="ar"/>
                    </w:rPr>
                    <w:t>一级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5B69B11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kern w:val="0"/>
                      <w:sz w:val="21"/>
                      <w:szCs w:val="21"/>
                      <w:lang w:val="en-US" w:eastAsia="zh-CN" w:bidi="ar"/>
                    </w:rPr>
                    <w:t>二级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7F1523F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kern w:val="0"/>
                      <w:sz w:val="21"/>
                      <w:szCs w:val="21"/>
                      <w:lang w:val="en-US" w:eastAsia="zh-CN" w:bidi="ar"/>
                    </w:rPr>
                    <w:t>二级</w:t>
                  </w:r>
                </w:p>
              </w:tc>
              <w:tc>
                <w:tcPr>
                  <w:tcW w:w="381" w:type="pct"/>
                  <w:tcBorders>
                    <w:top w:val="outset" w:color="auto" w:sz="6" w:space="0"/>
                    <w:left w:val="nil"/>
                    <w:bottom w:val="outset" w:color="auto" w:sz="6" w:space="0"/>
                    <w:right w:val="outset" w:color="auto" w:sz="6" w:space="0"/>
                  </w:tcBorders>
                  <w:shd w:val="clear" w:color="auto" w:fill="F7F7F7"/>
                  <w:vAlign w:val="center"/>
                </w:tcPr>
                <w:p w14:paraId="26BF073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kern w:val="0"/>
                      <w:sz w:val="21"/>
                      <w:szCs w:val="21"/>
                      <w:lang w:val="en-US" w:eastAsia="zh-CN" w:bidi="ar"/>
                    </w:rPr>
                    <w:t>二级</w:t>
                  </w:r>
                </w:p>
              </w:tc>
              <w:tc>
                <w:tcPr>
                  <w:tcW w:w="389" w:type="pct"/>
                  <w:tcBorders>
                    <w:top w:val="outset" w:color="auto" w:sz="6" w:space="0"/>
                    <w:left w:val="nil"/>
                    <w:bottom w:val="outset" w:color="auto" w:sz="6" w:space="0"/>
                    <w:right w:val="outset" w:color="auto" w:sz="6" w:space="0"/>
                  </w:tcBorders>
                  <w:shd w:val="clear" w:color="auto" w:fill="F7F7F7"/>
                  <w:vAlign w:val="center"/>
                </w:tcPr>
                <w:p w14:paraId="6B4F858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kern w:val="0"/>
                      <w:sz w:val="21"/>
                      <w:szCs w:val="21"/>
                      <w:lang w:val="en-US" w:eastAsia="zh-CN" w:bidi="ar"/>
                    </w:rPr>
                    <w:t>二级</w:t>
                  </w:r>
                </w:p>
              </w:tc>
              <w:tc>
                <w:tcPr>
                  <w:tcW w:w="504" w:type="pct"/>
                  <w:tcBorders>
                    <w:top w:val="outset" w:color="auto" w:sz="6" w:space="0"/>
                    <w:left w:val="nil"/>
                    <w:bottom w:val="outset" w:color="auto" w:sz="6" w:space="0"/>
                    <w:right w:val="outset" w:color="auto" w:sz="6" w:space="0"/>
                  </w:tcBorders>
                  <w:shd w:val="clear" w:color="auto" w:fill="F7F7F7"/>
                  <w:vAlign w:val="center"/>
                </w:tcPr>
                <w:p w14:paraId="736493A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kern w:val="0"/>
                      <w:sz w:val="21"/>
                      <w:szCs w:val="21"/>
                      <w:lang w:val="en-US" w:eastAsia="zh-CN" w:bidi="ar"/>
                    </w:rPr>
                    <w:t>一级</w:t>
                  </w:r>
                </w:p>
              </w:tc>
              <w:tc>
                <w:tcPr>
                  <w:tcW w:w="504" w:type="pct"/>
                  <w:tcBorders>
                    <w:top w:val="outset" w:color="auto" w:sz="6" w:space="0"/>
                    <w:left w:val="nil"/>
                    <w:bottom w:val="outset" w:color="auto" w:sz="6" w:space="0"/>
                    <w:right w:val="outset" w:color="auto" w:sz="6" w:space="0"/>
                  </w:tcBorders>
                  <w:shd w:val="clear" w:color="auto" w:fill="F7F7F7"/>
                  <w:vAlign w:val="center"/>
                </w:tcPr>
                <w:p w14:paraId="3EC493F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aps w:val="0"/>
                      <w:color w:val="auto"/>
                      <w:spacing w:val="0"/>
                      <w:sz w:val="21"/>
                      <w:szCs w:val="21"/>
                    </w:rPr>
                  </w:pPr>
                  <w:r>
                    <w:rPr>
                      <w:rFonts w:hint="default" w:ascii="Times New Roman" w:hAnsi="Times New Roman" w:eastAsia="宋体" w:cs="Times New Roman"/>
                      <w:i w:val="0"/>
                      <w:caps w:val="0"/>
                      <w:color w:val="auto"/>
                      <w:spacing w:val="0"/>
                      <w:kern w:val="0"/>
                      <w:sz w:val="21"/>
                      <w:szCs w:val="21"/>
                      <w:lang w:val="en-US" w:eastAsia="zh-CN" w:bidi="ar"/>
                    </w:rPr>
                    <w:t>二级</w:t>
                  </w:r>
                </w:p>
              </w:tc>
              <w:tc>
                <w:tcPr>
                  <w:tcW w:w="396" w:type="pct"/>
                  <w:vMerge w:val="continue"/>
                  <w:tcBorders>
                    <w:top w:val="single" w:color="auto" w:sz="8" w:space="0"/>
                    <w:left w:val="single" w:color="auto" w:sz="8" w:space="0"/>
                    <w:bottom w:val="single" w:color="auto" w:sz="8" w:space="0"/>
                    <w:right w:val="single" w:color="auto" w:sz="8" w:space="0"/>
                  </w:tcBorders>
                  <w:shd w:val="clear" w:color="auto" w:fill="F7F7F7"/>
                  <w:vAlign w:val="center"/>
                </w:tcPr>
                <w:p w14:paraId="5A590D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i w:val="0"/>
                      <w:caps w:val="0"/>
                      <w:color w:val="auto"/>
                      <w:spacing w:val="0"/>
                      <w:sz w:val="21"/>
                      <w:szCs w:val="21"/>
                    </w:rPr>
                  </w:pPr>
                </w:p>
              </w:tc>
            </w:tr>
          </w:tbl>
          <w:p w14:paraId="7612608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p>
          <w:p w14:paraId="0A67529D">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根据上表可知，芒市环境空气质量能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满足《环境空气质量标准》（GB3095-2012）二级标准要求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，属于达标区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30B49F71">
            <w:pPr>
              <w:spacing w:line="360" w:lineRule="auto"/>
              <w:ind w:left="0" w:right="-52"/>
              <w:jc w:val="left"/>
              <w:rPr>
                <w:rFonts w:hint="eastAsia" w:ascii="Times New Roman" w:hAnsi="Times New Roman" w:eastAsia="宋体" w:cs="Times New Roman"/>
                <w:color w:val="auto"/>
                <w:kern w:val="0"/>
                <w:sz w:val="24"/>
                <w:szCs w:val="24"/>
                <w:lang w:val="en-US" w:eastAsia="zh-CN" w:bidi="ar"/>
              </w:rPr>
            </w:pPr>
            <w:r>
              <w:rPr>
                <w:rFonts w:hint="eastAsia"/>
                <w:color w:val="auto"/>
                <w:sz w:val="24"/>
              </w:rPr>
              <w:t>本项目特征污染物为</w:t>
            </w:r>
            <w:r>
              <w:rPr>
                <w:bCs/>
                <w:color w:val="auto"/>
                <w:sz w:val="24"/>
              </w:rPr>
              <w:t>苯并[a]芘</w:t>
            </w:r>
            <w:r>
              <w:rPr>
                <w:rFonts w:hint="eastAsia"/>
                <w:bCs/>
                <w:color w:val="auto"/>
                <w:sz w:val="24"/>
              </w:rPr>
              <w:t>、</w:t>
            </w:r>
            <w:r>
              <w:rPr>
                <w:rFonts w:hint="eastAsia"/>
                <w:color w:val="auto"/>
                <w:sz w:val="24"/>
              </w:rPr>
              <w:t>非甲烷总烃、</w:t>
            </w:r>
            <w:r>
              <w:rPr>
                <w:rFonts w:hint="eastAsia"/>
                <w:color w:val="auto"/>
                <w:sz w:val="24"/>
                <w:lang w:eastAsia="zh-CN"/>
              </w:rPr>
              <w:t>颗粒物</w:t>
            </w:r>
            <w:r>
              <w:rPr>
                <w:rFonts w:hint="eastAsia"/>
                <w:color w:val="auto"/>
                <w:sz w:val="24"/>
              </w:rPr>
              <w:t>，为了了解项目所在区域内</w:t>
            </w:r>
            <w:r>
              <w:rPr>
                <w:bCs/>
                <w:color w:val="auto"/>
                <w:sz w:val="24"/>
              </w:rPr>
              <w:t>苯并[a]芘</w:t>
            </w:r>
            <w:r>
              <w:rPr>
                <w:rFonts w:hint="eastAsia"/>
                <w:bCs/>
                <w:color w:val="auto"/>
                <w:sz w:val="24"/>
              </w:rPr>
              <w:t>、</w:t>
            </w:r>
            <w:r>
              <w:rPr>
                <w:rFonts w:hint="eastAsia"/>
                <w:color w:val="auto"/>
                <w:sz w:val="24"/>
              </w:rPr>
              <w:t>非甲烷总烃、</w:t>
            </w:r>
            <w:r>
              <w:rPr>
                <w:rFonts w:hint="eastAsia"/>
                <w:color w:val="auto"/>
                <w:sz w:val="24"/>
                <w:lang w:eastAsia="zh-CN"/>
              </w:rPr>
              <w:t>颗粒物</w:t>
            </w:r>
            <w:r>
              <w:rPr>
                <w:rFonts w:hint="eastAsia"/>
                <w:color w:val="auto"/>
                <w:sz w:val="24"/>
              </w:rPr>
              <w:t>的环境质量现状，</w:t>
            </w:r>
            <w:r>
              <w:rPr>
                <w:rFonts w:hint="eastAsia"/>
                <w:color w:val="auto"/>
                <w:sz w:val="24"/>
                <w:lang w:eastAsia="zh-CN"/>
              </w:rPr>
              <w:t>建设单位</w:t>
            </w:r>
            <w:r>
              <w:rPr>
                <w:rFonts w:hint="eastAsia" w:ascii="Times New Roman" w:hAnsi="Times New Roman" w:eastAsia="宋体" w:cs="Times New Roman"/>
                <w:color w:val="auto"/>
                <w:kern w:val="0"/>
                <w:sz w:val="24"/>
                <w:szCs w:val="24"/>
                <w:lang w:val="en-US" w:eastAsia="zh-CN" w:bidi="ar"/>
              </w:rPr>
              <w:t>委托</w:t>
            </w:r>
            <w:r>
              <w:rPr>
                <w:rFonts w:hint="eastAsia" w:ascii="Times New Roman" w:hAnsi="Times New Roman" w:eastAsia="宋体" w:cs="Times New Roman"/>
                <w:color w:val="auto"/>
                <w:sz w:val="24"/>
                <w:lang w:eastAsia="zh-CN"/>
              </w:rPr>
              <w:t>云南方源科技有限公司</w:t>
            </w:r>
            <w:r>
              <w:rPr>
                <w:rFonts w:hint="eastAsia" w:ascii="Times New Roman" w:hAnsi="Times New Roman" w:eastAsia="宋体" w:cs="Times New Roman"/>
                <w:color w:val="auto"/>
                <w:kern w:val="0"/>
                <w:sz w:val="24"/>
                <w:szCs w:val="24"/>
                <w:lang w:val="en-US" w:eastAsia="zh-CN" w:bidi="ar"/>
              </w:rPr>
              <w:t>2023年</w:t>
            </w:r>
            <w:r>
              <w:rPr>
                <w:rFonts w:hint="eastAsia" w:cs="Times New Roman"/>
                <w:color w:val="auto"/>
                <w:kern w:val="0"/>
                <w:sz w:val="24"/>
                <w:szCs w:val="24"/>
                <w:lang w:val="en-US" w:eastAsia="zh-CN" w:bidi="ar"/>
              </w:rPr>
              <w:t>10</w:t>
            </w:r>
            <w:r>
              <w:rPr>
                <w:rFonts w:hint="eastAsia" w:ascii="Times New Roman" w:hAnsi="Times New Roman" w:eastAsia="宋体" w:cs="Times New Roman"/>
                <w:color w:val="auto"/>
                <w:kern w:val="0"/>
                <w:sz w:val="24"/>
                <w:szCs w:val="24"/>
                <w:lang w:val="en-US" w:eastAsia="zh-CN" w:bidi="ar"/>
              </w:rPr>
              <w:t>月2</w:t>
            </w:r>
            <w:r>
              <w:rPr>
                <w:rFonts w:hint="eastAsia" w:cs="Times New Roman"/>
                <w:color w:val="auto"/>
                <w:kern w:val="0"/>
                <w:sz w:val="24"/>
                <w:szCs w:val="24"/>
                <w:lang w:val="en-US" w:eastAsia="zh-CN" w:bidi="ar"/>
              </w:rPr>
              <w:t>2</w:t>
            </w:r>
            <w:r>
              <w:rPr>
                <w:rFonts w:hint="eastAsia" w:ascii="Times New Roman" w:hAnsi="Times New Roman" w:eastAsia="宋体" w:cs="Times New Roman"/>
                <w:color w:val="auto"/>
                <w:kern w:val="0"/>
                <w:sz w:val="24"/>
                <w:szCs w:val="24"/>
                <w:lang w:val="en-US" w:eastAsia="zh-CN" w:bidi="ar"/>
              </w:rPr>
              <w:t>日至</w:t>
            </w:r>
            <w:r>
              <w:rPr>
                <w:rFonts w:hint="eastAsia" w:cs="Times New Roman"/>
                <w:color w:val="auto"/>
                <w:kern w:val="0"/>
                <w:sz w:val="24"/>
                <w:szCs w:val="24"/>
                <w:lang w:val="en-US" w:eastAsia="zh-CN" w:bidi="ar"/>
              </w:rPr>
              <w:t>10</w:t>
            </w:r>
            <w:r>
              <w:rPr>
                <w:rFonts w:hint="eastAsia" w:ascii="Times New Roman" w:hAnsi="Times New Roman" w:eastAsia="宋体" w:cs="Times New Roman"/>
                <w:color w:val="auto"/>
                <w:kern w:val="0"/>
                <w:sz w:val="24"/>
                <w:szCs w:val="24"/>
                <w:lang w:val="en-US" w:eastAsia="zh-CN" w:bidi="ar"/>
              </w:rPr>
              <w:t>月</w:t>
            </w:r>
            <w:r>
              <w:rPr>
                <w:rFonts w:hint="eastAsia" w:cs="Times New Roman"/>
                <w:color w:val="auto"/>
                <w:kern w:val="0"/>
                <w:sz w:val="24"/>
                <w:szCs w:val="24"/>
                <w:lang w:val="en-US" w:eastAsia="zh-CN" w:bidi="ar"/>
              </w:rPr>
              <w:t>29</w:t>
            </w:r>
            <w:r>
              <w:rPr>
                <w:rFonts w:hint="eastAsia" w:ascii="Times New Roman" w:hAnsi="Times New Roman" w:eastAsia="宋体" w:cs="Times New Roman"/>
                <w:color w:val="auto"/>
                <w:kern w:val="0"/>
                <w:sz w:val="24"/>
                <w:szCs w:val="24"/>
                <w:lang w:val="en-US" w:eastAsia="zh-CN" w:bidi="ar"/>
              </w:rPr>
              <w:t>日对现场空气质量现状进行了7天连续监测，其中苯并[a]芘和颗粒物取24小时平均值，非甲烷总烃取小时平均值。</w:t>
            </w:r>
          </w:p>
          <w:p w14:paraId="0308FC1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根据监测结果可以看出</w:t>
            </w:r>
            <w:r>
              <w:rPr>
                <w:rFonts w:ascii="Times New Roman" w:hAnsi="Times New Roman"/>
                <w:color w:val="auto"/>
                <w:kern w:val="0"/>
                <w:szCs w:val="21"/>
              </w:rPr>
              <w:t>（具体见大气专项评价）</w:t>
            </w:r>
            <w:r>
              <w:rPr>
                <w:rFonts w:hint="default" w:ascii="Times New Roman" w:hAnsi="Times New Roman" w:cs="Times New Roman"/>
                <w:color w:val="auto"/>
                <w:sz w:val="24"/>
              </w:rPr>
              <w:t>，项目区域</w:t>
            </w:r>
            <w:r>
              <w:rPr>
                <w:rFonts w:hint="default" w:ascii="Times New Roman" w:hAnsi="Times New Roman" w:eastAsia="宋体" w:cs="Times New Roman"/>
                <w:color w:val="auto"/>
                <w:sz w:val="24"/>
              </w:rPr>
              <w:t>苯并[a]芘</w:t>
            </w:r>
            <w:r>
              <w:rPr>
                <w:rFonts w:hint="eastAsia" w:ascii="Times New Roman" w:hAnsi="Times New Roman" w:eastAsia="宋体" w:cs="Times New Roman"/>
                <w:color w:val="auto"/>
                <w:sz w:val="24"/>
                <w:lang w:val="en-US" w:eastAsia="zh-CN"/>
              </w:rPr>
              <w:t>和颗粒物</w:t>
            </w:r>
            <w:r>
              <w:rPr>
                <w:rFonts w:hint="default" w:ascii="Times New Roman" w:hAnsi="Times New Roman" w:eastAsia="宋体" w:cs="Times New Roman"/>
                <w:color w:val="auto"/>
                <w:sz w:val="24"/>
              </w:rPr>
              <w:t>监测结果满足《环境空气质量标准》（GB3095-2012）二级标准</w:t>
            </w:r>
            <w:r>
              <w:rPr>
                <w:rFonts w:hint="eastAsia" w:ascii="Times New Roman" w:hAnsi="Times New Roman" w:eastAsia="宋体" w:cs="Times New Roman"/>
                <w:color w:val="auto"/>
                <w:sz w:val="24"/>
                <w:lang w:val="en-US" w:eastAsia="zh-CN"/>
              </w:rPr>
              <w:t>要求</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非甲烷总烃监测结果满足</w:t>
            </w:r>
            <w:r>
              <w:rPr>
                <w:rFonts w:hint="default" w:ascii="Times New Roman" w:hAnsi="Times New Roman" w:eastAsia="宋体" w:cs="Times New Roman"/>
                <w:color w:val="auto"/>
                <w:sz w:val="24"/>
              </w:rPr>
              <w:t>《大气污染物综合排放标准详解》</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要求</w:t>
            </w:r>
            <w:r>
              <w:rPr>
                <w:rFonts w:hint="default" w:ascii="Times New Roman" w:hAnsi="Times New Roman" w:eastAsia="宋体" w:cs="Times New Roman"/>
                <w:color w:val="auto"/>
                <w:sz w:val="24"/>
              </w:rPr>
              <w:t>。</w:t>
            </w:r>
          </w:p>
          <w:p w14:paraId="3A77878D">
            <w:pPr>
              <w:numPr>
                <w:ilvl w:val="0"/>
                <w:numId w:val="0"/>
              </w:numPr>
              <w:ind w:firstLine="482" w:firstLineChars="200"/>
              <w:rPr>
                <w:rFonts w:hint="eastAsia"/>
                <w:b/>
                <w:bCs/>
                <w:color w:val="auto"/>
                <w:highlight w:val="none"/>
                <w:lang w:val="en-US" w:eastAsia="zh-CN"/>
              </w:rPr>
            </w:pPr>
            <w:r>
              <w:rPr>
                <w:rFonts w:hint="eastAsia"/>
                <w:b/>
                <w:bCs/>
                <w:color w:val="auto"/>
                <w:highlight w:val="none"/>
                <w:lang w:val="en-US" w:eastAsia="zh-CN"/>
              </w:rPr>
              <w:t>2、地表水环境</w:t>
            </w:r>
          </w:p>
          <w:p w14:paraId="57A4F344">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outlineLvl w:val="1"/>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）环境质量标准</w:t>
            </w:r>
          </w:p>
          <w:p w14:paraId="45A632D7">
            <w:pPr>
              <w:pStyle w:val="75"/>
              <w:keepNext w:val="0"/>
              <w:keepLines w:val="0"/>
              <w:suppressLineNumbers w:val="0"/>
              <w:spacing w:before="0" w:beforeAutospacing="0" w:after="0" w:afterAutospacing="0" w:line="360" w:lineRule="auto"/>
              <w:ind w:left="0" w:right="0" w:firstLine="52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项目最近地表水体</w:t>
            </w:r>
            <w:r>
              <w:rPr>
                <w:rFonts w:hint="default" w:ascii="Times New Roman" w:hAnsi="Times New Roman" w:eastAsia="宋体" w:cs="Times New Roman"/>
                <w:b w:val="0"/>
                <w:bCs w:val="0"/>
                <w:spacing w:val="0"/>
                <w:kern w:val="2"/>
                <w:sz w:val="24"/>
                <w:szCs w:val="24"/>
                <w:lang w:val="en-US" w:eastAsia="zh-CN" w:bidi="ar-SA"/>
              </w:rPr>
              <w:t>为</w:t>
            </w:r>
            <w:r>
              <w:rPr>
                <w:rFonts w:hint="eastAsia" w:eastAsia="宋体" w:cs="Times New Roman"/>
                <w:b w:val="0"/>
                <w:bCs w:val="0"/>
                <w:spacing w:val="0"/>
                <w:kern w:val="2"/>
                <w:sz w:val="24"/>
                <w:szCs w:val="24"/>
                <w:lang w:val="en-US" w:eastAsia="zh-CN" w:bidi="ar-SA"/>
              </w:rPr>
              <w:t>北面20m的</w:t>
            </w:r>
            <w:r>
              <w:rPr>
                <w:rFonts w:hint="default" w:ascii="Times New Roman" w:hAnsi="Times New Roman" w:eastAsia="宋体" w:cs="Times New Roman"/>
                <w:b w:val="0"/>
                <w:bCs w:val="0"/>
                <w:color w:val="000000" w:themeColor="text1"/>
                <w:spacing w:val="0"/>
                <w:kern w:val="2"/>
                <w:sz w:val="24"/>
                <w:szCs w:val="24"/>
                <w:lang w:val="en-US" w:eastAsia="zh-CN" w:bidi="ar-SA"/>
                <w14:textFill>
                  <w14:solidFill>
                    <w14:schemeClr w14:val="tx1"/>
                  </w14:solidFill>
                </w14:textFill>
              </w:rPr>
              <w:t>芒市大河</w:t>
            </w:r>
            <w:r>
              <w:rPr>
                <w:rFonts w:hint="default" w:ascii="Times New Roman" w:hAnsi="Times New Roman" w:eastAsia="宋体" w:cs="Times New Roman"/>
                <w:b w:val="0"/>
                <w:bCs w:val="0"/>
                <w:spacing w:val="0"/>
                <w:kern w:val="2"/>
                <w:sz w:val="24"/>
                <w:szCs w:val="24"/>
                <w:lang w:val="en-US" w:eastAsia="zh-CN" w:bidi="ar-SA"/>
              </w:rPr>
              <w:t>。根据《云南省水功能区划》（第二版2014年修改），芒市大河属于伊洛瓦底江流域，木康水文站—等戛水文站水环境功能为工业、农业用水，到2030年水质目标为Ⅲ类，水质执行《地表水环境质量标准》（GB3838－2002）Ⅲ类标准要求。</w:t>
            </w:r>
            <w:r>
              <w:rPr>
                <w:rFonts w:hint="default" w:ascii="Times New Roman" w:hAnsi="Times New Roman" w:eastAsia="宋体" w:cs="Times New Roman"/>
                <w:color w:val="auto"/>
                <w:kern w:val="0"/>
                <w:sz w:val="24"/>
                <w:szCs w:val="24"/>
                <w:lang w:val="en-US" w:eastAsia="zh-CN" w:bidi="ar"/>
              </w:rPr>
              <w:t>主要标准值见下表3-</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w:t>
            </w:r>
          </w:p>
          <w:p w14:paraId="6317D622">
            <w:pPr>
              <w:pStyle w:val="64"/>
              <w:rPr>
                <w:rFonts w:hint="eastAsia"/>
                <w:b/>
                <w:bCs/>
                <w:color w:val="auto"/>
                <w:sz w:val="21"/>
                <w:szCs w:val="21"/>
              </w:rPr>
            </w:pPr>
            <w:r>
              <w:rPr>
                <w:b/>
                <w:bCs/>
                <w:color w:val="auto"/>
                <w:sz w:val="21"/>
                <w:szCs w:val="21"/>
              </w:rPr>
              <w:t>表</w:t>
            </w:r>
            <w:r>
              <w:rPr>
                <w:rFonts w:hint="eastAsia"/>
                <w:b/>
                <w:bCs/>
                <w:color w:val="auto"/>
                <w:sz w:val="21"/>
                <w:szCs w:val="21"/>
                <w:lang w:val="en-US" w:eastAsia="zh-CN"/>
              </w:rPr>
              <w:t xml:space="preserve">3-3 </w:t>
            </w:r>
            <w:r>
              <w:rPr>
                <w:rFonts w:hint="eastAsia"/>
                <w:b/>
                <w:bCs/>
                <w:color w:val="auto"/>
                <w:sz w:val="21"/>
                <w:szCs w:val="21"/>
                <w:lang w:val="zh-CN"/>
              </w:rPr>
              <w:t>地表水</w:t>
            </w:r>
            <w:r>
              <w:rPr>
                <w:rFonts w:hint="eastAsia"/>
                <w:b/>
                <w:bCs/>
                <w:color w:val="auto"/>
                <w:sz w:val="21"/>
                <w:szCs w:val="21"/>
                <w:lang w:val="en-US" w:eastAsia="zh-CN"/>
              </w:rPr>
              <w:t>环境质量标准限值</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705"/>
              <w:gridCol w:w="855"/>
              <w:gridCol w:w="757"/>
              <w:gridCol w:w="772"/>
              <w:gridCol w:w="680"/>
              <w:gridCol w:w="761"/>
              <w:gridCol w:w="990"/>
              <w:gridCol w:w="1694"/>
            </w:tblGrid>
            <w:tr w14:paraId="1F6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14:paraId="5A7CD3D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705" w:type="dxa"/>
                  <w:tcBorders>
                    <w:top w:val="single" w:color="auto" w:sz="4" w:space="0"/>
                    <w:left w:val="single" w:color="auto" w:sz="4" w:space="0"/>
                    <w:bottom w:val="single" w:color="auto" w:sz="4" w:space="0"/>
                    <w:right w:val="single" w:color="auto" w:sz="4" w:space="0"/>
                  </w:tcBorders>
                  <w:noWrap w:val="0"/>
                  <w:vAlign w:val="center"/>
                </w:tcPr>
                <w:p w14:paraId="071BE9DC">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pH</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017D0D23">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COD</w:t>
                  </w:r>
                  <w:r>
                    <w:rPr>
                      <w:rFonts w:hint="default" w:ascii="Times New Roman" w:hAnsi="Times New Roman" w:cs="Times New Roman"/>
                      <w:b/>
                      <w:bCs/>
                      <w:color w:val="auto"/>
                      <w:sz w:val="21"/>
                      <w:szCs w:val="21"/>
                      <w:vertAlign w:val="subscript"/>
                    </w:rPr>
                    <w:t>cr</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5E331D32">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BOD</w:t>
                  </w:r>
                  <w:r>
                    <w:rPr>
                      <w:rFonts w:hint="default" w:ascii="Times New Roman" w:hAnsi="Times New Roman" w:cs="Times New Roman"/>
                      <w:b/>
                      <w:bCs/>
                      <w:color w:val="auto"/>
                      <w:sz w:val="21"/>
                      <w:szCs w:val="21"/>
                      <w:vertAlign w:val="subscript"/>
                    </w:rPr>
                    <w:t>5</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5A1A330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总磷</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119F7F3F">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氨氮</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1E4B1EB1">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总氮</w:t>
                  </w:r>
                </w:p>
              </w:tc>
              <w:tc>
                <w:tcPr>
                  <w:tcW w:w="990" w:type="dxa"/>
                  <w:noWrap w:val="0"/>
                  <w:vAlign w:val="center"/>
                </w:tcPr>
                <w:p w14:paraId="300F2087">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石油类</w:t>
                  </w:r>
                </w:p>
              </w:tc>
              <w:tc>
                <w:tcPr>
                  <w:tcW w:w="1694" w:type="dxa"/>
                  <w:noWrap w:val="0"/>
                  <w:vAlign w:val="center"/>
                </w:tcPr>
                <w:p w14:paraId="30260076">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粪大肠菌群（个/L）</w:t>
                  </w:r>
                </w:p>
              </w:tc>
            </w:tr>
            <w:tr w14:paraId="2F30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14:paraId="61173503">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3 \* ROMAN</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III</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类标准</w:t>
                  </w:r>
                </w:p>
              </w:tc>
              <w:tc>
                <w:tcPr>
                  <w:tcW w:w="705" w:type="dxa"/>
                  <w:tcBorders>
                    <w:top w:val="single" w:color="auto" w:sz="4" w:space="0"/>
                    <w:left w:val="single" w:color="auto" w:sz="4" w:space="0"/>
                    <w:bottom w:val="single" w:color="auto" w:sz="4" w:space="0"/>
                    <w:right w:val="single" w:color="auto" w:sz="4" w:space="0"/>
                  </w:tcBorders>
                  <w:noWrap w:val="0"/>
                  <w:vAlign w:val="center"/>
                </w:tcPr>
                <w:p w14:paraId="5EEA90A5">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2391FD29">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757" w:type="dxa"/>
                  <w:tcBorders>
                    <w:top w:val="single" w:color="auto" w:sz="4" w:space="0"/>
                    <w:left w:val="single" w:color="auto" w:sz="4" w:space="0"/>
                    <w:bottom w:val="single" w:color="auto" w:sz="4" w:space="0"/>
                    <w:right w:val="single" w:color="auto" w:sz="4" w:space="0"/>
                  </w:tcBorders>
                  <w:noWrap w:val="0"/>
                  <w:vAlign w:val="center"/>
                </w:tcPr>
                <w:p w14:paraId="74CA3D3B">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772" w:type="dxa"/>
                  <w:tcBorders>
                    <w:top w:val="single" w:color="auto" w:sz="4" w:space="0"/>
                    <w:left w:val="single" w:color="auto" w:sz="4" w:space="0"/>
                    <w:bottom w:val="single" w:color="auto" w:sz="4" w:space="0"/>
                    <w:right w:val="single" w:color="auto" w:sz="4" w:space="0"/>
                  </w:tcBorders>
                  <w:noWrap w:val="0"/>
                  <w:vAlign w:val="center"/>
                </w:tcPr>
                <w:p w14:paraId="7D305D61">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680" w:type="dxa"/>
                  <w:tcBorders>
                    <w:top w:val="single" w:color="auto" w:sz="4" w:space="0"/>
                    <w:left w:val="single" w:color="auto" w:sz="4" w:space="0"/>
                    <w:bottom w:val="single" w:color="auto" w:sz="4" w:space="0"/>
                    <w:right w:val="single" w:color="auto" w:sz="4" w:space="0"/>
                  </w:tcBorders>
                  <w:noWrap w:val="0"/>
                  <w:vAlign w:val="center"/>
                </w:tcPr>
                <w:p w14:paraId="5006F329">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1C6521EC">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shd w:val="clear" w:color="auto" w:fill="auto"/>
                    </w:rPr>
                    <w:t>≤1.0</w:t>
                  </w:r>
                </w:p>
              </w:tc>
              <w:tc>
                <w:tcPr>
                  <w:tcW w:w="990" w:type="dxa"/>
                  <w:noWrap w:val="0"/>
                  <w:vAlign w:val="center"/>
                </w:tcPr>
                <w:p w14:paraId="15F5AF6F">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c>
                <w:tcPr>
                  <w:tcW w:w="1694" w:type="dxa"/>
                  <w:noWrap w:val="0"/>
                  <w:vAlign w:val="center"/>
                </w:tcPr>
                <w:p w14:paraId="4AE44163">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10000</w:t>
                  </w:r>
                </w:p>
              </w:tc>
            </w:tr>
          </w:tbl>
          <w:p w14:paraId="6CD91E56">
            <w:pPr>
              <w:spacing w:line="360" w:lineRule="auto"/>
              <w:ind w:firstLine="482" w:firstLineChars="200"/>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（2）区域达标情况</w:t>
            </w:r>
          </w:p>
          <w:p w14:paraId="587194D1">
            <w:pPr>
              <w:keepNext w:val="0"/>
              <w:keepLines w:val="0"/>
              <w:pageBreakBefore w:val="0"/>
              <w:widowControl w:val="0"/>
              <w:kinsoku/>
              <w:wordWrap/>
              <w:overflowPunct/>
              <w:topLinePunct w:val="0"/>
              <w:autoSpaceDE/>
              <w:autoSpaceDN/>
              <w:bidi w:val="0"/>
              <w:adjustRightInd/>
              <w:snapToGrid/>
              <w:spacing w:line="360" w:lineRule="auto"/>
              <w:ind w:firstLine="476" w:firstLineChars="200"/>
              <w:jc w:val="left"/>
              <w:textAlignment w:val="auto"/>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spacing w:val="-1"/>
                <w:sz w:val="24"/>
                <w:szCs w:val="24"/>
              </w:rPr>
              <w:t>根据</w:t>
            </w:r>
            <w:r>
              <w:rPr>
                <w:rFonts w:hint="default" w:ascii="Times New Roman" w:hAnsi="Times New Roman" w:eastAsia="宋体" w:cs="Times New Roman"/>
                <w:b w:val="0"/>
                <w:bCs w:val="0"/>
                <w:spacing w:val="0"/>
                <w:kern w:val="2"/>
                <w:sz w:val="24"/>
                <w:szCs w:val="24"/>
                <w:lang w:val="en-US" w:eastAsia="zh-CN" w:bidi="ar-SA"/>
              </w:rPr>
              <w:t>《2022年德宏州生态环境状况公报》，芒市大河3个监测断面为2个Ⅱ类、1个Ⅲ类。故项目地表水芒市大河水质满足《地表水环境质量标准》（GB3838-2002）标准中的Ⅲ类水质标准。</w:t>
            </w:r>
          </w:p>
          <w:p w14:paraId="6CB5A081">
            <w:pPr>
              <w:numPr>
                <w:ilvl w:val="0"/>
                <w:numId w:val="0"/>
              </w:numPr>
              <w:ind w:firstLine="482" w:firstLineChars="200"/>
              <w:rPr>
                <w:rFonts w:hint="default"/>
                <w:b/>
                <w:bCs/>
                <w:color w:val="auto"/>
                <w:highlight w:val="none"/>
                <w:lang w:val="en-US" w:eastAsia="zh-CN"/>
              </w:rPr>
            </w:pPr>
            <w:r>
              <w:rPr>
                <w:rFonts w:hint="eastAsia"/>
                <w:b/>
                <w:bCs/>
                <w:color w:val="auto"/>
                <w:highlight w:val="none"/>
                <w:lang w:val="en-US" w:eastAsia="zh-CN"/>
              </w:rPr>
              <w:t>3、声环境</w:t>
            </w:r>
          </w:p>
          <w:p w14:paraId="551CD632">
            <w:pPr>
              <w:numPr>
                <w:ilvl w:val="0"/>
                <w:numId w:val="0"/>
              </w:numPr>
              <w:ind w:firstLine="480" w:firstLineChars="200"/>
              <w:rPr>
                <w:rFonts w:hint="default" w:ascii="Times New Roman" w:hAnsi="Times New Roman" w:eastAsia="宋体" w:cs="Times New Roman"/>
                <w:color w:val="auto"/>
                <w:highlight w:val="none"/>
                <w:lang w:val="en-US" w:eastAsia="zh-CN"/>
              </w:rPr>
            </w:pPr>
            <w:r>
              <w:rPr>
                <w:rFonts w:hint="default"/>
                <w:color w:val="auto"/>
                <w:highlight w:val="none"/>
                <w:lang w:val="en-US" w:eastAsia="zh-CN"/>
              </w:rPr>
              <w:t>项目位于</w:t>
            </w:r>
            <w:r>
              <w:rPr>
                <w:rFonts w:hint="default" w:ascii="Times New Roman" w:hAnsi="Times New Roman" w:cs="Times New Roman"/>
                <w:color w:val="auto"/>
                <w:sz w:val="24"/>
              </w:rPr>
              <w:t>德宏州芒市工业园帕底片区等岗组团</w:t>
            </w:r>
            <w:r>
              <w:rPr>
                <w:rFonts w:hint="default"/>
                <w:color w:val="auto"/>
                <w:highlight w:val="none"/>
                <w:lang w:val="en-US" w:eastAsia="zh-CN"/>
              </w:rPr>
              <w:t>，声环境功能为</w:t>
            </w:r>
            <w:r>
              <w:rPr>
                <w:rFonts w:hint="eastAsia"/>
                <w:color w:val="auto"/>
                <w:highlight w:val="none"/>
                <w:lang w:val="en-US" w:eastAsia="zh-CN"/>
              </w:rPr>
              <w:t>3</w:t>
            </w:r>
            <w:r>
              <w:rPr>
                <w:rFonts w:hint="default"/>
                <w:color w:val="auto"/>
                <w:highlight w:val="none"/>
                <w:lang w:val="en-US" w:eastAsia="zh-CN"/>
              </w:rPr>
              <w:t>类区，按《声环境质量标准》（G</w:t>
            </w:r>
            <w:r>
              <w:rPr>
                <w:rFonts w:hint="default" w:ascii="Times New Roman" w:hAnsi="Times New Roman" w:eastAsia="宋体" w:cs="Times New Roman"/>
                <w:color w:val="auto"/>
                <w:highlight w:val="none"/>
                <w:lang w:val="en-US" w:eastAsia="zh-CN"/>
              </w:rPr>
              <w:t>B3096-2008）</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类标准进行控制。</w:t>
            </w:r>
          </w:p>
          <w:p w14:paraId="240477B7">
            <w:pPr>
              <w:numPr>
                <w:ilvl w:val="0"/>
                <w:numId w:val="0"/>
              </w:numPr>
              <w:ind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建设单位委托云南方源科技有限公司于2023年</w:t>
            </w:r>
            <w:r>
              <w:rPr>
                <w:rFonts w:hint="eastAsia"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月</w:t>
            </w:r>
            <w:r>
              <w:rPr>
                <w:rFonts w:hint="eastAsia" w:cs="Times New Roman"/>
                <w:color w:val="auto"/>
                <w:highlight w:val="none"/>
                <w:lang w:val="en-US" w:eastAsia="zh-CN"/>
              </w:rPr>
              <w:t>22</w:t>
            </w:r>
            <w:r>
              <w:rPr>
                <w:rFonts w:hint="eastAsia" w:ascii="Times New Roman" w:hAnsi="Times New Roman" w:eastAsia="宋体" w:cs="Times New Roman"/>
                <w:color w:val="auto"/>
                <w:highlight w:val="none"/>
                <w:lang w:val="en-US" w:eastAsia="zh-CN"/>
              </w:rPr>
              <w:t>日</w:t>
            </w:r>
            <w:r>
              <w:rPr>
                <w:rFonts w:hint="eastAsia" w:cs="Times New Roman"/>
                <w:color w:val="auto"/>
                <w:highlight w:val="none"/>
                <w:lang w:val="en-US" w:eastAsia="zh-CN"/>
              </w:rPr>
              <w:t>-23</w:t>
            </w:r>
            <w:r>
              <w:rPr>
                <w:rFonts w:hint="eastAsia" w:ascii="Times New Roman" w:hAnsi="Times New Roman" w:eastAsia="宋体" w:cs="Times New Roman"/>
                <w:color w:val="auto"/>
                <w:highlight w:val="none"/>
                <w:lang w:val="en-US" w:eastAsia="zh-CN"/>
              </w:rPr>
              <w:t>日</w:t>
            </w:r>
            <w:r>
              <w:rPr>
                <w:rFonts w:hint="default" w:ascii="Times New Roman" w:hAnsi="Times New Roman" w:eastAsia="宋体" w:cs="Times New Roman"/>
                <w:color w:val="auto"/>
                <w:highlight w:val="none"/>
                <w:lang w:val="en-US" w:eastAsia="zh-CN"/>
              </w:rPr>
              <w:t>对</w:t>
            </w:r>
            <w:r>
              <w:rPr>
                <w:rFonts w:hint="eastAsia" w:cs="Times New Roman"/>
                <w:color w:val="auto"/>
                <w:highlight w:val="none"/>
                <w:lang w:val="en-US" w:eastAsia="zh-CN"/>
              </w:rPr>
              <w:t>项目区</w:t>
            </w:r>
            <w:r>
              <w:rPr>
                <w:rFonts w:hint="eastAsia" w:ascii="Times New Roman" w:hAnsi="Times New Roman" w:eastAsia="宋体" w:cs="Times New Roman"/>
                <w:color w:val="auto"/>
                <w:highlight w:val="none"/>
                <w:lang w:val="en-US" w:eastAsia="zh-CN"/>
              </w:rPr>
              <w:t>厂界四周</w:t>
            </w:r>
            <w:r>
              <w:rPr>
                <w:rFonts w:hint="default" w:ascii="Times New Roman" w:hAnsi="Times New Roman" w:eastAsia="宋体" w:cs="Times New Roman"/>
                <w:color w:val="auto"/>
                <w:highlight w:val="none"/>
                <w:lang w:val="en-US" w:eastAsia="zh-CN"/>
              </w:rPr>
              <w:t>进行了为期</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天的声环境现状监测</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监测结果见表</w:t>
            </w:r>
            <w:r>
              <w:rPr>
                <w:rFonts w:hint="eastAsia" w:ascii="Times New Roman" w:hAnsi="Times New Roman" w:eastAsia="宋体" w:cs="Times New Roman"/>
                <w:color w:val="auto"/>
                <w:highlight w:val="none"/>
                <w:lang w:val="en-US" w:eastAsia="zh-CN"/>
              </w:rPr>
              <w:t>3-</w:t>
            </w: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w:t>
            </w:r>
          </w:p>
          <w:p w14:paraId="02741115">
            <w:pPr>
              <w:numPr>
                <w:ilvl w:val="0"/>
                <w:numId w:val="0"/>
              </w:numPr>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 xml:space="preserve">  噪声监测结果表  单位：dB(A)</w:t>
            </w:r>
          </w:p>
          <w:tbl>
            <w:tblPr>
              <w:tblStyle w:val="51"/>
              <w:tblW w:w="77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0"/>
              <w:gridCol w:w="1200"/>
              <w:gridCol w:w="884"/>
              <w:gridCol w:w="1306"/>
              <w:gridCol w:w="1395"/>
              <w:gridCol w:w="923"/>
            </w:tblGrid>
            <w:tr w14:paraId="4D6C0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Align w:val="center"/>
                </w:tcPr>
                <w:p w14:paraId="358041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14:textOutline w14:w="3795" w14:cap="sq" w14:cmpd="sng">
                        <w14:solidFill>
                          <w14:srgbClr w14:val="000000"/>
                        </w14:solidFill>
                        <w14:prstDash w14:val="solid"/>
                        <w14:bevel/>
                      </w14:textOutline>
                    </w:rPr>
                    <w:t>测</w:t>
                  </w: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点位置</w:t>
                  </w:r>
                </w:p>
              </w:tc>
              <w:tc>
                <w:tcPr>
                  <w:tcW w:w="1200" w:type="dxa"/>
                  <w:vAlign w:val="center"/>
                </w:tcPr>
                <w:p w14:paraId="5654E8A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14:textOutline w14:w="3795" w14:cap="sq" w14:cmpd="sng">
                        <w14:solidFill>
                          <w14:srgbClr w14:val="000000"/>
                        </w14:solidFill>
                        <w14:prstDash w14:val="solid"/>
                        <w14:bevel/>
                      </w14:textOutline>
                    </w:rPr>
                    <w:t>测</w:t>
                  </w: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量时段</w:t>
                  </w:r>
                </w:p>
              </w:tc>
              <w:tc>
                <w:tcPr>
                  <w:tcW w:w="884" w:type="dxa"/>
                  <w:vAlign w:val="center"/>
                </w:tcPr>
                <w:p w14:paraId="38B170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14:textOutline w14:w="3795" w14:cap="sq" w14:cmpd="sng">
                        <w14:solidFill>
                          <w14:srgbClr w14:val="000000"/>
                        </w14:solidFill>
                        <w14:prstDash w14:val="solid"/>
                        <w14:bevel/>
                      </w14:textOutline>
                    </w:rPr>
                    <w:t>时段</w:t>
                  </w:r>
                </w:p>
              </w:tc>
              <w:tc>
                <w:tcPr>
                  <w:tcW w:w="1306" w:type="dxa"/>
                  <w:vAlign w:val="center"/>
                </w:tcPr>
                <w:p w14:paraId="696B815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position w:val="2"/>
                      <w:sz w:val="21"/>
                      <w:szCs w:val="21"/>
                      <w14:textOutline w14:w="3795" w14:cap="sq" w14:cmpd="sng">
                        <w14:solidFill>
                          <w14:srgbClr w14:val="000000"/>
                        </w14:solidFill>
                        <w14:prstDash w14:val="solid"/>
                        <w14:bevel/>
                      </w14:textOutline>
                    </w:rPr>
                    <w:t>结</w:t>
                  </w:r>
                  <w:r>
                    <w:rPr>
                      <w:rFonts w:hint="default" w:ascii="Times New Roman" w:hAnsi="Times New Roman" w:eastAsia="宋体" w:cs="Times New Roman"/>
                      <w:color w:val="auto"/>
                      <w:spacing w:val="6"/>
                      <w:position w:val="2"/>
                      <w:sz w:val="21"/>
                      <w:szCs w:val="21"/>
                      <w14:textOutline w14:w="3795" w14:cap="sq" w14:cmpd="sng">
                        <w14:solidFill>
                          <w14:srgbClr w14:val="000000"/>
                        </w14:solidFill>
                        <w14:prstDash w14:val="solid"/>
                        <w14:bevel/>
                      </w14:textOutline>
                    </w:rPr>
                    <w:t>果</w:t>
                  </w:r>
                  <w:r>
                    <w:rPr>
                      <w:rFonts w:hint="default" w:ascii="Times New Roman" w:hAnsi="Times New Roman" w:eastAsia="宋体" w:cs="Times New Roman"/>
                      <w:b/>
                      <w:bCs/>
                      <w:color w:val="auto"/>
                      <w:spacing w:val="6"/>
                      <w:position w:val="2"/>
                      <w:sz w:val="21"/>
                      <w:szCs w:val="21"/>
                    </w:rPr>
                    <w:t>[</w:t>
                  </w:r>
                  <w:r>
                    <w:rPr>
                      <w:rFonts w:hint="default" w:ascii="Times New Roman" w:hAnsi="Times New Roman" w:eastAsia="宋体" w:cs="Times New Roman"/>
                      <w:b/>
                      <w:bCs/>
                      <w:color w:val="auto"/>
                      <w:position w:val="2"/>
                      <w:sz w:val="21"/>
                      <w:szCs w:val="21"/>
                    </w:rPr>
                    <w:t>dB</w:t>
                  </w:r>
                  <w:r>
                    <w:rPr>
                      <w:rFonts w:hint="default" w:ascii="Times New Roman" w:hAnsi="Times New Roman" w:eastAsia="宋体" w:cs="Times New Roman"/>
                      <w:b/>
                      <w:bCs/>
                      <w:color w:val="auto"/>
                      <w:spacing w:val="6"/>
                      <w:position w:val="2"/>
                      <w:sz w:val="21"/>
                      <w:szCs w:val="21"/>
                    </w:rPr>
                    <w:t>(</w:t>
                  </w:r>
                  <w:r>
                    <w:rPr>
                      <w:rFonts w:hint="default" w:ascii="Times New Roman" w:hAnsi="Times New Roman" w:eastAsia="宋体" w:cs="Times New Roman"/>
                      <w:b/>
                      <w:bCs/>
                      <w:color w:val="auto"/>
                      <w:position w:val="2"/>
                      <w:sz w:val="21"/>
                      <w:szCs w:val="21"/>
                    </w:rPr>
                    <w:t>A</w:t>
                  </w:r>
                  <w:r>
                    <w:rPr>
                      <w:rFonts w:hint="default" w:ascii="Times New Roman" w:hAnsi="Times New Roman" w:eastAsia="宋体" w:cs="Times New Roman"/>
                      <w:b/>
                      <w:bCs/>
                      <w:color w:val="auto"/>
                      <w:spacing w:val="6"/>
                      <w:position w:val="2"/>
                      <w:sz w:val="21"/>
                      <w:szCs w:val="21"/>
                    </w:rPr>
                    <w:t>)]</w:t>
                  </w:r>
                </w:p>
              </w:tc>
              <w:tc>
                <w:tcPr>
                  <w:tcW w:w="1395" w:type="dxa"/>
                  <w:vAlign w:val="center"/>
                </w:tcPr>
                <w:p w14:paraId="32B072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7"/>
                      <w:position w:val="2"/>
                      <w:sz w:val="21"/>
                      <w:szCs w:val="21"/>
                      <w:lang w:val="en-US" w:eastAsia="zh-CN"/>
                      <w14:textOutline w14:w="3795" w14:cap="sq" w14:cmpd="sng">
                        <w14:solidFill>
                          <w14:srgbClr w14:val="000000"/>
                        </w14:solidFill>
                        <w14:prstDash w14:val="solid"/>
                        <w14:bevel/>
                      </w14:textOutline>
                    </w:rPr>
                  </w:pPr>
                  <w:r>
                    <w:rPr>
                      <w:rFonts w:hint="eastAsia" w:ascii="Times New Roman" w:hAnsi="Times New Roman" w:eastAsia="宋体" w:cs="Times New Roman"/>
                      <w:color w:val="auto"/>
                      <w:spacing w:val="7"/>
                      <w:position w:val="2"/>
                      <w:sz w:val="21"/>
                      <w:szCs w:val="21"/>
                      <w:lang w:val="en-US" w:eastAsia="zh-CN"/>
                      <w14:textOutline w14:w="3795" w14:cap="sq" w14:cmpd="sng">
                        <w14:solidFill>
                          <w14:srgbClr w14:val="000000"/>
                        </w14:solidFill>
                        <w14:prstDash w14:val="solid"/>
                        <w14:bevel/>
                      </w14:textOutline>
                    </w:rPr>
                    <w:t>标准值</w:t>
                  </w:r>
                </w:p>
              </w:tc>
              <w:tc>
                <w:tcPr>
                  <w:tcW w:w="923" w:type="dxa"/>
                  <w:vAlign w:val="center"/>
                </w:tcPr>
                <w:p w14:paraId="32843E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pacing w:val="7"/>
                      <w:position w:val="2"/>
                      <w:sz w:val="21"/>
                      <w:szCs w:val="21"/>
                      <w:lang w:val="en-US" w:eastAsia="zh-CN"/>
                      <w14:textOutline w14:w="3795" w14:cap="sq" w14:cmpd="sng">
                        <w14:solidFill>
                          <w14:srgbClr w14:val="000000"/>
                        </w14:solidFill>
                        <w14:prstDash w14:val="solid"/>
                        <w14:bevel/>
                      </w14:textOutline>
                    </w:rPr>
                  </w:pPr>
                  <w:r>
                    <w:rPr>
                      <w:rFonts w:hint="eastAsia" w:ascii="Times New Roman" w:hAnsi="Times New Roman" w:eastAsia="宋体" w:cs="Times New Roman"/>
                      <w:color w:val="auto"/>
                      <w:spacing w:val="7"/>
                      <w:position w:val="2"/>
                      <w:sz w:val="21"/>
                      <w:szCs w:val="21"/>
                      <w:lang w:val="en-US" w:eastAsia="zh-CN"/>
                      <w14:textOutline w14:w="3795" w14:cap="sq" w14:cmpd="sng">
                        <w14:solidFill>
                          <w14:srgbClr w14:val="000000"/>
                        </w14:solidFill>
                        <w14:prstDash w14:val="solid"/>
                        <w14:bevel/>
                      </w14:textOutline>
                    </w:rPr>
                    <w:t>达标情况</w:t>
                  </w:r>
                </w:p>
              </w:tc>
            </w:tr>
            <w:tr w14:paraId="1D99E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restart"/>
                  <w:tcBorders>
                    <w:bottom w:val="nil"/>
                  </w:tcBorders>
                  <w:vAlign w:val="center"/>
                </w:tcPr>
                <w:p w14:paraId="5180B01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1"/>
                      <w:sz w:val="21"/>
                      <w:szCs w:val="21"/>
                    </w:rPr>
                    <w:t>1#厂</w:t>
                  </w:r>
                  <w:r>
                    <w:rPr>
                      <w:rFonts w:hint="default" w:ascii="Times New Roman" w:hAnsi="Times New Roman" w:eastAsia="宋体" w:cs="Times New Roman"/>
                      <w:color w:val="auto"/>
                      <w:spacing w:val="1"/>
                      <w:position w:val="1"/>
                      <w:sz w:val="21"/>
                      <w:szCs w:val="21"/>
                    </w:rPr>
                    <w:t>界东面外1</w:t>
                  </w: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spacing w:val="1"/>
                      <w:position w:val="1"/>
                      <w:sz w:val="21"/>
                      <w:szCs w:val="21"/>
                    </w:rPr>
                    <w:t>处</w:t>
                  </w:r>
                </w:p>
              </w:tc>
              <w:tc>
                <w:tcPr>
                  <w:tcW w:w="1200" w:type="dxa"/>
                  <w:vMerge w:val="restart"/>
                  <w:tcBorders>
                    <w:bottom w:val="nil"/>
                  </w:tcBorders>
                  <w:vAlign w:val="center"/>
                </w:tcPr>
                <w:p w14:paraId="457121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4"/>
                      <w:sz w:val="21"/>
                      <w:szCs w:val="21"/>
                    </w:rPr>
                    <w:t>2023.</w:t>
                  </w:r>
                  <w:r>
                    <w:rPr>
                      <w:rFonts w:hint="eastAsia" w:cs="Times New Roman"/>
                      <w:color w:val="auto"/>
                      <w:spacing w:val="4"/>
                      <w:sz w:val="21"/>
                      <w:szCs w:val="21"/>
                      <w:lang w:val="en-US" w:eastAsia="zh-CN"/>
                    </w:rPr>
                    <w:t>10</w:t>
                  </w:r>
                  <w:r>
                    <w:rPr>
                      <w:rFonts w:hint="default" w:ascii="Times New Roman" w:hAnsi="Times New Roman" w:eastAsia="宋体" w:cs="Times New Roman"/>
                      <w:color w:val="auto"/>
                      <w:spacing w:val="4"/>
                      <w:sz w:val="21"/>
                      <w:szCs w:val="21"/>
                    </w:rPr>
                    <w:t>.2</w:t>
                  </w:r>
                  <w:r>
                    <w:rPr>
                      <w:rFonts w:hint="eastAsia" w:cs="Times New Roman"/>
                      <w:color w:val="auto"/>
                      <w:spacing w:val="4"/>
                      <w:sz w:val="21"/>
                      <w:szCs w:val="21"/>
                      <w:lang w:val="en-US" w:eastAsia="zh-CN"/>
                    </w:rPr>
                    <w:t>2</w:t>
                  </w:r>
                </w:p>
                <w:p w14:paraId="0BED98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64DB4B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昼间</w:t>
                  </w:r>
                </w:p>
              </w:tc>
              <w:tc>
                <w:tcPr>
                  <w:tcW w:w="1306" w:type="dxa"/>
                  <w:vAlign w:val="center"/>
                </w:tcPr>
                <w:p w14:paraId="5174ECE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3"/>
                      <w:sz w:val="21"/>
                      <w:szCs w:val="21"/>
                      <w:lang w:val="en-US" w:eastAsia="zh-CN"/>
                    </w:rPr>
                    <w:t>54.4</w:t>
                  </w:r>
                </w:p>
              </w:tc>
              <w:tc>
                <w:tcPr>
                  <w:tcW w:w="1395" w:type="dxa"/>
                  <w:vMerge w:val="restart"/>
                  <w:vAlign w:val="center"/>
                </w:tcPr>
                <w:p w14:paraId="5986C27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rPr>
                  </w:pPr>
                  <w:r>
                    <w:rPr>
                      <w:color w:val="auto"/>
                      <w:sz w:val="21"/>
                      <w:szCs w:val="21"/>
                    </w:rPr>
                    <w:t>昼间≤6</w:t>
                  </w:r>
                  <w:r>
                    <w:rPr>
                      <w:rFonts w:hint="eastAsia"/>
                      <w:color w:val="auto"/>
                      <w:sz w:val="21"/>
                      <w:szCs w:val="21"/>
                      <w:lang w:val="en-US" w:eastAsia="zh-CN"/>
                    </w:rPr>
                    <w:t>5</w:t>
                  </w:r>
                  <w:r>
                    <w:rPr>
                      <w:color w:val="auto"/>
                      <w:sz w:val="21"/>
                      <w:szCs w:val="21"/>
                    </w:rPr>
                    <w:t>dB(A)，夜间≤5</w:t>
                  </w:r>
                  <w:r>
                    <w:rPr>
                      <w:rFonts w:hint="eastAsia"/>
                      <w:color w:val="auto"/>
                      <w:sz w:val="21"/>
                      <w:szCs w:val="21"/>
                      <w:lang w:val="en-US" w:eastAsia="zh-CN"/>
                    </w:rPr>
                    <w:t>5</w:t>
                  </w:r>
                  <w:r>
                    <w:rPr>
                      <w:color w:val="auto"/>
                      <w:sz w:val="21"/>
                      <w:szCs w:val="21"/>
                    </w:rPr>
                    <w:t>dB(A)</w:t>
                  </w:r>
                </w:p>
              </w:tc>
              <w:tc>
                <w:tcPr>
                  <w:tcW w:w="923" w:type="dxa"/>
                  <w:vAlign w:val="center"/>
                </w:tcPr>
                <w:p w14:paraId="2B462A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rPr>
                  </w:pPr>
                  <w:r>
                    <w:rPr>
                      <w:bCs/>
                      <w:color w:val="auto"/>
                      <w:sz w:val="21"/>
                      <w:szCs w:val="21"/>
                    </w:rPr>
                    <w:t>达标</w:t>
                  </w:r>
                </w:p>
              </w:tc>
            </w:tr>
            <w:tr w14:paraId="27C10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continue"/>
                  <w:tcBorders>
                    <w:top w:val="nil"/>
                  </w:tcBorders>
                  <w:vAlign w:val="center"/>
                </w:tcPr>
                <w:p w14:paraId="28645C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200" w:type="dxa"/>
                  <w:vMerge w:val="continue"/>
                  <w:tcBorders>
                    <w:top w:val="nil"/>
                    <w:bottom w:val="nil"/>
                  </w:tcBorders>
                  <w:vAlign w:val="center"/>
                </w:tcPr>
                <w:p w14:paraId="69D4C8F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26A527C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夜间</w:t>
                  </w:r>
                </w:p>
              </w:tc>
              <w:tc>
                <w:tcPr>
                  <w:tcW w:w="1306" w:type="dxa"/>
                  <w:vAlign w:val="center"/>
                </w:tcPr>
                <w:p w14:paraId="779FD19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5"/>
                      <w:sz w:val="21"/>
                      <w:szCs w:val="21"/>
                      <w:lang w:val="en-US" w:eastAsia="zh-CN"/>
                    </w:rPr>
                    <w:t>43.9</w:t>
                  </w:r>
                </w:p>
              </w:tc>
              <w:tc>
                <w:tcPr>
                  <w:tcW w:w="1395" w:type="dxa"/>
                  <w:vMerge w:val="continue"/>
                  <w:vAlign w:val="center"/>
                </w:tcPr>
                <w:p w14:paraId="0F3F065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5"/>
                      <w:sz w:val="21"/>
                      <w:szCs w:val="21"/>
                    </w:rPr>
                  </w:pPr>
                </w:p>
              </w:tc>
              <w:tc>
                <w:tcPr>
                  <w:tcW w:w="923" w:type="dxa"/>
                  <w:vAlign w:val="center"/>
                </w:tcPr>
                <w:p w14:paraId="1E10F07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5"/>
                      <w:sz w:val="21"/>
                      <w:szCs w:val="21"/>
                    </w:rPr>
                  </w:pPr>
                  <w:r>
                    <w:rPr>
                      <w:bCs/>
                      <w:color w:val="auto"/>
                      <w:sz w:val="21"/>
                      <w:szCs w:val="21"/>
                    </w:rPr>
                    <w:t>达标</w:t>
                  </w:r>
                </w:p>
              </w:tc>
            </w:tr>
            <w:tr w14:paraId="4CD5C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restart"/>
                  <w:tcBorders>
                    <w:bottom w:val="nil"/>
                  </w:tcBorders>
                  <w:vAlign w:val="center"/>
                </w:tcPr>
                <w:p w14:paraId="43C4007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1"/>
                      <w:sz w:val="21"/>
                      <w:szCs w:val="21"/>
                    </w:rPr>
                    <w:t>2</w:t>
                  </w:r>
                  <w:r>
                    <w:rPr>
                      <w:rFonts w:hint="default" w:ascii="Times New Roman" w:hAnsi="Times New Roman" w:eastAsia="宋体" w:cs="Times New Roman"/>
                      <w:color w:val="auto"/>
                      <w:spacing w:val="3"/>
                      <w:position w:val="1"/>
                      <w:sz w:val="21"/>
                      <w:szCs w:val="21"/>
                    </w:rPr>
                    <w:t>#厂界北面外1</w:t>
                  </w: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spacing w:val="3"/>
                      <w:position w:val="1"/>
                      <w:sz w:val="21"/>
                      <w:szCs w:val="21"/>
                    </w:rPr>
                    <w:t>处</w:t>
                  </w:r>
                </w:p>
              </w:tc>
              <w:tc>
                <w:tcPr>
                  <w:tcW w:w="1200" w:type="dxa"/>
                  <w:vMerge w:val="continue"/>
                  <w:tcBorders>
                    <w:top w:val="nil"/>
                    <w:bottom w:val="nil"/>
                  </w:tcBorders>
                  <w:vAlign w:val="center"/>
                </w:tcPr>
                <w:p w14:paraId="135DE9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69BD46D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昼间</w:t>
                  </w:r>
                </w:p>
              </w:tc>
              <w:tc>
                <w:tcPr>
                  <w:tcW w:w="1306" w:type="dxa"/>
                  <w:vAlign w:val="center"/>
                </w:tcPr>
                <w:p w14:paraId="4B5EAA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4"/>
                      <w:sz w:val="21"/>
                      <w:szCs w:val="21"/>
                    </w:rPr>
                    <w:t>53.</w:t>
                  </w:r>
                  <w:r>
                    <w:rPr>
                      <w:rFonts w:hint="eastAsia" w:cs="Times New Roman"/>
                      <w:color w:val="auto"/>
                      <w:spacing w:val="4"/>
                      <w:sz w:val="21"/>
                      <w:szCs w:val="21"/>
                      <w:lang w:val="en-US" w:eastAsia="zh-CN"/>
                    </w:rPr>
                    <w:t>7</w:t>
                  </w:r>
                </w:p>
              </w:tc>
              <w:tc>
                <w:tcPr>
                  <w:tcW w:w="1395" w:type="dxa"/>
                  <w:vMerge w:val="continue"/>
                  <w:vAlign w:val="center"/>
                </w:tcPr>
                <w:p w14:paraId="14C6E1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p>
              </w:tc>
              <w:tc>
                <w:tcPr>
                  <w:tcW w:w="923" w:type="dxa"/>
                  <w:vAlign w:val="center"/>
                </w:tcPr>
                <w:p w14:paraId="34CC88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r>
                    <w:rPr>
                      <w:bCs/>
                      <w:color w:val="auto"/>
                      <w:sz w:val="21"/>
                      <w:szCs w:val="21"/>
                    </w:rPr>
                    <w:t>达标</w:t>
                  </w:r>
                </w:p>
              </w:tc>
            </w:tr>
            <w:tr w14:paraId="694F9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continue"/>
                  <w:tcBorders>
                    <w:top w:val="nil"/>
                  </w:tcBorders>
                  <w:vAlign w:val="center"/>
                </w:tcPr>
                <w:p w14:paraId="2A1A4A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200" w:type="dxa"/>
                  <w:vMerge w:val="continue"/>
                  <w:tcBorders>
                    <w:top w:val="nil"/>
                    <w:bottom w:val="nil"/>
                  </w:tcBorders>
                  <w:vAlign w:val="center"/>
                </w:tcPr>
                <w:p w14:paraId="73299A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5798D53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夜间</w:t>
                  </w:r>
                </w:p>
              </w:tc>
              <w:tc>
                <w:tcPr>
                  <w:tcW w:w="1306" w:type="dxa"/>
                  <w:vAlign w:val="center"/>
                </w:tcPr>
                <w:p w14:paraId="2AA46E6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6"/>
                      <w:sz w:val="21"/>
                      <w:szCs w:val="21"/>
                      <w:lang w:val="en-US" w:eastAsia="zh-CN"/>
                    </w:rPr>
                    <w:t>42.8</w:t>
                  </w:r>
                </w:p>
              </w:tc>
              <w:tc>
                <w:tcPr>
                  <w:tcW w:w="1395" w:type="dxa"/>
                  <w:vMerge w:val="continue"/>
                  <w:vAlign w:val="center"/>
                </w:tcPr>
                <w:p w14:paraId="72A63C7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rPr>
                  </w:pPr>
                </w:p>
              </w:tc>
              <w:tc>
                <w:tcPr>
                  <w:tcW w:w="923" w:type="dxa"/>
                  <w:vAlign w:val="center"/>
                </w:tcPr>
                <w:p w14:paraId="264D9E4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rPr>
                  </w:pPr>
                  <w:r>
                    <w:rPr>
                      <w:bCs/>
                      <w:color w:val="auto"/>
                      <w:sz w:val="21"/>
                      <w:szCs w:val="21"/>
                    </w:rPr>
                    <w:t>达标</w:t>
                  </w:r>
                </w:p>
              </w:tc>
            </w:tr>
            <w:tr w14:paraId="4DB52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restart"/>
                  <w:tcBorders>
                    <w:bottom w:val="nil"/>
                  </w:tcBorders>
                  <w:vAlign w:val="center"/>
                </w:tcPr>
                <w:p w14:paraId="6B552E8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1"/>
                      <w:sz w:val="21"/>
                      <w:szCs w:val="21"/>
                    </w:rPr>
                    <w:t>3#厂界</w:t>
                  </w:r>
                  <w:r>
                    <w:rPr>
                      <w:rFonts w:hint="default" w:ascii="Times New Roman" w:hAnsi="Times New Roman" w:eastAsia="宋体" w:cs="Times New Roman"/>
                      <w:color w:val="auto"/>
                      <w:spacing w:val="2"/>
                      <w:position w:val="1"/>
                      <w:sz w:val="21"/>
                      <w:szCs w:val="21"/>
                    </w:rPr>
                    <w:t>西面外1</w:t>
                  </w: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spacing w:val="2"/>
                      <w:position w:val="1"/>
                      <w:sz w:val="21"/>
                      <w:szCs w:val="21"/>
                    </w:rPr>
                    <w:t>处</w:t>
                  </w:r>
                </w:p>
              </w:tc>
              <w:tc>
                <w:tcPr>
                  <w:tcW w:w="1200" w:type="dxa"/>
                  <w:vMerge w:val="continue"/>
                  <w:tcBorders>
                    <w:top w:val="nil"/>
                    <w:bottom w:val="nil"/>
                  </w:tcBorders>
                  <w:vAlign w:val="center"/>
                </w:tcPr>
                <w:p w14:paraId="37D2BBD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28794DC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昼间</w:t>
                  </w:r>
                </w:p>
              </w:tc>
              <w:tc>
                <w:tcPr>
                  <w:tcW w:w="1306" w:type="dxa"/>
                  <w:vAlign w:val="center"/>
                </w:tcPr>
                <w:p w14:paraId="687778C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4"/>
                      <w:sz w:val="21"/>
                      <w:szCs w:val="21"/>
                      <w:lang w:val="en-US" w:eastAsia="zh-CN"/>
                    </w:rPr>
                    <w:t>53.0</w:t>
                  </w:r>
                </w:p>
              </w:tc>
              <w:tc>
                <w:tcPr>
                  <w:tcW w:w="1395" w:type="dxa"/>
                  <w:vMerge w:val="continue"/>
                  <w:vAlign w:val="center"/>
                </w:tcPr>
                <w:p w14:paraId="6BDC0B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p>
              </w:tc>
              <w:tc>
                <w:tcPr>
                  <w:tcW w:w="923" w:type="dxa"/>
                  <w:vAlign w:val="center"/>
                </w:tcPr>
                <w:p w14:paraId="1D166E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r>
                    <w:rPr>
                      <w:bCs/>
                      <w:color w:val="auto"/>
                      <w:sz w:val="21"/>
                      <w:szCs w:val="21"/>
                    </w:rPr>
                    <w:t>达标</w:t>
                  </w:r>
                </w:p>
              </w:tc>
            </w:tr>
            <w:tr w14:paraId="7B671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continue"/>
                  <w:tcBorders>
                    <w:top w:val="nil"/>
                  </w:tcBorders>
                  <w:vAlign w:val="center"/>
                </w:tcPr>
                <w:p w14:paraId="44A654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200" w:type="dxa"/>
                  <w:vMerge w:val="continue"/>
                  <w:tcBorders>
                    <w:top w:val="nil"/>
                    <w:bottom w:val="nil"/>
                  </w:tcBorders>
                  <w:vAlign w:val="center"/>
                </w:tcPr>
                <w:p w14:paraId="18A2436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79D45CD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夜间</w:t>
                  </w:r>
                </w:p>
              </w:tc>
              <w:tc>
                <w:tcPr>
                  <w:tcW w:w="1306" w:type="dxa"/>
                  <w:vAlign w:val="center"/>
                </w:tcPr>
                <w:p w14:paraId="251E04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6"/>
                      <w:sz w:val="21"/>
                      <w:szCs w:val="21"/>
                      <w:lang w:val="en-US" w:eastAsia="zh-CN"/>
                    </w:rPr>
                    <w:t>43.7</w:t>
                  </w:r>
                </w:p>
              </w:tc>
              <w:tc>
                <w:tcPr>
                  <w:tcW w:w="1395" w:type="dxa"/>
                  <w:vMerge w:val="continue"/>
                  <w:vAlign w:val="center"/>
                </w:tcPr>
                <w:p w14:paraId="14933F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rPr>
                  </w:pPr>
                </w:p>
              </w:tc>
              <w:tc>
                <w:tcPr>
                  <w:tcW w:w="923" w:type="dxa"/>
                  <w:vAlign w:val="center"/>
                </w:tcPr>
                <w:p w14:paraId="016A4A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rPr>
                  </w:pPr>
                  <w:r>
                    <w:rPr>
                      <w:bCs/>
                      <w:color w:val="auto"/>
                      <w:sz w:val="21"/>
                      <w:szCs w:val="21"/>
                    </w:rPr>
                    <w:t>达标</w:t>
                  </w:r>
                </w:p>
              </w:tc>
            </w:tr>
            <w:tr w14:paraId="52E1E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restart"/>
                  <w:tcBorders>
                    <w:bottom w:val="nil"/>
                  </w:tcBorders>
                  <w:vAlign w:val="center"/>
                </w:tcPr>
                <w:p w14:paraId="1E5431D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position w:val="1"/>
                      <w:sz w:val="21"/>
                      <w:szCs w:val="21"/>
                    </w:rPr>
                    <w:t>4</w:t>
                  </w:r>
                  <w:r>
                    <w:rPr>
                      <w:rFonts w:hint="default" w:ascii="Times New Roman" w:hAnsi="Times New Roman" w:eastAsia="宋体" w:cs="Times New Roman"/>
                      <w:color w:val="auto"/>
                      <w:spacing w:val="3"/>
                      <w:position w:val="1"/>
                      <w:sz w:val="21"/>
                      <w:szCs w:val="21"/>
                    </w:rPr>
                    <w:t>#厂界南面外1</w:t>
                  </w: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spacing w:val="3"/>
                      <w:position w:val="1"/>
                      <w:sz w:val="21"/>
                      <w:szCs w:val="21"/>
                    </w:rPr>
                    <w:t>处</w:t>
                  </w:r>
                </w:p>
              </w:tc>
              <w:tc>
                <w:tcPr>
                  <w:tcW w:w="1200" w:type="dxa"/>
                  <w:vMerge w:val="continue"/>
                  <w:tcBorders>
                    <w:top w:val="nil"/>
                    <w:bottom w:val="nil"/>
                  </w:tcBorders>
                  <w:vAlign w:val="center"/>
                </w:tcPr>
                <w:p w14:paraId="4C1FB2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0265081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昼间</w:t>
                  </w:r>
                </w:p>
              </w:tc>
              <w:tc>
                <w:tcPr>
                  <w:tcW w:w="1306" w:type="dxa"/>
                  <w:vAlign w:val="center"/>
                </w:tcPr>
                <w:p w14:paraId="1F70D00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4"/>
                      <w:sz w:val="21"/>
                      <w:szCs w:val="21"/>
                      <w:lang w:val="en-US" w:eastAsia="zh-CN"/>
                    </w:rPr>
                    <w:t>53.5</w:t>
                  </w:r>
                </w:p>
              </w:tc>
              <w:tc>
                <w:tcPr>
                  <w:tcW w:w="1395" w:type="dxa"/>
                  <w:vMerge w:val="continue"/>
                  <w:vAlign w:val="center"/>
                </w:tcPr>
                <w:p w14:paraId="44F5E7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p>
              </w:tc>
              <w:tc>
                <w:tcPr>
                  <w:tcW w:w="923" w:type="dxa"/>
                  <w:vAlign w:val="center"/>
                </w:tcPr>
                <w:p w14:paraId="337CB0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r>
                    <w:rPr>
                      <w:bCs/>
                      <w:color w:val="auto"/>
                      <w:sz w:val="21"/>
                      <w:szCs w:val="21"/>
                    </w:rPr>
                    <w:t>达标</w:t>
                  </w:r>
                </w:p>
              </w:tc>
            </w:tr>
            <w:tr w14:paraId="47D44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continue"/>
                  <w:tcBorders>
                    <w:top w:val="nil"/>
                  </w:tcBorders>
                  <w:vAlign w:val="center"/>
                </w:tcPr>
                <w:p w14:paraId="4F8D758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200" w:type="dxa"/>
                  <w:vMerge w:val="continue"/>
                  <w:tcBorders>
                    <w:top w:val="nil"/>
                  </w:tcBorders>
                  <w:vAlign w:val="center"/>
                </w:tcPr>
                <w:p w14:paraId="495616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274F345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夜间</w:t>
                  </w:r>
                </w:p>
              </w:tc>
              <w:tc>
                <w:tcPr>
                  <w:tcW w:w="1306" w:type="dxa"/>
                  <w:vAlign w:val="center"/>
                </w:tcPr>
                <w:p w14:paraId="453E51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7"/>
                      <w:sz w:val="21"/>
                      <w:szCs w:val="21"/>
                      <w:lang w:val="en-US" w:eastAsia="zh-CN"/>
                    </w:rPr>
                    <w:t>43.4</w:t>
                  </w:r>
                </w:p>
              </w:tc>
              <w:tc>
                <w:tcPr>
                  <w:tcW w:w="1395" w:type="dxa"/>
                  <w:vMerge w:val="continue"/>
                  <w:vAlign w:val="center"/>
                </w:tcPr>
                <w:p w14:paraId="5DA2B0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rPr>
                  </w:pPr>
                </w:p>
              </w:tc>
              <w:tc>
                <w:tcPr>
                  <w:tcW w:w="923" w:type="dxa"/>
                  <w:vAlign w:val="center"/>
                </w:tcPr>
                <w:p w14:paraId="2FFD7A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rPr>
                  </w:pPr>
                  <w:r>
                    <w:rPr>
                      <w:bCs/>
                      <w:color w:val="auto"/>
                      <w:sz w:val="21"/>
                      <w:szCs w:val="21"/>
                    </w:rPr>
                    <w:t>达标</w:t>
                  </w:r>
                </w:p>
              </w:tc>
            </w:tr>
            <w:tr w14:paraId="09629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restart"/>
                  <w:tcBorders>
                    <w:bottom w:val="nil"/>
                  </w:tcBorders>
                  <w:vAlign w:val="center"/>
                </w:tcPr>
                <w:p w14:paraId="43B6B32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1"/>
                      <w:sz w:val="21"/>
                      <w:szCs w:val="21"/>
                    </w:rPr>
                    <w:t>1#厂</w:t>
                  </w:r>
                  <w:r>
                    <w:rPr>
                      <w:rFonts w:hint="default" w:ascii="Times New Roman" w:hAnsi="Times New Roman" w:eastAsia="宋体" w:cs="Times New Roman"/>
                      <w:color w:val="auto"/>
                      <w:spacing w:val="1"/>
                      <w:position w:val="1"/>
                      <w:sz w:val="21"/>
                      <w:szCs w:val="21"/>
                    </w:rPr>
                    <w:t>界东面外1</w:t>
                  </w: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spacing w:val="1"/>
                      <w:position w:val="1"/>
                      <w:sz w:val="21"/>
                      <w:szCs w:val="21"/>
                    </w:rPr>
                    <w:t>处</w:t>
                  </w:r>
                </w:p>
              </w:tc>
              <w:tc>
                <w:tcPr>
                  <w:tcW w:w="1200" w:type="dxa"/>
                  <w:vMerge w:val="restart"/>
                  <w:tcBorders>
                    <w:bottom w:val="nil"/>
                  </w:tcBorders>
                  <w:vAlign w:val="center"/>
                </w:tcPr>
                <w:p w14:paraId="2108F9A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rPr>
                    <w:t>2023</w:t>
                  </w:r>
                  <w:r>
                    <w:rPr>
                      <w:rFonts w:hint="eastAsia" w:cs="Times New Roman"/>
                      <w:color w:val="auto"/>
                      <w:spacing w:val="4"/>
                      <w:sz w:val="21"/>
                      <w:szCs w:val="21"/>
                      <w:lang w:val="en-US" w:eastAsia="zh-CN"/>
                    </w:rPr>
                    <w:t>.10.23</w:t>
                  </w:r>
                </w:p>
                <w:p w14:paraId="5863193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5ACB60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昼间</w:t>
                  </w:r>
                </w:p>
              </w:tc>
              <w:tc>
                <w:tcPr>
                  <w:tcW w:w="1306" w:type="dxa"/>
                  <w:vAlign w:val="center"/>
                </w:tcPr>
                <w:p w14:paraId="231EFE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4"/>
                      <w:sz w:val="21"/>
                      <w:szCs w:val="21"/>
                    </w:rPr>
                    <w:t>5</w:t>
                  </w:r>
                  <w:r>
                    <w:rPr>
                      <w:rFonts w:hint="default" w:ascii="Times New Roman" w:hAnsi="Times New Roman" w:eastAsia="宋体" w:cs="Times New Roman"/>
                      <w:color w:val="auto"/>
                      <w:spacing w:val="3"/>
                      <w:sz w:val="21"/>
                      <w:szCs w:val="21"/>
                    </w:rPr>
                    <w:t>3.</w:t>
                  </w:r>
                  <w:r>
                    <w:rPr>
                      <w:rFonts w:hint="eastAsia" w:cs="Times New Roman"/>
                      <w:color w:val="auto"/>
                      <w:spacing w:val="3"/>
                      <w:sz w:val="21"/>
                      <w:szCs w:val="21"/>
                      <w:lang w:val="en-US" w:eastAsia="zh-CN"/>
                    </w:rPr>
                    <w:t>3</w:t>
                  </w:r>
                </w:p>
              </w:tc>
              <w:tc>
                <w:tcPr>
                  <w:tcW w:w="1395" w:type="dxa"/>
                  <w:vMerge w:val="continue"/>
                  <w:vAlign w:val="center"/>
                </w:tcPr>
                <w:p w14:paraId="2EE97E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p>
              </w:tc>
              <w:tc>
                <w:tcPr>
                  <w:tcW w:w="923" w:type="dxa"/>
                  <w:vAlign w:val="center"/>
                </w:tcPr>
                <w:p w14:paraId="3585A0C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r>
                    <w:rPr>
                      <w:bCs/>
                      <w:color w:val="auto"/>
                      <w:sz w:val="21"/>
                      <w:szCs w:val="21"/>
                    </w:rPr>
                    <w:t>达标</w:t>
                  </w:r>
                </w:p>
              </w:tc>
            </w:tr>
            <w:tr w14:paraId="17C7C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continue"/>
                  <w:tcBorders>
                    <w:top w:val="nil"/>
                  </w:tcBorders>
                  <w:vAlign w:val="center"/>
                </w:tcPr>
                <w:p w14:paraId="226C527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200" w:type="dxa"/>
                  <w:vMerge w:val="continue"/>
                  <w:tcBorders>
                    <w:top w:val="nil"/>
                    <w:bottom w:val="nil"/>
                  </w:tcBorders>
                  <w:vAlign w:val="center"/>
                </w:tcPr>
                <w:p w14:paraId="25A48C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58D3136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夜间</w:t>
                  </w:r>
                </w:p>
              </w:tc>
              <w:tc>
                <w:tcPr>
                  <w:tcW w:w="1306" w:type="dxa"/>
                  <w:vAlign w:val="center"/>
                </w:tcPr>
                <w:p w14:paraId="73A3C7B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6"/>
                      <w:sz w:val="21"/>
                      <w:szCs w:val="21"/>
                      <w:lang w:val="en-US" w:eastAsia="zh-CN"/>
                    </w:rPr>
                    <w:t>44.8</w:t>
                  </w:r>
                </w:p>
              </w:tc>
              <w:tc>
                <w:tcPr>
                  <w:tcW w:w="1395" w:type="dxa"/>
                  <w:vMerge w:val="continue"/>
                  <w:vAlign w:val="center"/>
                </w:tcPr>
                <w:p w14:paraId="548B82B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rPr>
                  </w:pPr>
                </w:p>
              </w:tc>
              <w:tc>
                <w:tcPr>
                  <w:tcW w:w="923" w:type="dxa"/>
                  <w:vAlign w:val="center"/>
                </w:tcPr>
                <w:p w14:paraId="6C8013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rPr>
                  </w:pPr>
                  <w:r>
                    <w:rPr>
                      <w:bCs/>
                      <w:color w:val="auto"/>
                      <w:sz w:val="21"/>
                      <w:szCs w:val="21"/>
                    </w:rPr>
                    <w:t>达标</w:t>
                  </w:r>
                </w:p>
              </w:tc>
            </w:tr>
            <w:tr w14:paraId="0ECF6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restart"/>
                  <w:tcBorders>
                    <w:bottom w:val="nil"/>
                  </w:tcBorders>
                  <w:vAlign w:val="center"/>
                </w:tcPr>
                <w:p w14:paraId="3A1F944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1"/>
                      <w:sz w:val="21"/>
                      <w:szCs w:val="21"/>
                    </w:rPr>
                    <w:t>2</w:t>
                  </w:r>
                  <w:r>
                    <w:rPr>
                      <w:rFonts w:hint="default" w:ascii="Times New Roman" w:hAnsi="Times New Roman" w:eastAsia="宋体" w:cs="Times New Roman"/>
                      <w:color w:val="auto"/>
                      <w:spacing w:val="3"/>
                      <w:position w:val="1"/>
                      <w:sz w:val="21"/>
                      <w:szCs w:val="21"/>
                    </w:rPr>
                    <w:t>#厂界北面外1</w:t>
                  </w: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spacing w:val="3"/>
                      <w:position w:val="1"/>
                      <w:sz w:val="21"/>
                      <w:szCs w:val="21"/>
                    </w:rPr>
                    <w:t>处</w:t>
                  </w:r>
                </w:p>
              </w:tc>
              <w:tc>
                <w:tcPr>
                  <w:tcW w:w="1200" w:type="dxa"/>
                  <w:vMerge w:val="continue"/>
                  <w:tcBorders>
                    <w:top w:val="nil"/>
                    <w:bottom w:val="nil"/>
                  </w:tcBorders>
                  <w:vAlign w:val="center"/>
                </w:tcPr>
                <w:p w14:paraId="1A6B880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0ED99CB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昼间</w:t>
                  </w:r>
                </w:p>
              </w:tc>
              <w:tc>
                <w:tcPr>
                  <w:tcW w:w="1306" w:type="dxa"/>
                  <w:vAlign w:val="center"/>
                </w:tcPr>
                <w:p w14:paraId="5276CC7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52.7</w:t>
                  </w:r>
                </w:p>
              </w:tc>
              <w:tc>
                <w:tcPr>
                  <w:tcW w:w="1395" w:type="dxa"/>
                  <w:vMerge w:val="continue"/>
                  <w:vAlign w:val="center"/>
                </w:tcPr>
                <w:p w14:paraId="657027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rPr>
                  </w:pPr>
                </w:p>
              </w:tc>
              <w:tc>
                <w:tcPr>
                  <w:tcW w:w="923" w:type="dxa"/>
                  <w:vAlign w:val="center"/>
                </w:tcPr>
                <w:p w14:paraId="6CC5976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3"/>
                      <w:sz w:val="21"/>
                      <w:szCs w:val="21"/>
                    </w:rPr>
                  </w:pPr>
                  <w:r>
                    <w:rPr>
                      <w:bCs/>
                      <w:color w:val="auto"/>
                      <w:sz w:val="21"/>
                      <w:szCs w:val="21"/>
                    </w:rPr>
                    <w:t>达标</w:t>
                  </w:r>
                </w:p>
              </w:tc>
            </w:tr>
            <w:tr w14:paraId="7CA10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continue"/>
                  <w:tcBorders>
                    <w:top w:val="nil"/>
                  </w:tcBorders>
                  <w:vAlign w:val="center"/>
                </w:tcPr>
                <w:p w14:paraId="0524B3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200" w:type="dxa"/>
                  <w:vMerge w:val="continue"/>
                  <w:tcBorders>
                    <w:top w:val="nil"/>
                    <w:bottom w:val="nil"/>
                  </w:tcBorders>
                  <w:vAlign w:val="center"/>
                </w:tcPr>
                <w:p w14:paraId="3072731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6A4E74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夜间</w:t>
                  </w:r>
                </w:p>
              </w:tc>
              <w:tc>
                <w:tcPr>
                  <w:tcW w:w="1306" w:type="dxa"/>
                  <w:vAlign w:val="center"/>
                </w:tcPr>
                <w:p w14:paraId="7351ED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6"/>
                      <w:sz w:val="21"/>
                      <w:szCs w:val="21"/>
                      <w:lang w:val="en-US" w:eastAsia="zh-CN"/>
                    </w:rPr>
                    <w:t>42.5</w:t>
                  </w:r>
                </w:p>
              </w:tc>
              <w:tc>
                <w:tcPr>
                  <w:tcW w:w="1395" w:type="dxa"/>
                  <w:vMerge w:val="continue"/>
                  <w:vAlign w:val="center"/>
                </w:tcPr>
                <w:p w14:paraId="0A000C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rPr>
                  </w:pPr>
                </w:p>
              </w:tc>
              <w:tc>
                <w:tcPr>
                  <w:tcW w:w="923" w:type="dxa"/>
                  <w:vAlign w:val="center"/>
                </w:tcPr>
                <w:p w14:paraId="51A5173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rPr>
                  </w:pPr>
                  <w:r>
                    <w:rPr>
                      <w:bCs/>
                      <w:color w:val="auto"/>
                      <w:sz w:val="21"/>
                      <w:szCs w:val="21"/>
                    </w:rPr>
                    <w:t>达标</w:t>
                  </w:r>
                </w:p>
              </w:tc>
            </w:tr>
            <w:tr w14:paraId="464F5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restart"/>
                  <w:tcBorders>
                    <w:bottom w:val="nil"/>
                  </w:tcBorders>
                  <w:vAlign w:val="center"/>
                </w:tcPr>
                <w:p w14:paraId="334172B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1"/>
                      <w:sz w:val="21"/>
                      <w:szCs w:val="21"/>
                    </w:rPr>
                    <w:t>3#厂界</w:t>
                  </w:r>
                  <w:r>
                    <w:rPr>
                      <w:rFonts w:hint="default" w:ascii="Times New Roman" w:hAnsi="Times New Roman" w:eastAsia="宋体" w:cs="Times New Roman"/>
                      <w:color w:val="auto"/>
                      <w:spacing w:val="2"/>
                      <w:position w:val="1"/>
                      <w:sz w:val="21"/>
                      <w:szCs w:val="21"/>
                    </w:rPr>
                    <w:t>西面外1</w:t>
                  </w: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spacing w:val="2"/>
                      <w:position w:val="1"/>
                      <w:sz w:val="21"/>
                      <w:szCs w:val="21"/>
                    </w:rPr>
                    <w:t>处</w:t>
                  </w:r>
                </w:p>
              </w:tc>
              <w:tc>
                <w:tcPr>
                  <w:tcW w:w="1200" w:type="dxa"/>
                  <w:vMerge w:val="continue"/>
                  <w:tcBorders>
                    <w:top w:val="nil"/>
                    <w:bottom w:val="nil"/>
                  </w:tcBorders>
                  <w:vAlign w:val="center"/>
                </w:tcPr>
                <w:p w14:paraId="6B09467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0B19D7A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昼间</w:t>
                  </w:r>
                </w:p>
              </w:tc>
              <w:tc>
                <w:tcPr>
                  <w:tcW w:w="1306" w:type="dxa"/>
                  <w:vAlign w:val="center"/>
                </w:tcPr>
                <w:p w14:paraId="38ADA86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4"/>
                      <w:sz w:val="21"/>
                      <w:szCs w:val="21"/>
                      <w:lang w:val="en-US" w:eastAsia="zh-CN"/>
                    </w:rPr>
                    <w:t>51.6</w:t>
                  </w:r>
                </w:p>
              </w:tc>
              <w:tc>
                <w:tcPr>
                  <w:tcW w:w="1395" w:type="dxa"/>
                  <w:vMerge w:val="continue"/>
                  <w:vAlign w:val="center"/>
                </w:tcPr>
                <w:p w14:paraId="7CFB4A7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p>
              </w:tc>
              <w:tc>
                <w:tcPr>
                  <w:tcW w:w="923" w:type="dxa"/>
                  <w:vAlign w:val="center"/>
                </w:tcPr>
                <w:p w14:paraId="641132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r>
                    <w:rPr>
                      <w:bCs/>
                      <w:color w:val="auto"/>
                      <w:sz w:val="21"/>
                      <w:szCs w:val="21"/>
                    </w:rPr>
                    <w:t>达标</w:t>
                  </w:r>
                </w:p>
              </w:tc>
            </w:tr>
            <w:tr w14:paraId="58146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continue"/>
                  <w:tcBorders>
                    <w:top w:val="nil"/>
                  </w:tcBorders>
                  <w:vAlign w:val="center"/>
                </w:tcPr>
                <w:p w14:paraId="747D80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200" w:type="dxa"/>
                  <w:vMerge w:val="continue"/>
                  <w:tcBorders>
                    <w:top w:val="nil"/>
                    <w:bottom w:val="nil"/>
                  </w:tcBorders>
                  <w:vAlign w:val="center"/>
                </w:tcPr>
                <w:p w14:paraId="1B12C9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7E0DFB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夜间</w:t>
                  </w:r>
                </w:p>
              </w:tc>
              <w:tc>
                <w:tcPr>
                  <w:tcW w:w="1306" w:type="dxa"/>
                  <w:vAlign w:val="center"/>
                </w:tcPr>
                <w:p w14:paraId="52D378C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7"/>
                      <w:sz w:val="21"/>
                      <w:szCs w:val="21"/>
                    </w:rPr>
                    <w:t>4</w:t>
                  </w:r>
                  <w:r>
                    <w:rPr>
                      <w:rFonts w:hint="eastAsia" w:cs="Times New Roman"/>
                      <w:color w:val="auto"/>
                      <w:spacing w:val="4"/>
                      <w:sz w:val="21"/>
                      <w:szCs w:val="21"/>
                      <w:lang w:val="en-US" w:eastAsia="zh-CN"/>
                    </w:rPr>
                    <w:t>2.0</w:t>
                  </w:r>
                </w:p>
              </w:tc>
              <w:tc>
                <w:tcPr>
                  <w:tcW w:w="1395" w:type="dxa"/>
                  <w:vMerge w:val="continue"/>
                  <w:vAlign w:val="center"/>
                </w:tcPr>
                <w:p w14:paraId="0E2663D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rPr>
                  </w:pPr>
                </w:p>
              </w:tc>
              <w:tc>
                <w:tcPr>
                  <w:tcW w:w="923" w:type="dxa"/>
                  <w:vAlign w:val="center"/>
                </w:tcPr>
                <w:p w14:paraId="78142D7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7"/>
                      <w:sz w:val="21"/>
                      <w:szCs w:val="21"/>
                    </w:rPr>
                  </w:pPr>
                  <w:r>
                    <w:rPr>
                      <w:bCs/>
                      <w:color w:val="auto"/>
                      <w:sz w:val="21"/>
                      <w:szCs w:val="21"/>
                    </w:rPr>
                    <w:t>达标</w:t>
                  </w:r>
                </w:p>
              </w:tc>
            </w:tr>
            <w:tr w14:paraId="01FC7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restart"/>
                  <w:tcBorders>
                    <w:bottom w:val="nil"/>
                  </w:tcBorders>
                  <w:vAlign w:val="center"/>
                </w:tcPr>
                <w:p w14:paraId="24EEB4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position w:val="1"/>
                      <w:sz w:val="21"/>
                      <w:szCs w:val="21"/>
                    </w:rPr>
                    <w:t>4</w:t>
                  </w:r>
                  <w:r>
                    <w:rPr>
                      <w:rFonts w:hint="default" w:ascii="Times New Roman" w:hAnsi="Times New Roman" w:eastAsia="宋体" w:cs="Times New Roman"/>
                      <w:color w:val="auto"/>
                      <w:spacing w:val="3"/>
                      <w:position w:val="1"/>
                      <w:sz w:val="21"/>
                      <w:szCs w:val="21"/>
                    </w:rPr>
                    <w:t>#厂界南面外1</w:t>
                  </w: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spacing w:val="3"/>
                      <w:position w:val="1"/>
                      <w:sz w:val="21"/>
                      <w:szCs w:val="21"/>
                    </w:rPr>
                    <w:t>处</w:t>
                  </w:r>
                </w:p>
              </w:tc>
              <w:tc>
                <w:tcPr>
                  <w:tcW w:w="1200" w:type="dxa"/>
                  <w:vMerge w:val="continue"/>
                  <w:tcBorders>
                    <w:top w:val="nil"/>
                    <w:bottom w:val="nil"/>
                  </w:tcBorders>
                  <w:vAlign w:val="center"/>
                </w:tcPr>
                <w:p w14:paraId="4132A4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34702B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昼间</w:t>
                  </w:r>
                </w:p>
              </w:tc>
              <w:tc>
                <w:tcPr>
                  <w:tcW w:w="1306" w:type="dxa"/>
                  <w:vAlign w:val="center"/>
                </w:tcPr>
                <w:p w14:paraId="631B5A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 w:val="21"/>
                      <w:szCs w:val="21"/>
                    </w:rPr>
                    <w:t>5</w:t>
                  </w:r>
                  <w:r>
                    <w:rPr>
                      <w:rFonts w:hint="eastAsia" w:cs="Times New Roman"/>
                      <w:color w:val="auto"/>
                      <w:spacing w:val="4"/>
                      <w:sz w:val="21"/>
                      <w:szCs w:val="21"/>
                      <w:lang w:val="en-US" w:eastAsia="zh-CN"/>
                    </w:rPr>
                    <w:t>2.4</w:t>
                  </w:r>
                </w:p>
              </w:tc>
              <w:tc>
                <w:tcPr>
                  <w:tcW w:w="1395" w:type="dxa"/>
                  <w:vMerge w:val="continue"/>
                  <w:vAlign w:val="center"/>
                </w:tcPr>
                <w:p w14:paraId="23C0B3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p>
              </w:tc>
              <w:tc>
                <w:tcPr>
                  <w:tcW w:w="923" w:type="dxa"/>
                  <w:vAlign w:val="center"/>
                </w:tcPr>
                <w:p w14:paraId="5A3FBC8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4"/>
                      <w:sz w:val="21"/>
                      <w:szCs w:val="21"/>
                    </w:rPr>
                  </w:pPr>
                  <w:r>
                    <w:rPr>
                      <w:bCs/>
                      <w:color w:val="auto"/>
                      <w:sz w:val="21"/>
                      <w:szCs w:val="21"/>
                    </w:rPr>
                    <w:t>达标</w:t>
                  </w:r>
                </w:p>
              </w:tc>
            </w:tr>
            <w:tr w14:paraId="4BC35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2050" w:type="dxa"/>
                  <w:vMerge w:val="continue"/>
                  <w:tcBorders>
                    <w:top w:val="nil"/>
                  </w:tcBorders>
                  <w:vAlign w:val="center"/>
                </w:tcPr>
                <w:p w14:paraId="40578D6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1200" w:type="dxa"/>
                  <w:vMerge w:val="continue"/>
                  <w:tcBorders>
                    <w:top w:val="nil"/>
                  </w:tcBorders>
                  <w:vAlign w:val="center"/>
                </w:tcPr>
                <w:p w14:paraId="09B0D04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884" w:type="dxa"/>
                  <w:vAlign w:val="center"/>
                </w:tcPr>
                <w:p w14:paraId="131D13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夜间</w:t>
                  </w:r>
                </w:p>
              </w:tc>
              <w:tc>
                <w:tcPr>
                  <w:tcW w:w="1306" w:type="dxa"/>
                  <w:vAlign w:val="center"/>
                </w:tcPr>
                <w:p w14:paraId="46FF5FE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6"/>
                      <w:sz w:val="21"/>
                      <w:szCs w:val="21"/>
                    </w:rPr>
                    <w:t>4</w:t>
                  </w:r>
                  <w:r>
                    <w:rPr>
                      <w:rFonts w:hint="eastAsia" w:cs="Times New Roman"/>
                      <w:color w:val="auto"/>
                      <w:spacing w:val="4"/>
                      <w:sz w:val="21"/>
                      <w:szCs w:val="21"/>
                      <w:lang w:val="en-US" w:eastAsia="zh-CN"/>
                    </w:rPr>
                    <w:t>3.0</w:t>
                  </w:r>
                </w:p>
              </w:tc>
              <w:tc>
                <w:tcPr>
                  <w:tcW w:w="1395" w:type="dxa"/>
                  <w:vMerge w:val="continue"/>
                  <w:vAlign w:val="center"/>
                </w:tcPr>
                <w:p w14:paraId="0E0C8F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rPr>
                  </w:pPr>
                </w:p>
              </w:tc>
              <w:tc>
                <w:tcPr>
                  <w:tcW w:w="923" w:type="dxa"/>
                  <w:vAlign w:val="center"/>
                </w:tcPr>
                <w:p w14:paraId="211432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6"/>
                      <w:sz w:val="21"/>
                      <w:szCs w:val="21"/>
                    </w:rPr>
                  </w:pPr>
                  <w:r>
                    <w:rPr>
                      <w:bCs/>
                      <w:color w:val="auto"/>
                      <w:sz w:val="21"/>
                      <w:szCs w:val="21"/>
                    </w:rPr>
                    <w:t>达标</w:t>
                  </w:r>
                </w:p>
              </w:tc>
            </w:tr>
          </w:tbl>
          <w:p w14:paraId="3583CF3C">
            <w:pPr>
              <w:numPr>
                <w:ilvl w:val="0"/>
                <w:numId w:val="0"/>
              </w:numPr>
              <w:spacing w:line="240" w:lineRule="auto"/>
              <w:jc w:val="center"/>
              <w:rPr>
                <w:rFonts w:hint="eastAsia" w:ascii="Times New Roman" w:hAnsi="Times New Roman" w:eastAsia="宋体" w:cs="Times New Roman"/>
                <w:b/>
                <w:bCs/>
                <w:color w:val="auto"/>
                <w:sz w:val="21"/>
                <w:szCs w:val="21"/>
                <w:highlight w:val="none"/>
                <w:lang w:val="en-US" w:eastAsia="zh-CN"/>
              </w:rPr>
            </w:pPr>
          </w:p>
          <w:p w14:paraId="11E3EF79">
            <w:pPr>
              <w:adjustRightInd w:val="0"/>
              <w:snapToGrid w:val="0"/>
              <w:spacing w:line="360" w:lineRule="auto"/>
              <w:ind w:firstLine="480" w:firstLineChars="200"/>
              <w:rPr>
                <w:color w:val="auto"/>
                <w:kern w:val="0"/>
                <w:sz w:val="24"/>
              </w:rPr>
            </w:pPr>
            <w:r>
              <w:rPr>
                <w:rFonts w:hint="eastAsia"/>
                <w:color w:val="auto"/>
                <w:kern w:val="0"/>
                <w:sz w:val="24"/>
              </w:rPr>
              <w:t>根据上表监测结果，项目</w:t>
            </w:r>
            <w:r>
              <w:rPr>
                <w:rFonts w:hint="eastAsia"/>
                <w:color w:val="auto"/>
                <w:kern w:val="0"/>
                <w:sz w:val="24"/>
                <w:lang w:val="en-US" w:eastAsia="zh-CN"/>
              </w:rPr>
              <w:t>区周边声环境</w:t>
            </w:r>
            <w:r>
              <w:rPr>
                <w:color w:val="auto"/>
                <w:kern w:val="0"/>
                <w:sz w:val="24"/>
              </w:rPr>
              <w:t>昼间、夜间</w:t>
            </w:r>
            <w:r>
              <w:rPr>
                <w:rFonts w:hint="eastAsia"/>
                <w:color w:val="auto"/>
                <w:kern w:val="0"/>
                <w:sz w:val="24"/>
              </w:rPr>
              <w:t>达到</w:t>
            </w:r>
            <w:r>
              <w:rPr>
                <w:color w:val="auto"/>
                <w:kern w:val="0"/>
                <w:sz w:val="24"/>
              </w:rPr>
              <w:t>GB3096-2008《声环境质量标准》</w:t>
            </w:r>
            <w:r>
              <w:rPr>
                <w:rFonts w:hint="eastAsia"/>
                <w:color w:val="auto"/>
                <w:kern w:val="0"/>
                <w:sz w:val="24"/>
                <w:lang w:val="en-US" w:eastAsia="zh-CN"/>
              </w:rPr>
              <w:t>3</w:t>
            </w:r>
            <w:r>
              <w:rPr>
                <w:color w:val="auto"/>
                <w:kern w:val="0"/>
                <w:sz w:val="24"/>
              </w:rPr>
              <w:t>类区标准</w:t>
            </w:r>
            <w:r>
              <w:rPr>
                <w:rFonts w:hint="eastAsia"/>
                <w:color w:val="auto"/>
                <w:kern w:val="0"/>
                <w:sz w:val="24"/>
              </w:rPr>
              <w:t>。</w:t>
            </w:r>
          </w:p>
          <w:p w14:paraId="0FB0B9B9">
            <w:pPr>
              <w:numPr>
                <w:ilvl w:val="0"/>
                <w:numId w:val="0"/>
              </w:numPr>
              <w:ind w:firstLine="482" w:firstLineChars="20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4、生态环境</w:t>
            </w:r>
          </w:p>
          <w:p w14:paraId="262F0AAF">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经现场踏勘，项目</w:t>
            </w:r>
            <w:r>
              <w:rPr>
                <w:rFonts w:hint="eastAsia" w:cs="Times New Roman"/>
                <w:color w:val="auto"/>
                <w:sz w:val="24"/>
                <w:lang w:eastAsia="zh-CN"/>
              </w:rPr>
              <w:t>位于工业园区，</w:t>
            </w:r>
            <w:r>
              <w:rPr>
                <w:rFonts w:hint="default" w:ascii="Times New Roman" w:hAnsi="Times New Roman" w:cs="Times New Roman"/>
                <w:color w:val="auto"/>
                <w:sz w:val="24"/>
              </w:rPr>
              <w:t>周边的地表植被多以人工植被和耕地农作物为主，无重点保护的古树名木，周边植被覆盖率一般。整个区域生态环境主要受人类影响，自我调节能力一般。用地范围内无原生植被。项目区范围内未发现珍稀濒危保护物种和地方特有种。</w:t>
            </w:r>
          </w:p>
          <w:p w14:paraId="14CAB8C3">
            <w:pPr>
              <w:pStyle w:val="6"/>
              <w:suppressLineNumbers w:val="0"/>
              <w:spacing w:before="0" w:beforeAutospacing="0" w:after="0" w:afterAutospacing="0"/>
              <w:ind w:left="0" w:right="0" w:firstLine="482" w:firstLineChars="200"/>
              <w:rPr>
                <w:rFonts w:hint="default"/>
                <w:color w:val="auto"/>
                <w:sz w:val="24"/>
                <w:szCs w:val="24"/>
                <w:shd w:val="clear" w:color="auto" w:fill="auto"/>
                <w:lang w:val="en-US" w:eastAsia="zh-CN"/>
              </w:rPr>
            </w:pPr>
            <w:r>
              <w:rPr>
                <w:rFonts w:hint="eastAsia"/>
                <w:color w:val="auto"/>
                <w:sz w:val="24"/>
                <w:szCs w:val="24"/>
                <w:shd w:val="clear" w:color="auto" w:fill="auto"/>
                <w:lang w:val="en-US" w:eastAsia="zh-CN"/>
              </w:rPr>
              <w:t>5、</w:t>
            </w:r>
            <w:r>
              <w:rPr>
                <w:rFonts w:hint="default"/>
                <w:color w:val="auto"/>
                <w:sz w:val="24"/>
                <w:szCs w:val="24"/>
                <w:shd w:val="clear" w:color="auto" w:fill="auto"/>
                <w:lang w:val="en-US" w:eastAsia="zh-CN"/>
              </w:rPr>
              <w:t>地下水环境现状</w:t>
            </w:r>
          </w:p>
          <w:p w14:paraId="4C6A7C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kern w:val="2"/>
                <w:sz w:val="24"/>
                <w:szCs w:val="24"/>
                <w:shd w:val="clear" w:color="auto" w:fill="auto"/>
                <w:lang w:val="en-US" w:eastAsia="zh-CN" w:bidi="ar-SA"/>
              </w:rPr>
            </w:pPr>
            <w:r>
              <w:rPr>
                <w:rFonts w:hint="default" w:ascii="Times New Roman" w:hAnsi="Times New Roman" w:eastAsia="宋体" w:cs="Times New Roman"/>
                <w:bCs/>
                <w:color w:val="auto"/>
                <w:kern w:val="2"/>
                <w:sz w:val="24"/>
                <w:szCs w:val="24"/>
                <w:shd w:val="clear" w:color="auto" w:fill="auto"/>
                <w:lang w:val="en-US" w:eastAsia="zh-CN" w:bidi="ar-SA"/>
              </w:rPr>
              <w:t>按照《环境影响评价技术导则</w:t>
            </w:r>
            <w:r>
              <w:rPr>
                <w:rFonts w:hint="eastAsia" w:cs="Times New Roman"/>
                <w:bCs/>
                <w:color w:val="auto"/>
                <w:kern w:val="2"/>
                <w:sz w:val="24"/>
                <w:szCs w:val="24"/>
                <w:shd w:val="clear" w:color="auto" w:fill="auto"/>
                <w:lang w:val="en-US" w:eastAsia="zh-CN" w:bidi="ar-SA"/>
              </w:rPr>
              <w:t xml:space="preserve"> </w:t>
            </w:r>
            <w:r>
              <w:rPr>
                <w:rFonts w:hint="default" w:ascii="Times New Roman" w:hAnsi="Times New Roman" w:eastAsia="宋体" w:cs="Times New Roman"/>
                <w:bCs/>
                <w:color w:val="auto"/>
                <w:kern w:val="2"/>
                <w:sz w:val="24"/>
                <w:szCs w:val="24"/>
                <w:shd w:val="clear" w:color="auto" w:fill="auto"/>
                <w:lang w:val="en-US" w:eastAsia="zh-CN" w:bidi="ar-SA"/>
              </w:rPr>
              <w:t>地下水环境》（HJ610-2016）规定的评价工作级别的划分原则和方法，</w:t>
            </w:r>
            <w:r>
              <w:rPr>
                <w:rFonts w:hint="eastAsia" w:ascii="Times New Roman" w:hAnsi="Times New Roman" w:eastAsia="宋体" w:cs="Times New Roman"/>
                <w:bCs/>
                <w:color w:val="auto"/>
                <w:kern w:val="2"/>
                <w:sz w:val="24"/>
                <w:szCs w:val="24"/>
                <w:shd w:val="clear" w:color="auto" w:fill="auto"/>
                <w:lang w:val="en-US" w:eastAsia="zh-CN" w:bidi="ar-SA"/>
              </w:rPr>
              <w:t>项目</w:t>
            </w:r>
            <w:r>
              <w:rPr>
                <w:rFonts w:hint="eastAsia" w:cs="Times New Roman"/>
                <w:bCs/>
                <w:color w:val="auto"/>
                <w:kern w:val="2"/>
                <w:sz w:val="24"/>
                <w:szCs w:val="24"/>
                <w:shd w:val="clear" w:color="auto" w:fill="auto"/>
                <w:lang w:val="en-US" w:eastAsia="zh-CN" w:bidi="ar-SA"/>
              </w:rPr>
              <w:t>类别</w:t>
            </w:r>
            <w:r>
              <w:rPr>
                <w:rFonts w:hint="eastAsia" w:ascii="Times New Roman" w:hAnsi="Times New Roman" w:eastAsia="宋体" w:cs="Times New Roman"/>
                <w:bCs/>
                <w:color w:val="auto"/>
                <w:kern w:val="2"/>
                <w:sz w:val="24"/>
                <w:szCs w:val="24"/>
                <w:shd w:val="clear" w:color="auto" w:fill="auto"/>
                <w:lang w:val="en-US" w:eastAsia="zh-CN" w:bidi="ar-SA"/>
              </w:rPr>
              <w:t>为</w:t>
            </w:r>
            <w:r>
              <w:rPr>
                <w:rFonts w:hint="default" w:ascii="Times New Roman" w:hAnsi="Times New Roman" w:eastAsia="宋体" w:cs="Times New Roman"/>
                <w:bCs/>
                <w:color w:val="auto"/>
                <w:kern w:val="2"/>
                <w:sz w:val="24"/>
                <w:szCs w:val="24"/>
                <w:shd w:val="clear" w:color="auto" w:fill="auto"/>
                <w:lang w:val="en-US" w:eastAsia="zh-CN" w:bidi="ar-SA"/>
              </w:rPr>
              <w:t>“</w:t>
            </w:r>
            <w:r>
              <w:rPr>
                <w:rFonts w:hint="eastAsia" w:cs="Times New Roman"/>
                <w:bCs/>
                <w:color w:val="auto"/>
                <w:kern w:val="2"/>
                <w:sz w:val="24"/>
                <w:szCs w:val="24"/>
                <w:shd w:val="clear" w:color="auto" w:fill="auto"/>
                <w:lang w:val="en-US" w:eastAsia="zh-CN" w:bidi="ar-SA"/>
              </w:rPr>
              <w:t>70</w:t>
            </w:r>
            <w:r>
              <w:rPr>
                <w:rFonts w:hint="eastAsia" w:ascii="Times New Roman" w:hAnsi="Times New Roman" w:eastAsia="宋体" w:cs="Times New Roman"/>
                <w:bCs/>
                <w:color w:val="auto"/>
                <w:kern w:val="2"/>
                <w:sz w:val="24"/>
                <w:szCs w:val="24"/>
                <w:shd w:val="clear" w:color="auto" w:fill="auto"/>
                <w:lang w:val="en-US" w:eastAsia="zh-CN" w:bidi="ar-SA"/>
              </w:rPr>
              <w:t>、</w:t>
            </w:r>
            <w:r>
              <w:rPr>
                <w:rFonts w:hint="eastAsia" w:cs="Times New Roman"/>
                <w:bCs/>
                <w:color w:val="auto"/>
                <w:kern w:val="2"/>
                <w:sz w:val="24"/>
                <w:szCs w:val="24"/>
                <w:shd w:val="clear" w:color="auto" w:fill="auto"/>
                <w:lang w:val="en-US" w:eastAsia="zh-CN" w:bidi="ar-SA"/>
              </w:rPr>
              <w:t>防水建筑材料制造</w:t>
            </w:r>
            <w:r>
              <w:rPr>
                <w:rFonts w:hint="eastAsia" w:ascii="Times New Roman" w:hAnsi="Times New Roman" w:eastAsia="宋体" w:cs="Times New Roman"/>
                <w:bCs/>
                <w:color w:val="auto"/>
                <w:kern w:val="2"/>
                <w:sz w:val="24"/>
                <w:szCs w:val="24"/>
                <w:shd w:val="clear" w:color="auto" w:fill="auto"/>
                <w:lang w:val="en-US" w:eastAsia="zh-CN" w:bidi="ar-SA"/>
              </w:rPr>
              <w:t>、</w:t>
            </w:r>
            <w:r>
              <w:rPr>
                <w:rFonts w:hint="eastAsia" w:cs="Times New Roman"/>
                <w:bCs/>
                <w:color w:val="auto"/>
                <w:kern w:val="2"/>
                <w:sz w:val="24"/>
                <w:szCs w:val="24"/>
                <w:shd w:val="clear" w:color="auto" w:fill="auto"/>
                <w:lang w:val="en-US" w:eastAsia="zh-CN" w:bidi="ar-SA"/>
              </w:rPr>
              <w:t>沥青搅拌站</w:t>
            </w:r>
            <w:r>
              <w:rPr>
                <w:rFonts w:hint="default" w:ascii="Times New Roman" w:hAnsi="Times New Roman" w:eastAsia="宋体" w:cs="Times New Roman"/>
                <w:bCs/>
                <w:color w:val="auto"/>
                <w:kern w:val="2"/>
                <w:sz w:val="24"/>
                <w:szCs w:val="24"/>
                <w:shd w:val="clear" w:color="auto" w:fill="auto"/>
                <w:lang w:val="en-US" w:eastAsia="zh-CN" w:bidi="ar-SA"/>
              </w:rPr>
              <w:t>”</w:t>
            </w:r>
            <w:r>
              <w:rPr>
                <w:rFonts w:hint="eastAsia" w:ascii="Times New Roman" w:hAnsi="Times New Roman" w:eastAsia="宋体" w:cs="Times New Roman"/>
                <w:bCs/>
                <w:color w:val="auto"/>
                <w:kern w:val="2"/>
                <w:sz w:val="24"/>
                <w:szCs w:val="24"/>
                <w:shd w:val="clear" w:color="auto" w:fill="auto"/>
                <w:lang w:val="en-US" w:eastAsia="zh-CN" w:bidi="ar-SA"/>
              </w:rPr>
              <w:t>建设项目</w:t>
            </w:r>
            <w:r>
              <w:rPr>
                <w:rFonts w:hint="default" w:ascii="Times New Roman" w:hAnsi="Times New Roman" w:eastAsia="宋体" w:cs="Times New Roman"/>
                <w:bCs/>
                <w:color w:val="auto"/>
                <w:kern w:val="2"/>
                <w:sz w:val="24"/>
                <w:szCs w:val="24"/>
                <w:shd w:val="clear" w:color="auto" w:fill="auto"/>
                <w:lang w:val="en-US" w:eastAsia="zh-CN" w:bidi="ar-SA"/>
              </w:rPr>
              <w:t>，本项目地下水环境影响评价类别为Ⅳ类</w:t>
            </w:r>
            <w:r>
              <w:rPr>
                <w:rFonts w:hint="eastAsia" w:ascii="Times New Roman" w:hAnsi="Times New Roman" w:eastAsia="宋体" w:cs="Times New Roman"/>
                <w:bCs/>
                <w:color w:val="auto"/>
                <w:kern w:val="2"/>
                <w:sz w:val="24"/>
                <w:szCs w:val="24"/>
                <w:shd w:val="clear" w:color="auto" w:fill="auto"/>
                <w:lang w:val="en-US" w:eastAsia="zh-CN" w:bidi="ar-SA"/>
              </w:rPr>
              <w:t>。</w:t>
            </w:r>
            <w:r>
              <w:rPr>
                <w:rFonts w:hint="default" w:ascii="Times New Roman" w:hAnsi="Times New Roman" w:eastAsia="宋体" w:cs="Times New Roman"/>
                <w:bCs/>
                <w:color w:val="auto"/>
                <w:kern w:val="2"/>
                <w:sz w:val="24"/>
                <w:szCs w:val="24"/>
                <w:shd w:val="clear" w:color="auto" w:fill="auto"/>
                <w:lang w:val="en-US" w:eastAsia="zh-CN" w:bidi="ar-SA"/>
              </w:rPr>
              <w:t>根据导则要求，不需要</w:t>
            </w:r>
            <w:r>
              <w:rPr>
                <w:rFonts w:hint="eastAsia" w:ascii="Times New Roman" w:hAnsi="Times New Roman" w:eastAsia="宋体" w:cs="Times New Roman"/>
                <w:bCs/>
                <w:color w:val="auto"/>
                <w:kern w:val="2"/>
                <w:sz w:val="24"/>
                <w:szCs w:val="24"/>
                <w:shd w:val="clear" w:color="auto" w:fill="auto"/>
                <w:lang w:val="en-US" w:eastAsia="zh-CN" w:bidi="ar-SA"/>
              </w:rPr>
              <w:t>开展</w:t>
            </w:r>
            <w:r>
              <w:rPr>
                <w:rFonts w:hint="default" w:ascii="Times New Roman" w:hAnsi="Times New Roman" w:eastAsia="宋体" w:cs="Times New Roman"/>
                <w:bCs/>
                <w:color w:val="auto"/>
                <w:kern w:val="2"/>
                <w:sz w:val="24"/>
                <w:szCs w:val="24"/>
                <w:shd w:val="clear" w:color="auto" w:fill="auto"/>
                <w:lang w:val="en-US" w:eastAsia="zh-CN" w:bidi="ar-SA"/>
              </w:rPr>
              <w:t>地下水评价工作。</w:t>
            </w:r>
          </w:p>
          <w:p w14:paraId="7E7C765F">
            <w:pPr>
              <w:pStyle w:val="6"/>
              <w:suppressLineNumbers w:val="0"/>
              <w:spacing w:before="0" w:beforeAutospacing="0" w:after="0" w:afterAutospacing="0"/>
              <w:ind w:left="0" w:right="0" w:firstLine="482" w:firstLineChars="200"/>
              <w:rPr>
                <w:rFonts w:hint="default"/>
                <w:color w:val="auto"/>
                <w:sz w:val="24"/>
                <w:szCs w:val="24"/>
                <w:shd w:val="clear" w:color="auto" w:fill="auto"/>
                <w:lang w:val="en-US" w:eastAsia="zh-CN"/>
              </w:rPr>
            </w:pPr>
            <w:r>
              <w:rPr>
                <w:rFonts w:hint="eastAsia"/>
                <w:color w:val="auto"/>
                <w:sz w:val="24"/>
                <w:szCs w:val="24"/>
                <w:shd w:val="clear" w:color="auto" w:fill="auto"/>
                <w:lang w:val="en-US" w:eastAsia="zh-CN"/>
              </w:rPr>
              <w:t>6、</w:t>
            </w:r>
            <w:r>
              <w:rPr>
                <w:rFonts w:hint="default"/>
                <w:color w:val="auto"/>
                <w:sz w:val="24"/>
                <w:szCs w:val="24"/>
                <w:shd w:val="clear" w:color="auto" w:fill="auto"/>
                <w:lang w:val="en-US" w:eastAsia="zh-CN"/>
              </w:rPr>
              <w:t>土壤环境质量现状</w:t>
            </w:r>
          </w:p>
          <w:p w14:paraId="2A4E5561">
            <w:pPr>
              <w:adjustRightInd w:val="0"/>
              <w:snapToGrid w:val="0"/>
              <w:spacing w:line="360" w:lineRule="auto"/>
              <w:ind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default" w:ascii="Times New Roman" w:hAnsi="Times New Roman" w:cs="Times New Roman"/>
                <w:color w:val="auto"/>
                <w:sz w:val="24"/>
                <w:szCs w:val="24"/>
                <w:shd w:val="clear" w:color="auto" w:fill="auto"/>
              </w:rPr>
              <w:t>根据《环境影响评价技术导则 土壤环境（试行）》（HJ 964-2018）规定的评价工作级别的划分原则和方法，按项目行业类别和环评类别判断，本项目</w:t>
            </w:r>
            <w:r>
              <w:rPr>
                <w:rFonts w:hint="eastAsia" w:cs="Times New Roman"/>
                <w:color w:val="auto"/>
                <w:sz w:val="24"/>
                <w:szCs w:val="24"/>
                <w:shd w:val="clear" w:color="auto" w:fill="auto"/>
                <w:lang w:eastAsia="zh-CN"/>
              </w:rPr>
              <w:t>土壤</w:t>
            </w:r>
            <w:r>
              <w:rPr>
                <w:rFonts w:hint="default" w:ascii="Times New Roman" w:hAnsi="Times New Roman" w:cs="Times New Roman"/>
                <w:color w:val="auto"/>
                <w:sz w:val="24"/>
                <w:szCs w:val="24"/>
                <w:shd w:val="clear" w:color="auto" w:fill="auto"/>
              </w:rPr>
              <w:t>环境影响评价类别为</w:t>
            </w:r>
            <w:r>
              <w:rPr>
                <w:rFonts w:hint="eastAsia" w:ascii="宋体" w:hAnsi="宋体" w:eastAsia="宋体" w:cs="宋体"/>
                <w:color w:val="auto"/>
                <w:sz w:val="24"/>
                <w:szCs w:val="24"/>
                <w:shd w:val="clear" w:color="auto" w:fill="auto"/>
              </w:rPr>
              <w:t>Ⅲ</w:t>
            </w:r>
            <w:r>
              <w:rPr>
                <w:rFonts w:hint="default" w:ascii="Times New Roman" w:hAnsi="Times New Roman" w:cs="Times New Roman"/>
                <w:color w:val="auto"/>
                <w:sz w:val="24"/>
                <w:szCs w:val="24"/>
                <w:shd w:val="clear" w:color="auto" w:fill="auto"/>
              </w:rPr>
              <w:t>类</w:t>
            </w:r>
            <w:r>
              <w:rPr>
                <w:rFonts w:hint="eastAsia" w:cs="Times New Roman"/>
                <w:color w:val="auto"/>
                <w:sz w:val="24"/>
                <w:szCs w:val="24"/>
                <w:shd w:val="clear" w:color="auto" w:fill="auto"/>
                <w:lang w:eastAsia="zh-CN"/>
              </w:rPr>
              <w:t>。</w:t>
            </w:r>
            <w:r>
              <w:rPr>
                <w:rFonts w:hint="eastAsia" w:ascii="Times New Roman" w:hAnsi="Times New Roman" w:eastAsia="宋体" w:cs="Times New Roman"/>
                <w:b w:val="0"/>
                <w:bCs w:val="0"/>
                <w:color w:val="auto"/>
                <w:kern w:val="2"/>
                <w:sz w:val="24"/>
                <w:szCs w:val="24"/>
                <w:lang w:val="en-US" w:eastAsia="zh-CN" w:bidi="ar-SA"/>
              </w:rPr>
              <w:t>结合《建设项目环境影响报告表编制技术指南（污染影响类）》中的相关规定——“土壤环境原则上不开展环境质量现状调查。建设项目存在土壤环境污染途径的，应结合污染源、保护目标分布情况开展现状调查以留作背景值”。该项目原则上不开展环境质量现状调查，因为该项目生产过程中污染物涉及石油类等污染因子，所以厂区土壤的监测值作为保留背景值。</w:t>
            </w:r>
          </w:p>
          <w:p w14:paraId="4E44D9D5">
            <w:pPr>
              <w:adjustRightInd w:val="0"/>
              <w:snapToGrid w:val="0"/>
              <w:spacing w:line="360" w:lineRule="auto"/>
              <w:ind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该项目土壤环境质量现状监测委托</w:t>
            </w:r>
            <w:r>
              <w:rPr>
                <w:rFonts w:hint="eastAsia" w:cs="Times New Roman"/>
                <w:color w:val="auto"/>
                <w:kern w:val="0"/>
                <w:sz w:val="24"/>
                <w:szCs w:val="24"/>
                <w:lang w:val="en-US" w:eastAsia="zh-CN" w:bidi="ar"/>
              </w:rPr>
              <w:t>江西志科</w:t>
            </w:r>
            <w:r>
              <w:rPr>
                <w:rFonts w:hint="default" w:ascii="Times New Roman" w:hAnsi="Times New Roman" w:eastAsia="宋体" w:cs="Times New Roman"/>
                <w:color w:val="auto"/>
                <w:kern w:val="0"/>
                <w:sz w:val="24"/>
                <w:szCs w:val="24"/>
                <w:lang w:val="en-US" w:eastAsia="zh-CN" w:bidi="ar"/>
              </w:rPr>
              <w:t>检测</w:t>
            </w:r>
            <w:r>
              <w:rPr>
                <w:rFonts w:hint="eastAsia" w:cs="Times New Roman"/>
                <w:color w:val="auto"/>
                <w:kern w:val="0"/>
                <w:sz w:val="24"/>
                <w:szCs w:val="24"/>
                <w:lang w:val="en-US" w:eastAsia="zh-CN" w:bidi="ar"/>
              </w:rPr>
              <w:t>技术</w:t>
            </w:r>
            <w:r>
              <w:rPr>
                <w:rFonts w:hint="default" w:ascii="Times New Roman" w:hAnsi="Times New Roman" w:eastAsia="宋体" w:cs="Times New Roman"/>
                <w:color w:val="auto"/>
                <w:kern w:val="0"/>
                <w:sz w:val="24"/>
                <w:szCs w:val="24"/>
                <w:lang w:val="en-US" w:eastAsia="zh-CN" w:bidi="ar"/>
              </w:rPr>
              <w:t>有限公司</w:t>
            </w:r>
            <w:r>
              <w:rPr>
                <w:rFonts w:hint="eastAsia" w:ascii="Times New Roman" w:hAnsi="Times New Roman" w:eastAsia="宋体" w:cs="Times New Roman"/>
                <w:b w:val="0"/>
                <w:bCs w:val="0"/>
                <w:color w:val="auto"/>
                <w:kern w:val="2"/>
                <w:sz w:val="24"/>
                <w:szCs w:val="24"/>
                <w:lang w:val="en-US" w:eastAsia="zh-CN" w:bidi="ar-SA"/>
              </w:rPr>
              <w:t>进行，监测时间为2023年</w:t>
            </w:r>
            <w:r>
              <w:rPr>
                <w:rFonts w:hint="eastAsia" w:cs="Times New Roman"/>
                <w:b w:val="0"/>
                <w:bCs w:val="0"/>
                <w:color w:val="auto"/>
                <w:kern w:val="2"/>
                <w:sz w:val="24"/>
                <w:szCs w:val="24"/>
                <w:lang w:val="en-US" w:eastAsia="zh-CN" w:bidi="ar-SA"/>
              </w:rPr>
              <w:t>11</w:t>
            </w:r>
            <w:r>
              <w:rPr>
                <w:rFonts w:hint="eastAsia" w:ascii="Times New Roman" w:hAnsi="Times New Roman" w:eastAsia="宋体" w:cs="Times New Roman"/>
                <w:b w:val="0"/>
                <w:bCs w:val="0"/>
                <w:color w:val="auto"/>
                <w:kern w:val="2"/>
                <w:sz w:val="24"/>
                <w:szCs w:val="24"/>
                <w:lang w:val="en-US" w:eastAsia="zh-CN" w:bidi="ar-SA"/>
              </w:rPr>
              <w:t>月2日，监测点位为拟建项目场地北侧柴油罐区（</w:t>
            </w:r>
            <w:r>
              <w:rPr>
                <w:rFonts w:hint="default" w:ascii="Times New Roman" w:hAnsi="Times New Roman" w:eastAsia="宋体" w:cs="Times New Roman"/>
                <w:b w:val="0"/>
                <w:bCs w:val="0"/>
                <w:color w:val="auto"/>
                <w:kern w:val="2"/>
                <w:sz w:val="24"/>
                <w:szCs w:val="24"/>
                <w:lang w:val="en-US" w:eastAsia="zh-CN" w:bidi="ar-SA"/>
              </w:rPr>
              <w:t>东经</w:t>
            </w:r>
            <w:r>
              <w:rPr>
                <w:rFonts w:hint="default" w:ascii="Times New Roman" w:hAnsi="Times New Roman" w:eastAsia="宋体" w:cs="Times New Roman"/>
                <w:b w:val="0"/>
                <w:bCs w:val="0"/>
                <w:color w:val="auto"/>
                <w:kern w:val="2"/>
                <w:sz w:val="24"/>
                <w:szCs w:val="24"/>
                <w:lang w:val="en-GB" w:eastAsia="zh-CN" w:bidi="ar-SA"/>
              </w:rPr>
              <w:t>98°26′36.35″</w:t>
            </w:r>
            <w:r>
              <w:rPr>
                <w:rFonts w:hint="default" w:ascii="Times New Roman" w:hAnsi="Times New Roman" w:eastAsia="宋体" w:cs="Times New Roman"/>
                <w:b w:val="0"/>
                <w:bCs w:val="0"/>
                <w:color w:val="auto"/>
                <w:kern w:val="2"/>
                <w:sz w:val="24"/>
                <w:szCs w:val="24"/>
                <w:lang w:val="en-US" w:eastAsia="zh-CN" w:bidi="ar-SA"/>
              </w:rPr>
              <w:t>，北纬</w:t>
            </w:r>
            <w:r>
              <w:rPr>
                <w:rFonts w:hint="default" w:ascii="Times New Roman" w:hAnsi="Times New Roman" w:eastAsia="宋体" w:cs="Times New Roman"/>
                <w:b w:val="0"/>
                <w:bCs w:val="0"/>
                <w:color w:val="auto"/>
                <w:kern w:val="2"/>
                <w:sz w:val="24"/>
                <w:szCs w:val="24"/>
                <w:lang w:val="en-GB" w:eastAsia="zh-CN" w:bidi="ar-SA"/>
              </w:rPr>
              <w:t>24°24′0.20″</w:t>
            </w:r>
            <w:r>
              <w:rPr>
                <w:rFonts w:hint="eastAsia" w:ascii="Times New Roman" w:hAnsi="Times New Roman" w:eastAsia="宋体" w:cs="Times New Roman"/>
                <w:b w:val="0"/>
                <w:bCs w:val="0"/>
                <w:color w:val="auto"/>
                <w:kern w:val="2"/>
                <w:sz w:val="24"/>
                <w:szCs w:val="24"/>
                <w:lang w:val="en-US" w:eastAsia="zh-CN" w:bidi="ar-SA"/>
              </w:rPr>
              <w:t>），采样深度0.2m，监测频次为1天1次，监测结果详见下表。</w:t>
            </w:r>
          </w:p>
          <w:p w14:paraId="3963F3E9">
            <w:pPr>
              <w:numPr>
                <w:ilvl w:val="0"/>
                <w:numId w:val="0"/>
              </w:numPr>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 xml:space="preserve">表3-5  土壤检测结果  </w:t>
            </w:r>
          </w:p>
          <w:tbl>
            <w:tblPr>
              <w:tblStyle w:val="51"/>
              <w:tblW w:w="78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
              <w:gridCol w:w="980"/>
              <w:gridCol w:w="736"/>
              <w:gridCol w:w="244"/>
              <w:gridCol w:w="980"/>
              <w:gridCol w:w="493"/>
              <w:gridCol w:w="487"/>
              <w:gridCol w:w="980"/>
              <w:gridCol w:w="1"/>
              <w:gridCol w:w="251"/>
              <w:gridCol w:w="729"/>
              <w:gridCol w:w="1"/>
              <w:gridCol w:w="988"/>
              <w:gridCol w:w="5"/>
            </w:tblGrid>
            <w:tr w14:paraId="7E70A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7859" w:type="dxa"/>
                  <w:gridSpan w:val="14"/>
                  <w:vAlign w:val="center"/>
                </w:tcPr>
                <w:p w14:paraId="3C0EEBA1">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项目场地北侧柴油罐区（</w:t>
                  </w:r>
                  <w:r>
                    <w:rPr>
                      <w:rFonts w:hint="default" w:ascii="Times New Roman" w:hAnsi="Times New Roman" w:eastAsia="宋体" w:cs="Times New Roman"/>
                      <w:b/>
                      <w:bCs/>
                      <w:color w:val="auto"/>
                      <w:spacing w:val="8"/>
                      <w:sz w:val="21"/>
                      <w:szCs w:val="21"/>
                    </w:rPr>
                    <w:t>0-</w:t>
                  </w:r>
                  <w:r>
                    <w:rPr>
                      <w:rFonts w:hint="default" w:ascii="Times New Roman" w:hAnsi="Times New Roman" w:eastAsia="宋体" w:cs="Times New Roman"/>
                      <w:b/>
                      <w:bCs/>
                      <w:color w:val="auto"/>
                      <w:spacing w:val="7"/>
                      <w:sz w:val="21"/>
                      <w:szCs w:val="21"/>
                    </w:rPr>
                    <w:t>0.2m</w:t>
                  </w:r>
                  <w:r>
                    <w:rPr>
                      <w:rFonts w:hint="default" w:ascii="Times New Roman" w:hAnsi="Times New Roman" w:eastAsia="宋体" w:cs="Times New Roman"/>
                      <w:color w:val="auto"/>
                      <w:spacing w:val="7"/>
                      <w:sz w:val="21"/>
                      <w:szCs w:val="21"/>
                      <w14:textOutline w14:w="3795" w14:cap="sq" w14:cmpd="sng">
                        <w14:solidFill>
                          <w14:srgbClr w14:val="000000"/>
                        </w14:solidFill>
                        <w14:prstDash w14:val="solid"/>
                        <w14:bevel/>
                      </w14:textOutline>
                    </w:rPr>
                    <w:t>）</w:t>
                  </w:r>
                </w:p>
              </w:tc>
            </w:tr>
            <w:tr w14:paraId="2E57E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169384FB">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检测项目</w:t>
                  </w:r>
                </w:p>
              </w:tc>
              <w:tc>
                <w:tcPr>
                  <w:tcW w:w="980" w:type="dxa"/>
                  <w:vAlign w:val="center"/>
                </w:tcPr>
                <w:p w14:paraId="2309F901">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14:textOutline w14:w="3795" w14:cap="sq" w14:cmpd="sng">
                        <w14:solidFill>
                          <w14:srgbClr w14:val="000000"/>
                        </w14:solidFill>
                        <w14:prstDash w14:val="solid"/>
                        <w14:bevel/>
                      </w14:textOutline>
                    </w:rPr>
                    <w:t>砷</w:t>
                  </w:r>
                </w:p>
              </w:tc>
              <w:tc>
                <w:tcPr>
                  <w:tcW w:w="980" w:type="dxa"/>
                  <w:gridSpan w:val="2"/>
                  <w:vAlign w:val="center"/>
                </w:tcPr>
                <w:p w14:paraId="1EDB95D9">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14:textOutline w14:w="3795" w14:cap="sq" w14:cmpd="sng">
                        <w14:solidFill>
                          <w14:srgbClr w14:val="000000"/>
                        </w14:solidFill>
                        <w14:prstDash w14:val="solid"/>
                        <w14:bevel/>
                      </w14:textOutline>
                    </w:rPr>
                    <w:t>镉</w:t>
                  </w:r>
                </w:p>
              </w:tc>
              <w:tc>
                <w:tcPr>
                  <w:tcW w:w="980" w:type="dxa"/>
                  <w:vAlign w:val="center"/>
                </w:tcPr>
                <w:p w14:paraId="18BFCCF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14:textOutline w14:w="3795" w14:cap="sq" w14:cmpd="sng">
                        <w14:solidFill>
                          <w14:srgbClr w14:val="000000"/>
                        </w14:solidFill>
                        <w14:prstDash w14:val="solid"/>
                        <w14:bevel/>
                      </w14:textOutline>
                    </w:rPr>
                    <w:t>六价铬</w:t>
                  </w:r>
                </w:p>
              </w:tc>
              <w:tc>
                <w:tcPr>
                  <w:tcW w:w="980" w:type="dxa"/>
                  <w:gridSpan w:val="2"/>
                  <w:vAlign w:val="center"/>
                </w:tcPr>
                <w:p w14:paraId="206AD870">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铜</w:t>
                  </w:r>
                </w:p>
              </w:tc>
              <w:tc>
                <w:tcPr>
                  <w:tcW w:w="981" w:type="dxa"/>
                  <w:gridSpan w:val="2"/>
                  <w:vAlign w:val="center"/>
                </w:tcPr>
                <w:p w14:paraId="350745DD">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铅</w:t>
                  </w:r>
                </w:p>
              </w:tc>
              <w:tc>
                <w:tcPr>
                  <w:tcW w:w="981" w:type="dxa"/>
                  <w:gridSpan w:val="3"/>
                  <w:vAlign w:val="center"/>
                </w:tcPr>
                <w:p w14:paraId="64609CE3">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汞</w:t>
                  </w:r>
                </w:p>
              </w:tc>
              <w:tc>
                <w:tcPr>
                  <w:tcW w:w="993" w:type="dxa"/>
                  <w:gridSpan w:val="2"/>
                  <w:vAlign w:val="center"/>
                </w:tcPr>
                <w:p w14:paraId="7F10DDC6">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14:textOutline w14:w="3795" w14:cap="sq" w14:cmpd="sng">
                        <w14:solidFill>
                          <w14:srgbClr w14:val="000000"/>
                        </w14:solidFill>
                        <w14:prstDash w14:val="solid"/>
                        <w14:bevel/>
                      </w14:textOutline>
                    </w:rPr>
                    <w:t>镍</w:t>
                  </w:r>
                </w:p>
              </w:tc>
            </w:tr>
            <w:tr w14:paraId="05D7D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74EE5DB6">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检测结果</w:t>
                  </w:r>
                </w:p>
              </w:tc>
              <w:tc>
                <w:tcPr>
                  <w:tcW w:w="980" w:type="dxa"/>
                  <w:vAlign w:val="center"/>
                </w:tcPr>
                <w:p w14:paraId="35FC00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w:t>
                  </w:r>
                </w:p>
              </w:tc>
              <w:tc>
                <w:tcPr>
                  <w:tcW w:w="980" w:type="dxa"/>
                  <w:gridSpan w:val="2"/>
                  <w:vAlign w:val="center"/>
                </w:tcPr>
                <w:p w14:paraId="1E6CCB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980" w:type="dxa"/>
                  <w:vAlign w:val="center"/>
                </w:tcPr>
                <w:p w14:paraId="4E477DF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21F006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lang w:val="en-US" w:eastAsia="zh-CN"/>
                    </w:rPr>
                    <w:t>21</w:t>
                  </w:r>
                </w:p>
              </w:tc>
              <w:tc>
                <w:tcPr>
                  <w:tcW w:w="981" w:type="dxa"/>
                  <w:gridSpan w:val="2"/>
                  <w:vAlign w:val="center"/>
                </w:tcPr>
                <w:p w14:paraId="56757B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981" w:type="dxa"/>
                  <w:gridSpan w:val="3"/>
                  <w:vAlign w:val="center"/>
                </w:tcPr>
                <w:p w14:paraId="4CC6A2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0.129</w:t>
                  </w:r>
                </w:p>
              </w:tc>
              <w:tc>
                <w:tcPr>
                  <w:tcW w:w="993" w:type="dxa"/>
                  <w:gridSpan w:val="2"/>
                  <w:vAlign w:val="center"/>
                </w:tcPr>
                <w:p w14:paraId="709CB4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r>
            <w:tr w14:paraId="4C0F7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40099D97">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单位</w:t>
                  </w:r>
                </w:p>
              </w:tc>
              <w:tc>
                <w:tcPr>
                  <w:tcW w:w="980" w:type="dxa"/>
                  <w:vAlign w:val="center"/>
                </w:tcPr>
                <w:p w14:paraId="60AACC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309704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vAlign w:val="center"/>
                </w:tcPr>
                <w:p w14:paraId="7C944C1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005314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1" w:type="dxa"/>
                  <w:gridSpan w:val="2"/>
                  <w:vAlign w:val="center"/>
                </w:tcPr>
                <w:p w14:paraId="1B6E81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1" w:type="dxa"/>
                  <w:gridSpan w:val="3"/>
                  <w:vAlign w:val="center"/>
                </w:tcPr>
                <w:p w14:paraId="34D36F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93" w:type="dxa"/>
                  <w:gridSpan w:val="2"/>
                  <w:vAlign w:val="center"/>
                </w:tcPr>
                <w:p w14:paraId="7ABDB9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r>
            <w:tr w14:paraId="77D6A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4F3DB89D">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限值标准</w:t>
                  </w:r>
                </w:p>
              </w:tc>
              <w:tc>
                <w:tcPr>
                  <w:tcW w:w="980" w:type="dxa"/>
                  <w:vAlign w:val="center"/>
                </w:tcPr>
                <w:p w14:paraId="0D1A0C2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80" w:type="dxa"/>
                  <w:gridSpan w:val="2"/>
                  <w:vAlign w:val="center"/>
                </w:tcPr>
                <w:p w14:paraId="3C0F0A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980" w:type="dxa"/>
                  <w:vAlign w:val="center"/>
                </w:tcPr>
                <w:p w14:paraId="538BF3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980" w:type="dxa"/>
                  <w:gridSpan w:val="2"/>
                  <w:vAlign w:val="center"/>
                </w:tcPr>
                <w:p w14:paraId="30FB3D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981" w:type="dxa"/>
                  <w:gridSpan w:val="2"/>
                  <w:vAlign w:val="center"/>
                </w:tcPr>
                <w:p w14:paraId="15B634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981" w:type="dxa"/>
                  <w:gridSpan w:val="3"/>
                  <w:vAlign w:val="center"/>
                </w:tcPr>
                <w:p w14:paraId="7394BA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993" w:type="dxa"/>
                  <w:gridSpan w:val="2"/>
                  <w:vAlign w:val="center"/>
                </w:tcPr>
                <w:p w14:paraId="26A0F3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900</w:t>
                  </w:r>
                </w:p>
              </w:tc>
            </w:tr>
            <w:tr w14:paraId="0E418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84" w:type="dxa"/>
                  <w:vAlign w:val="center"/>
                </w:tcPr>
                <w:p w14:paraId="261DA8BC">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检测项目</w:t>
                  </w:r>
                </w:p>
              </w:tc>
              <w:tc>
                <w:tcPr>
                  <w:tcW w:w="980" w:type="dxa"/>
                  <w:vAlign w:val="center"/>
                </w:tcPr>
                <w:p w14:paraId="0A8CFB61">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14:textOutline w14:w="3795" w14:cap="sq" w14:cmpd="sng">
                        <w14:solidFill>
                          <w14:srgbClr w14:val="000000"/>
                        </w14:solidFill>
                        <w14:prstDash w14:val="solid"/>
                        <w14:bevel/>
                      </w14:textOutline>
                    </w:rPr>
                    <w:t>四氯化碳</w:t>
                  </w:r>
                </w:p>
              </w:tc>
              <w:tc>
                <w:tcPr>
                  <w:tcW w:w="980" w:type="dxa"/>
                  <w:gridSpan w:val="2"/>
                  <w:vAlign w:val="center"/>
                </w:tcPr>
                <w:p w14:paraId="18FC0D54">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14:textOutline w14:w="3795" w14:cap="sq" w14:cmpd="sng">
                        <w14:solidFill>
                          <w14:srgbClr w14:val="000000"/>
                        </w14:solidFill>
                        <w14:prstDash w14:val="solid"/>
                        <w14:bevel/>
                      </w14:textOutline>
                    </w:rPr>
                    <w:t>氯仿</w:t>
                  </w:r>
                </w:p>
              </w:tc>
              <w:tc>
                <w:tcPr>
                  <w:tcW w:w="980" w:type="dxa"/>
                  <w:vAlign w:val="center"/>
                </w:tcPr>
                <w:p w14:paraId="478B6A7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14:textOutline w14:w="3795" w14:cap="sq" w14:cmpd="sng">
                        <w14:solidFill>
                          <w14:srgbClr w14:val="000000"/>
                        </w14:solidFill>
                        <w14:prstDash w14:val="solid"/>
                        <w14:bevel/>
                      </w14:textOutline>
                    </w:rPr>
                    <w:t>氯甲烷</w:t>
                  </w:r>
                </w:p>
              </w:tc>
              <w:tc>
                <w:tcPr>
                  <w:tcW w:w="980" w:type="dxa"/>
                  <w:gridSpan w:val="2"/>
                  <w:vAlign w:val="center"/>
                </w:tcPr>
                <w:p w14:paraId="72ECDE11">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1,1-</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二氯乙烷</w:t>
                  </w:r>
                </w:p>
              </w:tc>
              <w:tc>
                <w:tcPr>
                  <w:tcW w:w="981" w:type="dxa"/>
                  <w:gridSpan w:val="2"/>
                  <w:vAlign w:val="center"/>
                </w:tcPr>
                <w:p w14:paraId="4F6F1F3C">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1,2-</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二氯乙烷</w:t>
                  </w:r>
                </w:p>
              </w:tc>
              <w:tc>
                <w:tcPr>
                  <w:tcW w:w="981" w:type="dxa"/>
                  <w:gridSpan w:val="3"/>
                  <w:vAlign w:val="center"/>
                </w:tcPr>
                <w:p w14:paraId="57073CDA">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1,1-</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二氯乙烯</w:t>
                  </w:r>
                </w:p>
              </w:tc>
              <w:tc>
                <w:tcPr>
                  <w:tcW w:w="993" w:type="dxa"/>
                  <w:gridSpan w:val="2"/>
                  <w:vAlign w:val="center"/>
                </w:tcPr>
                <w:p w14:paraId="34607E73">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顺</w:t>
                  </w:r>
                  <w:r>
                    <w:rPr>
                      <w:rFonts w:hint="default" w:ascii="Times New Roman" w:hAnsi="Times New Roman" w:eastAsia="宋体" w:cs="Times New Roman"/>
                      <w:b/>
                      <w:bCs/>
                      <w:color w:val="auto"/>
                      <w:spacing w:val="5"/>
                      <w:sz w:val="21"/>
                      <w:szCs w:val="21"/>
                    </w:rPr>
                    <w:t>-1,2-</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二氯</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乙烯</w:t>
                  </w:r>
                </w:p>
              </w:tc>
            </w:tr>
            <w:tr w14:paraId="1F9A9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66FF528F">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检测结果</w:t>
                  </w:r>
                </w:p>
              </w:tc>
              <w:tc>
                <w:tcPr>
                  <w:tcW w:w="980" w:type="dxa"/>
                  <w:vAlign w:val="center"/>
                </w:tcPr>
                <w:p w14:paraId="0EED13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25B5B4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vAlign w:val="center"/>
                </w:tcPr>
                <w:p w14:paraId="60EF9B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1CC484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1" w:type="dxa"/>
                  <w:gridSpan w:val="2"/>
                  <w:vAlign w:val="center"/>
                </w:tcPr>
                <w:p w14:paraId="32DD75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1" w:type="dxa"/>
                  <w:gridSpan w:val="3"/>
                  <w:vAlign w:val="center"/>
                </w:tcPr>
                <w:p w14:paraId="21A80C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93" w:type="dxa"/>
                  <w:gridSpan w:val="2"/>
                  <w:vAlign w:val="center"/>
                </w:tcPr>
                <w:p w14:paraId="00FDEA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r>
            <w:tr w14:paraId="5049A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3ADF8BB7">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单位</w:t>
                  </w:r>
                </w:p>
              </w:tc>
              <w:tc>
                <w:tcPr>
                  <w:tcW w:w="980" w:type="dxa"/>
                  <w:vAlign w:val="center"/>
                </w:tcPr>
                <w:p w14:paraId="60956D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06BF77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vAlign w:val="center"/>
                </w:tcPr>
                <w:p w14:paraId="43B79C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1DDDD4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1" w:type="dxa"/>
                  <w:gridSpan w:val="2"/>
                  <w:vAlign w:val="center"/>
                </w:tcPr>
                <w:p w14:paraId="594089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1" w:type="dxa"/>
                  <w:gridSpan w:val="3"/>
                  <w:vAlign w:val="center"/>
                </w:tcPr>
                <w:p w14:paraId="37CDFB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93" w:type="dxa"/>
                  <w:gridSpan w:val="2"/>
                  <w:vAlign w:val="center"/>
                </w:tcPr>
                <w:p w14:paraId="25E94D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r>
            <w:tr w14:paraId="7D236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5DD54081">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限值标准</w:t>
                  </w:r>
                </w:p>
              </w:tc>
              <w:tc>
                <w:tcPr>
                  <w:tcW w:w="980" w:type="dxa"/>
                  <w:vAlign w:val="center"/>
                </w:tcPr>
                <w:p w14:paraId="0E7BC3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2.8</w:t>
                  </w:r>
                </w:p>
              </w:tc>
              <w:tc>
                <w:tcPr>
                  <w:tcW w:w="980" w:type="dxa"/>
                  <w:gridSpan w:val="2"/>
                  <w:vAlign w:val="center"/>
                </w:tcPr>
                <w:p w14:paraId="4D2DCC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0.9</w:t>
                  </w:r>
                </w:p>
              </w:tc>
              <w:tc>
                <w:tcPr>
                  <w:tcW w:w="980" w:type="dxa"/>
                  <w:vAlign w:val="center"/>
                </w:tcPr>
                <w:p w14:paraId="6022D6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980" w:type="dxa"/>
                  <w:gridSpan w:val="2"/>
                  <w:vAlign w:val="center"/>
                </w:tcPr>
                <w:p w14:paraId="57AE14A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981" w:type="dxa"/>
                  <w:gridSpan w:val="2"/>
                  <w:vAlign w:val="center"/>
                </w:tcPr>
                <w:p w14:paraId="48CBCE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81" w:type="dxa"/>
                  <w:gridSpan w:val="3"/>
                  <w:vAlign w:val="center"/>
                </w:tcPr>
                <w:p w14:paraId="4A2E4E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993" w:type="dxa"/>
                  <w:gridSpan w:val="2"/>
                  <w:vAlign w:val="center"/>
                </w:tcPr>
                <w:p w14:paraId="3FB193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596</w:t>
                  </w:r>
                </w:p>
              </w:tc>
            </w:tr>
            <w:tr w14:paraId="5ADFD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84" w:type="dxa"/>
                  <w:vAlign w:val="center"/>
                </w:tcPr>
                <w:p w14:paraId="7ADFFD8B">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检测项目</w:t>
                  </w:r>
                </w:p>
              </w:tc>
              <w:tc>
                <w:tcPr>
                  <w:tcW w:w="980" w:type="dxa"/>
                  <w:vAlign w:val="center"/>
                </w:tcPr>
                <w:p w14:paraId="79009DCB">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反</w:t>
                  </w:r>
                  <w:r>
                    <w:rPr>
                      <w:rFonts w:hint="default" w:ascii="Times New Roman" w:hAnsi="Times New Roman" w:eastAsia="宋体" w:cs="Times New Roman"/>
                      <w:b/>
                      <w:bCs/>
                      <w:color w:val="auto"/>
                      <w:spacing w:val="5"/>
                      <w:sz w:val="21"/>
                      <w:szCs w:val="21"/>
                    </w:rPr>
                    <w:t>-1,2-</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二氯</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乙烯</w:t>
                  </w:r>
                </w:p>
              </w:tc>
              <w:tc>
                <w:tcPr>
                  <w:tcW w:w="980" w:type="dxa"/>
                  <w:gridSpan w:val="2"/>
                  <w:vAlign w:val="center"/>
                </w:tcPr>
                <w:p w14:paraId="2DF02768">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14:textOutline w14:w="3795" w14:cap="sq" w14:cmpd="sng">
                        <w14:solidFill>
                          <w14:srgbClr w14:val="000000"/>
                        </w14:solidFill>
                        <w14:prstDash w14:val="solid"/>
                        <w14:bevel/>
                      </w14:textOutline>
                    </w:rPr>
                    <w:t>二氯甲烷</w:t>
                  </w:r>
                </w:p>
              </w:tc>
              <w:tc>
                <w:tcPr>
                  <w:tcW w:w="980" w:type="dxa"/>
                  <w:vAlign w:val="center"/>
                </w:tcPr>
                <w:p w14:paraId="4A5639D1">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1,2-</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二氯丙烷</w:t>
                  </w:r>
                </w:p>
              </w:tc>
              <w:tc>
                <w:tcPr>
                  <w:tcW w:w="980" w:type="dxa"/>
                  <w:gridSpan w:val="2"/>
                  <w:vAlign w:val="center"/>
                </w:tcPr>
                <w:p w14:paraId="29BCC3A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1,1,1,2-</w:t>
                  </w:r>
                  <w:r>
                    <w:rPr>
                      <w:rFonts w:hint="default" w:ascii="Times New Roman" w:hAnsi="Times New Roman" w:eastAsia="宋体" w:cs="Times New Roman"/>
                      <w:b/>
                      <w:bCs/>
                      <w:color w:val="auto"/>
                      <w:spacing w:val="-14"/>
                      <w:sz w:val="21"/>
                      <w:szCs w:val="21"/>
                    </w:rPr>
                    <w:t xml:space="preserve"> </w:t>
                  </w: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四氯</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乙烷</w:t>
                  </w:r>
                </w:p>
              </w:tc>
              <w:tc>
                <w:tcPr>
                  <w:tcW w:w="981" w:type="dxa"/>
                  <w:gridSpan w:val="2"/>
                  <w:vAlign w:val="center"/>
                </w:tcPr>
                <w:p w14:paraId="3D7DC7B5">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1,1,2,2-</w:t>
                  </w:r>
                  <w:r>
                    <w:rPr>
                      <w:rFonts w:hint="default" w:ascii="Times New Roman" w:hAnsi="Times New Roman" w:eastAsia="宋体" w:cs="Times New Roman"/>
                      <w:b/>
                      <w:bCs/>
                      <w:color w:val="auto"/>
                      <w:spacing w:val="-16"/>
                      <w:sz w:val="21"/>
                      <w:szCs w:val="21"/>
                    </w:rPr>
                    <w:t xml:space="preserve"> </w:t>
                  </w: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四氯</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乙烷</w:t>
                  </w:r>
                </w:p>
              </w:tc>
              <w:tc>
                <w:tcPr>
                  <w:tcW w:w="981" w:type="dxa"/>
                  <w:gridSpan w:val="3"/>
                  <w:vAlign w:val="center"/>
                </w:tcPr>
                <w:p w14:paraId="544EB1EC">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14:textOutline w14:w="3795" w14:cap="sq" w14:cmpd="sng">
                        <w14:solidFill>
                          <w14:srgbClr w14:val="000000"/>
                        </w14:solidFill>
                        <w14:prstDash w14:val="solid"/>
                        <w14:bevel/>
                      </w14:textOutline>
                    </w:rPr>
                    <w:t>四氯乙烯</w:t>
                  </w:r>
                </w:p>
              </w:tc>
              <w:tc>
                <w:tcPr>
                  <w:tcW w:w="993" w:type="dxa"/>
                  <w:gridSpan w:val="2"/>
                  <w:vAlign w:val="center"/>
                </w:tcPr>
                <w:p w14:paraId="573362EC">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1,1,1-</w:t>
                  </w:r>
                  <w:r>
                    <w:rPr>
                      <w:rFonts w:hint="default" w:ascii="Times New Roman" w:hAnsi="Times New Roman" w:eastAsia="宋体" w:cs="Times New Roman"/>
                      <w:color w:val="auto"/>
                      <w:spacing w:val="4"/>
                      <w:sz w:val="21"/>
                      <w:szCs w:val="21"/>
                      <w14:textOutline w14:w="3795" w14:cap="sq" w14:cmpd="sng">
                        <w14:solidFill>
                          <w14:srgbClr w14:val="000000"/>
                        </w14:solidFill>
                        <w14:prstDash w14:val="solid"/>
                        <w14:bevel/>
                      </w14:textOutline>
                    </w:rPr>
                    <w:t>三氯乙</w:t>
                  </w: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烷</w:t>
                  </w:r>
                </w:p>
              </w:tc>
            </w:tr>
            <w:tr w14:paraId="7F570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984" w:type="dxa"/>
                  <w:vAlign w:val="center"/>
                </w:tcPr>
                <w:p w14:paraId="34229FF3">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检测结果</w:t>
                  </w:r>
                </w:p>
              </w:tc>
              <w:tc>
                <w:tcPr>
                  <w:tcW w:w="980" w:type="dxa"/>
                  <w:vAlign w:val="center"/>
                </w:tcPr>
                <w:p w14:paraId="69225A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78A724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vAlign w:val="center"/>
                </w:tcPr>
                <w:p w14:paraId="785989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550619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1" w:type="dxa"/>
                  <w:gridSpan w:val="2"/>
                  <w:vAlign w:val="center"/>
                </w:tcPr>
                <w:p w14:paraId="2EE97E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1" w:type="dxa"/>
                  <w:gridSpan w:val="3"/>
                  <w:vAlign w:val="center"/>
                </w:tcPr>
                <w:p w14:paraId="7BBBCD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93" w:type="dxa"/>
                  <w:gridSpan w:val="2"/>
                  <w:vAlign w:val="center"/>
                </w:tcPr>
                <w:p w14:paraId="48FCC1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r>
            <w:tr w14:paraId="758AA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227AFF78">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单位</w:t>
                  </w:r>
                </w:p>
              </w:tc>
              <w:tc>
                <w:tcPr>
                  <w:tcW w:w="980" w:type="dxa"/>
                  <w:vAlign w:val="center"/>
                </w:tcPr>
                <w:p w14:paraId="523CC9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44C7FC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vAlign w:val="center"/>
                </w:tcPr>
                <w:p w14:paraId="0DE711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52394C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1" w:type="dxa"/>
                  <w:gridSpan w:val="2"/>
                  <w:vAlign w:val="center"/>
                </w:tcPr>
                <w:p w14:paraId="13F6BA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1" w:type="dxa"/>
                  <w:gridSpan w:val="3"/>
                  <w:vAlign w:val="center"/>
                </w:tcPr>
                <w:p w14:paraId="3E875A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93" w:type="dxa"/>
                  <w:gridSpan w:val="2"/>
                  <w:vAlign w:val="center"/>
                </w:tcPr>
                <w:p w14:paraId="132242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r>
            <w:tr w14:paraId="3B1BF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1E0744C6">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限值标准</w:t>
                  </w:r>
                </w:p>
              </w:tc>
              <w:tc>
                <w:tcPr>
                  <w:tcW w:w="980" w:type="dxa"/>
                  <w:vAlign w:val="center"/>
                </w:tcPr>
                <w:p w14:paraId="662C1E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980" w:type="dxa"/>
                  <w:gridSpan w:val="2"/>
                  <w:vAlign w:val="center"/>
                </w:tcPr>
                <w:p w14:paraId="73D731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616</w:t>
                  </w:r>
                </w:p>
              </w:tc>
              <w:tc>
                <w:tcPr>
                  <w:tcW w:w="980" w:type="dxa"/>
                  <w:vAlign w:val="center"/>
                </w:tcPr>
                <w:p w14:paraId="506C22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80" w:type="dxa"/>
                  <w:gridSpan w:val="2"/>
                  <w:vAlign w:val="center"/>
                </w:tcPr>
                <w:p w14:paraId="3EECB2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10</w:t>
                  </w:r>
                </w:p>
              </w:tc>
              <w:tc>
                <w:tcPr>
                  <w:tcW w:w="981" w:type="dxa"/>
                  <w:gridSpan w:val="2"/>
                  <w:vAlign w:val="center"/>
                </w:tcPr>
                <w:p w14:paraId="641F69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6.8</w:t>
                  </w:r>
                </w:p>
              </w:tc>
              <w:tc>
                <w:tcPr>
                  <w:tcW w:w="981" w:type="dxa"/>
                  <w:gridSpan w:val="3"/>
                  <w:vAlign w:val="center"/>
                </w:tcPr>
                <w:p w14:paraId="3FD815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993" w:type="dxa"/>
                  <w:gridSpan w:val="2"/>
                  <w:vAlign w:val="center"/>
                </w:tcPr>
                <w:p w14:paraId="4CB0F7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r>
            <w:tr w14:paraId="5AB0A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84" w:type="dxa"/>
                  <w:vAlign w:val="center"/>
                </w:tcPr>
                <w:p w14:paraId="0CC0D47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检测项目</w:t>
                  </w:r>
                </w:p>
              </w:tc>
              <w:tc>
                <w:tcPr>
                  <w:tcW w:w="980" w:type="dxa"/>
                  <w:vAlign w:val="center"/>
                </w:tcPr>
                <w:p w14:paraId="1B7F4EF1">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1,1,2-</w:t>
                  </w:r>
                  <w:r>
                    <w:rPr>
                      <w:rFonts w:hint="default" w:ascii="Times New Roman" w:hAnsi="Times New Roman" w:eastAsia="宋体" w:cs="Times New Roman"/>
                      <w:color w:val="auto"/>
                      <w:spacing w:val="4"/>
                      <w:sz w:val="21"/>
                      <w:szCs w:val="21"/>
                      <w14:textOutline w14:w="3795" w14:cap="sq" w14:cmpd="sng">
                        <w14:solidFill>
                          <w14:srgbClr w14:val="000000"/>
                        </w14:solidFill>
                        <w14:prstDash w14:val="solid"/>
                        <w14:bevel/>
                      </w14:textOutline>
                    </w:rPr>
                    <w:t>三氯乙</w:t>
                  </w: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烷</w:t>
                  </w:r>
                </w:p>
              </w:tc>
              <w:tc>
                <w:tcPr>
                  <w:tcW w:w="980" w:type="dxa"/>
                  <w:gridSpan w:val="2"/>
                  <w:vAlign w:val="center"/>
                </w:tcPr>
                <w:p w14:paraId="3E9F8D09">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三氯乙烯</w:t>
                  </w:r>
                </w:p>
              </w:tc>
              <w:tc>
                <w:tcPr>
                  <w:tcW w:w="980" w:type="dxa"/>
                  <w:vAlign w:val="center"/>
                </w:tcPr>
                <w:p w14:paraId="4F6B6A94">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1,2,3-</w:t>
                  </w:r>
                  <w:r>
                    <w:rPr>
                      <w:rFonts w:hint="default" w:ascii="Times New Roman" w:hAnsi="Times New Roman" w:eastAsia="宋体" w:cs="Times New Roman"/>
                      <w:color w:val="auto"/>
                      <w:spacing w:val="4"/>
                      <w:sz w:val="21"/>
                      <w:szCs w:val="21"/>
                      <w14:textOutline w14:w="3795" w14:cap="sq" w14:cmpd="sng">
                        <w14:solidFill>
                          <w14:srgbClr w14:val="000000"/>
                        </w14:solidFill>
                        <w14:prstDash w14:val="solid"/>
                        <w14:bevel/>
                      </w14:textOutline>
                    </w:rPr>
                    <w:t>三氯丙</w:t>
                  </w: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烷</w:t>
                  </w:r>
                </w:p>
              </w:tc>
              <w:tc>
                <w:tcPr>
                  <w:tcW w:w="980" w:type="dxa"/>
                  <w:gridSpan w:val="2"/>
                  <w:vAlign w:val="center"/>
                </w:tcPr>
                <w:p w14:paraId="60C7F7EF">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14:textOutline w14:w="3795" w14:cap="sq" w14:cmpd="sng">
                        <w14:solidFill>
                          <w14:srgbClr w14:val="000000"/>
                        </w14:solidFill>
                        <w14:prstDash w14:val="solid"/>
                        <w14:bevel/>
                      </w14:textOutline>
                    </w:rPr>
                    <w:t>氯乙烯</w:t>
                  </w:r>
                </w:p>
              </w:tc>
              <w:tc>
                <w:tcPr>
                  <w:tcW w:w="981" w:type="dxa"/>
                  <w:gridSpan w:val="2"/>
                  <w:vAlign w:val="center"/>
                </w:tcPr>
                <w:p w14:paraId="01005500">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苯</w:t>
                  </w:r>
                </w:p>
              </w:tc>
              <w:tc>
                <w:tcPr>
                  <w:tcW w:w="981" w:type="dxa"/>
                  <w:gridSpan w:val="3"/>
                  <w:vAlign w:val="center"/>
                </w:tcPr>
                <w:p w14:paraId="72B0A4EA">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14:textOutline w14:w="3795" w14:cap="sq" w14:cmpd="sng">
                        <w14:solidFill>
                          <w14:srgbClr w14:val="000000"/>
                        </w14:solidFill>
                        <w14:prstDash w14:val="solid"/>
                        <w14:bevel/>
                      </w14:textOutline>
                    </w:rPr>
                    <w:t>氯苯</w:t>
                  </w:r>
                </w:p>
              </w:tc>
              <w:tc>
                <w:tcPr>
                  <w:tcW w:w="993" w:type="dxa"/>
                  <w:gridSpan w:val="2"/>
                  <w:vAlign w:val="center"/>
                </w:tcPr>
                <w:p w14:paraId="78B6BE3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1,2-</w:t>
                  </w:r>
                  <w:r>
                    <w:rPr>
                      <w:rFonts w:hint="default" w:ascii="Times New Roman" w:hAnsi="Times New Roman" w:eastAsia="宋体" w:cs="Times New Roman"/>
                      <w:color w:val="auto"/>
                      <w:spacing w:val="4"/>
                      <w:sz w:val="21"/>
                      <w:szCs w:val="21"/>
                      <w14:textOutline w14:w="3795" w14:cap="sq" w14:cmpd="sng">
                        <w14:solidFill>
                          <w14:srgbClr w14:val="000000"/>
                        </w14:solidFill>
                        <w14:prstDash w14:val="solid"/>
                        <w14:bevel/>
                      </w14:textOutline>
                    </w:rPr>
                    <w:t>二氯苯</w:t>
                  </w:r>
                </w:p>
              </w:tc>
            </w:tr>
            <w:tr w14:paraId="79129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45850F0C">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检测结果</w:t>
                  </w:r>
                </w:p>
              </w:tc>
              <w:tc>
                <w:tcPr>
                  <w:tcW w:w="980" w:type="dxa"/>
                  <w:vAlign w:val="center"/>
                </w:tcPr>
                <w:p w14:paraId="36A5CB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0A23EB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vAlign w:val="center"/>
                </w:tcPr>
                <w:p w14:paraId="12AED3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22C38D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1" w:type="dxa"/>
                  <w:gridSpan w:val="2"/>
                  <w:vAlign w:val="center"/>
                </w:tcPr>
                <w:p w14:paraId="3185B8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1" w:type="dxa"/>
                  <w:gridSpan w:val="3"/>
                  <w:vAlign w:val="center"/>
                </w:tcPr>
                <w:p w14:paraId="4B83D8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93" w:type="dxa"/>
                  <w:gridSpan w:val="2"/>
                  <w:vAlign w:val="center"/>
                </w:tcPr>
                <w:p w14:paraId="4FE0F7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r>
            <w:tr w14:paraId="17FB0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984" w:type="dxa"/>
                  <w:vAlign w:val="center"/>
                </w:tcPr>
                <w:p w14:paraId="771B6637">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单位</w:t>
                  </w:r>
                </w:p>
              </w:tc>
              <w:tc>
                <w:tcPr>
                  <w:tcW w:w="980" w:type="dxa"/>
                  <w:vAlign w:val="center"/>
                </w:tcPr>
                <w:p w14:paraId="17AB8B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7A5080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vAlign w:val="center"/>
                </w:tcPr>
                <w:p w14:paraId="41C229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27C46B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1" w:type="dxa"/>
                  <w:gridSpan w:val="2"/>
                  <w:vAlign w:val="center"/>
                </w:tcPr>
                <w:p w14:paraId="608ABD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1" w:type="dxa"/>
                  <w:gridSpan w:val="3"/>
                  <w:vAlign w:val="center"/>
                </w:tcPr>
                <w:p w14:paraId="3ED5FD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93" w:type="dxa"/>
                  <w:gridSpan w:val="2"/>
                  <w:vAlign w:val="center"/>
                </w:tcPr>
                <w:p w14:paraId="425DB3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r>
            <w:tr w14:paraId="79266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984" w:type="dxa"/>
                  <w:vAlign w:val="center"/>
                </w:tcPr>
                <w:p w14:paraId="7FA7285C">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限值标准</w:t>
                  </w:r>
                </w:p>
              </w:tc>
              <w:tc>
                <w:tcPr>
                  <w:tcW w:w="980" w:type="dxa"/>
                  <w:vAlign w:val="center"/>
                </w:tcPr>
                <w:p w14:paraId="114B370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2.8</w:t>
                  </w:r>
                </w:p>
              </w:tc>
              <w:tc>
                <w:tcPr>
                  <w:tcW w:w="980" w:type="dxa"/>
                  <w:gridSpan w:val="2"/>
                  <w:vAlign w:val="center"/>
                </w:tcPr>
                <w:p w14:paraId="205FF1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2.8</w:t>
                  </w:r>
                </w:p>
              </w:tc>
              <w:tc>
                <w:tcPr>
                  <w:tcW w:w="980" w:type="dxa"/>
                  <w:vAlign w:val="center"/>
                </w:tcPr>
                <w:p w14:paraId="647630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0.5</w:t>
                  </w:r>
                </w:p>
              </w:tc>
              <w:tc>
                <w:tcPr>
                  <w:tcW w:w="980" w:type="dxa"/>
                  <w:gridSpan w:val="2"/>
                  <w:vAlign w:val="center"/>
                </w:tcPr>
                <w:p w14:paraId="03BC1D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0.43</w:t>
                  </w:r>
                </w:p>
              </w:tc>
              <w:tc>
                <w:tcPr>
                  <w:tcW w:w="981" w:type="dxa"/>
                  <w:gridSpan w:val="2"/>
                  <w:vAlign w:val="center"/>
                </w:tcPr>
                <w:p w14:paraId="06F907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p>
              </w:tc>
              <w:tc>
                <w:tcPr>
                  <w:tcW w:w="981" w:type="dxa"/>
                  <w:gridSpan w:val="3"/>
                  <w:vAlign w:val="center"/>
                </w:tcPr>
                <w:p w14:paraId="4C9F8F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270</w:t>
                  </w:r>
                </w:p>
              </w:tc>
              <w:tc>
                <w:tcPr>
                  <w:tcW w:w="993" w:type="dxa"/>
                  <w:gridSpan w:val="2"/>
                  <w:vAlign w:val="center"/>
                </w:tcPr>
                <w:p w14:paraId="617A34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560</w:t>
                  </w:r>
                </w:p>
              </w:tc>
            </w:tr>
            <w:tr w14:paraId="33110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567" w:hRule="atLeast"/>
                <w:jc w:val="center"/>
              </w:trPr>
              <w:tc>
                <w:tcPr>
                  <w:tcW w:w="984" w:type="dxa"/>
                  <w:vAlign w:val="center"/>
                </w:tcPr>
                <w:p w14:paraId="0B0546FA">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检测项目</w:t>
                  </w:r>
                </w:p>
              </w:tc>
              <w:tc>
                <w:tcPr>
                  <w:tcW w:w="980" w:type="dxa"/>
                  <w:vAlign w:val="center"/>
                </w:tcPr>
                <w:p w14:paraId="456097E9">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4"/>
                      <w:sz w:val="21"/>
                      <w:szCs w:val="21"/>
                    </w:rPr>
                    <w:t>1,4-</w:t>
                  </w:r>
                  <w:r>
                    <w:rPr>
                      <w:rFonts w:hint="default" w:ascii="Times New Roman" w:hAnsi="Times New Roman" w:eastAsia="宋体" w:cs="Times New Roman"/>
                      <w:color w:val="auto"/>
                      <w:spacing w:val="4"/>
                      <w:sz w:val="21"/>
                      <w:szCs w:val="21"/>
                      <w14:textOutline w14:w="3795" w14:cap="sq" w14:cmpd="sng">
                        <w14:solidFill>
                          <w14:srgbClr w14:val="000000"/>
                        </w14:solidFill>
                        <w14:prstDash w14:val="solid"/>
                        <w14:bevel/>
                      </w14:textOutline>
                    </w:rPr>
                    <w:t>二氯苯</w:t>
                  </w:r>
                </w:p>
              </w:tc>
              <w:tc>
                <w:tcPr>
                  <w:tcW w:w="980" w:type="dxa"/>
                  <w:gridSpan w:val="2"/>
                  <w:vAlign w:val="center"/>
                </w:tcPr>
                <w:p w14:paraId="66C389F5">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乙苯</w:t>
                  </w:r>
                </w:p>
              </w:tc>
              <w:tc>
                <w:tcPr>
                  <w:tcW w:w="980" w:type="dxa"/>
                  <w:vAlign w:val="center"/>
                </w:tcPr>
                <w:p w14:paraId="54634D05">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14:textOutline w14:w="3795" w14:cap="sq" w14:cmpd="sng">
                        <w14:solidFill>
                          <w14:srgbClr w14:val="000000"/>
                        </w14:solidFill>
                        <w14:prstDash w14:val="solid"/>
                        <w14:bevel/>
                      </w14:textOutline>
                    </w:rPr>
                    <w:t>苯乙烯</w:t>
                  </w:r>
                </w:p>
              </w:tc>
              <w:tc>
                <w:tcPr>
                  <w:tcW w:w="980" w:type="dxa"/>
                  <w:gridSpan w:val="2"/>
                  <w:vAlign w:val="center"/>
                </w:tcPr>
                <w:p w14:paraId="21F3DF2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甲苯</w:t>
                  </w:r>
                </w:p>
              </w:tc>
              <w:tc>
                <w:tcPr>
                  <w:tcW w:w="980" w:type="dxa"/>
                  <w:vAlign w:val="center"/>
                </w:tcPr>
                <w:p w14:paraId="63843281">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间二甲苯</w:t>
                  </w:r>
                  <w:r>
                    <w:rPr>
                      <w:rFonts w:hint="default" w:ascii="Times New Roman" w:hAnsi="Times New Roman" w:eastAsia="宋体" w:cs="Times New Roman"/>
                      <w:b/>
                      <w:bCs/>
                      <w:color w:val="auto"/>
                      <w:spacing w:val="5"/>
                      <w:sz w:val="21"/>
                      <w:szCs w:val="21"/>
                    </w:rPr>
                    <w:t>+</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对</w:t>
                  </w:r>
                  <w:r>
                    <w:rPr>
                      <w:rFonts w:hint="default" w:ascii="Times New Roman" w:hAnsi="Times New Roman" w:eastAsia="宋体" w:cs="Times New Roman"/>
                      <w:color w:val="auto"/>
                      <w:spacing w:val="1"/>
                      <w:sz w:val="21"/>
                      <w:szCs w:val="21"/>
                    </w:rPr>
                    <w:t xml:space="preserve"> </w:t>
                  </w:r>
                  <w:r>
                    <w:rPr>
                      <w:rFonts w:hint="default" w:ascii="Times New Roman" w:hAnsi="Times New Roman" w:eastAsia="宋体" w:cs="Times New Roman"/>
                      <w:color w:val="auto"/>
                      <w:spacing w:val="6"/>
                      <w:sz w:val="21"/>
                      <w:szCs w:val="21"/>
                      <w14:textOutline w14:w="3795" w14:cap="sq" w14:cmpd="sng">
                        <w14:solidFill>
                          <w14:srgbClr w14:val="000000"/>
                        </w14:solidFill>
                        <w14:prstDash w14:val="solid"/>
                        <w14:bevel/>
                      </w14:textOutline>
                    </w:rPr>
                    <w:t>二甲苯</w:t>
                  </w:r>
                </w:p>
              </w:tc>
              <w:tc>
                <w:tcPr>
                  <w:tcW w:w="981" w:type="dxa"/>
                  <w:gridSpan w:val="3"/>
                  <w:vAlign w:val="center"/>
                </w:tcPr>
                <w:p w14:paraId="63CCDC8D">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邻二甲苯</w:t>
                  </w:r>
                </w:p>
              </w:tc>
              <w:tc>
                <w:tcPr>
                  <w:tcW w:w="989" w:type="dxa"/>
                  <w:gridSpan w:val="2"/>
                  <w:vAlign w:val="center"/>
                </w:tcPr>
                <w:p w14:paraId="701591C0">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14:textOutline w14:w="3795" w14:cap="sq" w14:cmpd="sng">
                        <w14:solidFill>
                          <w14:srgbClr w14:val="000000"/>
                        </w14:solidFill>
                        <w14:prstDash w14:val="solid"/>
                        <w14:bevel/>
                      </w14:textOutline>
                    </w:rPr>
                    <w:t>硝基苯</w:t>
                  </w:r>
                </w:p>
              </w:tc>
            </w:tr>
            <w:tr w14:paraId="36E72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1" w:hRule="atLeast"/>
                <w:jc w:val="center"/>
              </w:trPr>
              <w:tc>
                <w:tcPr>
                  <w:tcW w:w="984" w:type="dxa"/>
                  <w:vAlign w:val="center"/>
                </w:tcPr>
                <w:p w14:paraId="25C0DF4B">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检测结果</w:t>
                  </w:r>
                </w:p>
              </w:tc>
              <w:tc>
                <w:tcPr>
                  <w:tcW w:w="980" w:type="dxa"/>
                  <w:vAlign w:val="center"/>
                </w:tcPr>
                <w:p w14:paraId="2AA35DA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7FAC34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vAlign w:val="center"/>
                </w:tcPr>
                <w:p w14:paraId="1342E7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15C34E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vAlign w:val="center"/>
                </w:tcPr>
                <w:p w14:paraId="26FB41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1" w:type="dxa"/>
                  <w:gridSpan w:val="3"/>
                  <w:vAlign w:val="center"/>
                </w:tcPr>
                <w:p w14:paraId="4890767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9" w:type="dxa"/>
                  <w:gridSpan w:val="2"/>
                  <w:vAlign w:val="center"/>
                </w:tcPr>
                <w:p w14:paraId="684C19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r>
            <w:tr w14:paraId="5794E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0" w:hRule="atLeast"/>
                <w:jc w:val="center"/>
              </w:trPr>
              <w:tc>
                <w:tcPr>
                  <w:tcW w:w="984" w:type="dxa"/>
                  <w:vAlign w:val="center"/>
                </w:tcPr>
                <w:p w14:paraId="2408AA51">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单位</w:t>
                  </w:r>
                </w:p>
              </w:tc>
              <w:tc>
                <w:tcPr>
                  <w:tcW w:w="980" w:type="dxa"/>
                  <w:vAlign w:val="center"/>
                </w:tcPr>
                <w:p w14:paraId="6A55B4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22F80F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vAlign w:val="center"/>
                </w:tcPr>
                <w:p w14:paraId="0673FA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36079F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vAlign w:val="center"/>
                </w:tcPr>
                <w:p w14:paraId="6E6F45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1" w:type="dxa"/>
                  <w:gridSpan w:val="3"/>
                  <w:vAlign w:val="center"/>
                </w:tcPr>
                <w:p w14:paraId="3DDC20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9" w:type="dxa"/>
                  <w:gridSpan w:val="2"/>
                  <w:vAlign w:val="center"/>
                </w:tcPr>
                <w:p w14:paraId="1670DA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r>
            <w:tr w14:paraId="42D31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1" w:hRule="atLeast"/>
                <w:jc w:val="center"/>
              </w:trPr>
              <w:tc>
                <w:tcPr>
                  <w:tcW w:w="984" w:type="dxa"/>
                  <w:vAlign w:val="center"/>
                </w:tcPr>
                <w:p w14:paraId="4794A909">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限值标准</w:t>
                  </w:r>
                </w:p>
              </w:tc>
              <w:tc>
                <w:tcPr>
                  <w:tcW w:w="980" w:type="dxa"/>
                  <w:vAlign w:val="center"/>
                </w:tcPr>
                <w:p w14:paraId="249A37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20</w:t>
                  </w:r>
                </w:p>
              </w:tc>
              <w:tc>
                <w:tcPr>
                  <w:tcW w:w="980" w:type="dxa"/>
                  <w:gridSpan w:val="2"/>
                  <w:vAlign w:val="center"/>
                </w:tcPr>
                <w:p w14:paraId="336AD1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28</w:t>
                  </w:r>
                </w:p>
              </w:tc>
              <w:tc>
                <w:tcPr>
                  <w:tcW w:w="980" w:type="dxa"/>
                  <w:vAlign w:val="center"/>
                </w:tcPr>
                <w:p w14:paraId="5E7AE2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1290</w:t>
                  </w:r>
                </w:p>
              </w:tc>
              <w:tc>
                <w:tcPr>
                  <w:tcW w:w="980" w:type="dxa"/>
                  <w:gridSpan w:val="2"/>
                  <w:vAlign w:val="center"/>
                </w:tcPr>
                <w:p w14:paraId="4D5081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1200</w:t>
                  </w:r>
                </w:p>
              </w:tc>
              <w:tc>
                <w:tcPr>
                  <w:tcW w:w="980" w:type="dxa"/>
                  <w:vAlign w:val="center"/>
                </w:tcPr>
                <w:p w14:paraId="460703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570</w:t>
                  </w:r>
                </w:p>
              </w:tc>
              <w:tc>
                <w:tcPr>
                  <w:tcW w:w="981" w:type="dxa"/>
                  <w:gridSpan w:val="3"/>
                  <w:vAlign w:val="center"/>
                </w:tcPr>
                <w:p w14:paraId="1D5A6A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640</w:t>
                  </w:r>
                </w:p>
              </w:tc>
              <w:tc>
                <w:tcPr>
                  <w:tcW w:w="989" w:type="dxa"/>
                  <w:gridSpan w:val="2"/>
                  <w:vAlign w:val="center"/>
                </w:tcPr>
                <w:p w14:paraId="59E36A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76</w:t>
                  </w:r>
                </w:p>
              </w:tc>
            </w:tr>
            <w:tr w14:paraId="28B4A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0" w:hRule="atLeast"/>
                <w:jc w:val="center"/>
              </w:trPr>
              <w:tc>
                <w:tcPr>
                  <w:tcW w:w="984" w:type="dxa"/>
                  <w:vAlign w:val="center"/>
                </w:tcPr>
                <w:p w14:paraId="533D1683">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检测项目</w:t>
                  </w:r>
                </w:p>
              </w:tc>
              <w:tc>
                <w:tcPr>
                  <w:tcW w:w="980" w:type="dxa"/>
                  <w:vAlign w:val="center"/>
                </w:tcPr>
                <w:p w14:paraId="04EFB3CD">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14:textOutline w14:w="3795" w14:cap="sq" w14:cmpd="sng">
                        <w14:solidFill>
                          <w14:srgbClr w14:val="000000"/>
                        </w14:solidFill>
                        <w14:prstDash w14:val="solid"/>
                        <w14:bevel/>
                      </w14:textOutline>
                    </w:rPr>
                    <w:t>苯胺</w:t>
                  </w:r>
                </w:p>
              </w:tc>
              <w:tc>
                <w:tcPr>
                  <w:tcW w:w="980" w:type="dxa"/>
                  <w:gridSpan w:val="2"/>
                  <w:vAlign w:val="center"/>
                </w:tcPr>
                <w:p w14:paraId="0CE7B8B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pacing w:val="5"/>
                      <w:sz w:val="21"/>
                      <w:szCs w:val="21"/>
                    </w:rPr>
                    <w:t>2-</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氯酚</w:t>
                  </w:r>
                </w:p>
              </w:tc>
              <w:tc>
                <w:tcPr>
                  <w:tcW w:w="980" w:type="dxa"/>
                  <w:vAlign w:val="center"/>
                </w:tcPr>
                <w:p w14:paraId="4DCA4375">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苯并</w:t>
                  </w:r>
                  <w:r>
                    <w:rPr>
                      <w:rFonts w:hint="default" w:ascii="Times New Roman" w:hAnsi="Times New Roman" w:eastAsia="宋体" w:cs="Times New Roman"/>
                      <w:b/>
                      <w:bCs/>
                      <w:color w:val="auto"/>
                      <w:spacing w:val="5"/>
                      <w:sz w:val="21"/>
                      <w:szCs w:val="21"/>
                    </w:rPr>
                    <w:t>[a]</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蒽</w:t>
                  </w:r>
                </w:p>
              </w:tc>
              <w:tc>
                <w:tcPr>
                  <w:tcW w:w="980" w:type="dxa"/>
                  <w:gridSpan w:val="2"/>
                  <w:vAlign w:val="center"/>
                </w:tcPr>
                <w:p w14:paraId="030AA223">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苯并</w:t>
                  </w:r>
                  <w:r>
                    <w:rPr>
                      <w:rFonts w:hint="default" w:ascii="Times New Roman" w:hAnsi="Times New Roman" w:eastAsia="宋体" w:cs="Times New Roman"/>
                      <w:b/>
                      <w:bCs/>
                      <w:color w:val="auto"/>
                      <w:spacing w:val="5"/>
                      <w:sz w:val="21"/>
                      <w:szCs w:val="21"/>
                    </w:rPr>
                    <w:t>[a]</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芘</w:t>
                  </w:r>
                </w:p>
              </w:tc>
              <w:tc>
                <w:tcPr>
                  <w:tcW w:w="980" w:type="dxa"/>
                  <w:vAlign w:val="center"/>
                </w:tcPr>
                <w:p w14:paraId="475539B1">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14:textOutline w14:w="3795" w14:cap="sq" w14:cmpd="sng">
                        <w14:solidFill>
                          <w14:srgbClr w14:val="000000"/>
                        </w14:solidFill>
                        <w14:prstDash w14:val="solid"/>
                        <w14:bevel/>
                      </w14:textOutline>
                    </w:rPr>
                    <w:t>苯并</w:t>
                  </w:r>
                  <w:r>
                    <w:rPr>
                      <w:rFonts w:hint="default" w:ascii="Times New Roman" w:hAnsi="Times New Roman" w:eastAsia="宋体" w:cs="Times New Roman"/>
                      <w:b/>
                      <w:bCs/>
                      <w:color w:val="auto"/>
                      <w:spacing w:val="6"/>
                      <w:sz w:val="21"/>
                      <w:szCs w:val="21"/>
                    </w:rPr>
                    <w:t>[b]</w:t>
                  </w:r>
                  <w:r>
                    <w:rPr>
                      <w:rFonts w:hint="default" w:ascii="Times New Roman" w:hAnsi="Times New Roman" w:eastAsia="宋体" w:cs="Times New Roman"/>
                      <w:color w:val="auto"/>
                      <w:spacing w:val="6"/>
                      <w:sz w:val="21"/>
                      <w:szCs w:val="21"/>
                      <w14:textOutline w14:w="3795" w14:cap="sq" w14:cmpd="sng">
                        <w14:solidFill>
                          <w14:srgbClr w14:val="000000"/>
                        </w14:solidFill>
                        <w14:prstDash w14:val="solid"/>
                        <w14:bevel/>
                      </w14:textOutline>
                    </w:rPr>
                    <w:t>荧蒽</w:t>
                  </w:r>
                </w:p>
              </w:tc>
              <w:tc>
                <w:tcPr>
                  <w:tcW w:w="981" w:type="dxa"/>
                  <w:gridSpan w:val="3"/>
                  <w:vAlign w:val="center"/>
                </w:tcPr>
                <w:p w14:paraId="648CD9C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14:textOutline w14:w="3795" w14:cap="sq" w14:cmpd="sng">
                        <w14:solidFill>
                          <w14:srgbClr w14:val="000000"/>
                        </w14:solidFill>
                        <w14:prstDash w14:val="solid"/>
                        <w14:bevel/>
                      </w14:textOutline>
                    </w:rPr>
                    <w:t>苯并</w:t>
                  </w:r>
                  <w:r>
                    <w:rPr>
                      <w:rFonts w:hint="default" w:ascii="Times New Roman" w:hAnsi="Times New Roman" w:eastAsia="宋体" w:cs="Times New Roman"/>
                      <w:b/>
                      <w:bCs/>
                      <w:color w:val="auto"/>
                      <w:spacing w:val="6"/>
                      <w:sz w:val="21"/>
                      <w:szCs w:val="21"/>
                    </w:rPr>
                    <w:t>[k]</w:t>
                  </w:r>
                  <w:r>
                    <w:rPr>
                      <w:rFonts w:hint="default" w:ascii="Times New Roman" w:hAnsi="Times New Roman" w:eastAsia="宋体" w:cs="Times New Roman"/>
                      <w:color w:val="auto"/>
                      <w:spacing w:val="6"/>
                      <w:sz w:val="21"/>
                      <w:szCs w:val="21"/>
                      <w14:textOutline w14:w="3795" w14:cap="sq" w14:cmpd="sng">
                        <w14:solidFill>
                          <w14:srgbClr w14:val="000000"/>
                        </w14:solidFill>
                        <w14:prstDash w14:val="solid"/>
                        <w14:bevel/>
                      </w14:textOutline>
                    </w:rPr>
                    <w:t>荧蒽</w:t>
                  </w:r>
                </w:p>
              </w:tc>
              <w:tc>
                <w:tcPr>
                  <w:tcW w:w="989" w:type="dxa"/>
                  <w:gridSpan w:val="2"/>
                  <w:vAlign w:val="center"/>
                </w:tcPr>
                <w:p w14:paraId="37AADE14">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14:textOutline w14:w="3795" w14:cap="sq" w14:cmpd="sng">
                        <w14:solidFill>
                          <w14:srgbClr w14:val="000000"/>
                        </w14:solidFill>
                        <w14:prstDash w14:val="solid"/>
                        <w14:bevel/>
                      </w14:textOutline>
                    </w:rPr>
                    <w:t>䓛</w:t>
                  </w:r>
                </w:p>
              </w:tc>
            </w:tr>
            <w:tr w14:paraId="4B8E6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1" w:hRule="atLeast"/>
                <w:jc w:val="center"/>
              </w:trPr>
              <w:tc>
                <w:tcPr>
                  <w:tcW w:w="984" w:type="dxa"/>
                  <w:vAlign w:val="center"/>
                </w:tcPr>
                <w:p w14:paraId="2B7185A6">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检测结果</w:t>
                  </w:r>
                </w:p>
              </w:tc>
              <w:tc>
                <w:tcPr>
                  <w:tcW w:w="980" w:type="dxa"/>
                  <w:vAlign w:val="center"/>
                </w:tcPr>
                <w:p w14:paraId="602136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4269DE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vAlign w:val="center"/>
                </w:tcPr>
                <w:p w14:paraId="17112E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gridSpan w:val="2"/>
                  <w:vAlign w:val="center"/>
                </w:tcPr>
                <w:p w14:paraId="214128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0" w:type="dxa"/>
                  <w:vAlign w:val="center"/>
                </w:tcPr>
                <w:p w14:paraId="10CF4A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1" w:type="dxa"/>
                  <w:gridSpan w:val="3"/>
                  <w:vAlign w:val="center"/>
                </w:tcPr>
                <w:p w14:paraId="40AD46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989" w:type="dxa"/>
                  <w:gridSpan w:val="2"/>
                  <w:vAlign w:val="center"/>
                </w:tcPr>
                <w:p w14:paraId="2FF94D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r>
            <w:tr w14:paraId="58D6F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1" w:hRule="atLeast"/>
                <w:jc w:val="center"/>
              </w:trPr>
              <w:tc>
                <w:tcPr>
                  <w:tcW w:w="984" w:type="dxa"/>
                  <w:vAlign w:val="center"/>
                </w:tcPr>
                <w:p w14:paraId="107B13CC">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单位</w:t>
                  </w:r>
                </w:p>
              </w:tc>
              <w:tc>
                <w:tcPr>
                  <w:tcW w:w="980" w:type="dxa"/>
                  <w:vAlign w:val="center"/>
                </w:tcPr>
                <w:p w14:paraId="5CA744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66D6FE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vAlign w:val="center"/>
                </w:tcPr>
                <w:p w14:paraId="172D4A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gridSpan w:val="2"/>
                  <w:vAlign w:val="center"/>
                </w:tcPr>
                <w:p w14:paraId="3DDC208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0" w:type="dxa"/>
                  <w:vAlign w:val="center"/>
                </w:tcPr>
                <w:p w14:paraId="5C31F2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1" w:type="dxa"/>
                  <w:gridSpan w:val="3"/>
                  <w:vAlign w:val="center"/>
                </w:tcPr>
                <w:p w14:paraId="71DE17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989" w:type="dxa"/>
                  <w:gridSpan w:val="2"/>
                  <w:vAlign w:val="center"/>
                </w:tcPr>
                <w:p w14:paraId="36E1D3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r>
            <w:tr w14:paraId="4F024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0" w:hRule="atLeast"/>
                <w:jc w:val="center"/>
              </w:trPr>
              <w:tc>
                <w:tcPr>
                  <w:tcW w:w="984" w:type="dxa"/>
                  <w:vAlign w:val="center"/>
                </w:tcPr>
                <w:p w14:paraId="21FC618A">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限值标准</w:t>
                  </w:r>
                </w:p>
              </w:tc>
              <w:tc>
                <w:tcPr>
                  <w:tcW w:w="980" w:type="dxa"/>
                  <w:vAlign w:val="center"/>
                </w:tcPr>
                <w:p w14:paraId="0E0A5E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260</w:t>
                  </w:r>
                </w:p>
              </w:tc>
              <w:tc>
                <w:tcPr>
                  <w:tcW w:w="980" w:type="dxa"/>
                  <w:gridSpan w:val="2"/>
                  <w:vAlign w:val="center"/>
                </w:tcPr>
                <w:p w14:paraId="6E76F6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2256</w:t>
                  </w:r>
                </w:p>
              </w:tc>
              <w:tc>
                <w:tcPr>
                  <w:tcW w:w="980" w:type="dxa"/>
                  <w:vAlign w:val="center"/>
                </w:tcPr>
                <w:p w14:paraId="32A33C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c>
                <w:tcPr>
                  <w:tcW w:w="980" w:type="dxa"/>
                  <w:gridSpan w:val="2"/>
                  <w:vAlign w:val="center"/>
                </w:tcPr>
                <w:p w14:paraId="4CBE4C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1.5</w:t>
                  </w:r>
                </w:p>
              </w:tc>
              <w:tc>
                <w:tcPr>
                  <w:tcW w:w="980" w:type="dxa"/>
                  <w:vAlign w:val="center"/>
                </w:tcPr>
                <w:p w14:paraId="60CC41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c>
                <w:tcPr>
                  <w:tcW w:w="981" w:type="dxa"/>
                  <w:gridSpan w:val="3"/>
                  <w:vAlign w:val="center"/>
                </w:tcPr>
                <w:p w14:paraId="1F4BB2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151</w:t>
                  </w:r>
                </w:p>
              </w:tc>
              <w:tc>
                <w:tcPr>
                  <w:tcW w:w="989" w:type="dxa"/>
                  <w:gridSpan w:val="2"/>
                  <w:vAlign w:val="center"/>
                </w:tcPr>
                <w:p w14:paraId="38E0BD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1293</w:t>
                  </w:r>
                </w:p>
              </w:tc>
            </w:tr>
            <w:tr w14:paraId="74F8B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1" w:hRule="atLeast"/>
                <w:jc w:val="center"/>
              </w:trPr>
              <w:tc>
                <w:tcPr>
                  <w:tcW w:w="984" w:type="dxa"/>
                  <w:vAlign w:val="center"/>
                </w:tcPr>
                <w:p w14:paraId="0CAA2A70">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检测项目</w:t>
                  </w:r>
                </w:p>
              </w:tc>
              <w:tc>
                <w:tcPr>
                  <w:tcW w:w="1716" w:type="dxa"/>
                  <w:gridSpan w:val="2"/>
                  <w:vAlign w:val="center"/>
                </w:tcPr>
                <w:p w14:paraId="57C0B949">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二苯并</w:t>
                  </w:r>
                  <w:r>
                    <w:rPr>
                      <w:rFonts w:hint="default" w:ascii="Times New Roman" w:hAnsi="Times New Roman" w:eastAsia="宋体" w:cs="Times New Roman"/>
                      <w:b/>
                      <w:bCs/>
                      <w:color w:val="auto"/>
                      <w:spacing w:val="5"/>
                      <w:sz w:val="21"/>
                      <w:szCs w:val="21"/>
                    </w:rPr>
                    <w:t>[a,h]</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蒽</w:t>
                  </w:r>
                </w:p>
              </w:tc>
              <w:tc>
                <w:tcPr>
                  <w:tcW w:w="1717" w:type="dxa"/>
                  <w:gridSpan w:val="3"/>
                  <w:vAlign w:val="center"/>
                </w:tcPr>
                <w:p w14:paraId="12AE9842">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茚并</w:t>
                  </w:r>
                  <w:r>
                    <w:rPr>
                      <w:rFonts w:hint="default" w:ascii="Times New Roman" w:hAnsi="Times New Roman" w:eastAsia="宋体" w:cs="Times New Roman"/>
                      <w:b/>
                      <w:bCs/>
                      <w:color w:val="auto"/>
                      <w:spacing w:val="5"/>
                      <w:sz w:val="21"/>
                      <w:szCs w:val="21"/>
                    </w:rPr>
                    <w:t>[1,2,3-</w:t>
                  </w:r>
                  <w:r>
                    <w:rPr>
                      <w:rFonts w:hint="default" w:ascii="Times New Roman" w:hAnsi="Times New Roman" w:eastAsia="宋体" w:cs="Times New Roman"/>
                      <w:b/>
                      <w:bCs/>
                      <w:color w:val="auto"/>
                      <w:sz w:val="21"/>
                      <w:szCs w:val="21"/>
                    </w:rPr>
                    <w:t>cd</w:t>
                  </w:r>
                  <w:r>
                    <w:rPr>
                      <w:rFonts w:hint="default" w:ascii="Times New Roman" w:hAnsi="Times New Roman" w:eastAsia="宋体" w:cs="Times New Roman"/>
                      <w:b/>
                      <w:bCs/>
                      <w:color w:val="auto"/>
                      <w:spacing w:val="5"/>
                      <w:sz w:val="21"/>
                      <w:szCs w:val="21"/>
                    </w:rPr>
                    <w:t>]</w:t>
                  </w:r>
                  <w:r>
                    <w:rPr>
                      <w:rFonts w:hint="default" w:ascii="Times New Roman" w:hAnsi="Times New Roman" w:eastAsia="宋体" w:cs="Times New Roman"/>
                      <w:color w:val="auto"/>
                      <w:spacing w:val="5"/>
                      <w:sz w:val="21"/>
                      <w:szCs w:val="21"/>
                      <w14:textOutline w14:w="3795" w14:cap="sq" w14:cmpd="sng">
                        <w14:solidFill>
                          <w14:srgbClr w14:val="000000"/>
                        </w14:solidFill>
                        <w14:prstDash w14:val="solid"/>
                        <w14:bevel/>
                      </w14:textOutline>
                    </w:rPr>
                    <w:t>芘</w:t>
                  </w:r>
                </w:p>
              </w:tc>
              <w:tc>
                <w:tcPr>
                  <w:tcW w:w="1719" w:type="dxa"/>
                  <w:gridSpan w:val="4"/>
                  <w:vAlign w:val="center"/>
                </w:tcPr>
                <w:p w14:paraId="043A0778">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萘</w:t>
                  </w:r>
                </w:p>
              </w:tc>
              <w:tc>
                <w:tcPr>
                  <w:tcW w:w="1718" w:type="dxa"/>
                  <w:gridSpan w:val="3"/>
                  <w:vAlign w:val="center"/>
                </w:tcPr>
                <w:p w14:paraId="26A5BD60">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14:textOutline w14:w="3614" w14:cap="sq" w14:cmpd="sng">
                        <w14:solidFill>
                          <w14:srgbClr w14:val="000000"/>
                        </w14:solidFill>
                        <w14:prstDash w14:val="solid"/>
                        <w14:bevel/>
                      </w14:textOutline>
                    </w:rPr>
                    <w:t>石油烃(</w:t>
                  </w:r>
                  <w:r>
                    <w:rPr>
                      <w:rFonts w:hint="default" w:ascii="Times New Roman" w:hAnsi="Times New Roman" w:eastAsia="宋体" w:cs="Times New Roman"/>
                      <w:b/>
                      <w:bCs/>
                      <w:color w:val="auto"/>
                      <w:spacing w:val="7"/>
                      <w:sz w:val="21"/>
                      <w:szCs w:val="21"/>
                    </w:rPr>
                    <w:t>C10-C40</w:t>
                  </w:r>
                  <w:r>
                    <w:rPr>
                      <w:rFonts w:hint="default" w:ascii="Times New Roman" w:hAnsi="Times New Roman" w:eastAsia="宋体" w:cs="Times New Roman"/>
                      <w:color w:val="auto"/>
                      <w:spacing w:val="7"/>
                      <w:sz w:val="21"/>
                      <w:szCs w:val="21"/>
                      <w14:textOutline w14:w="3614" w14:cap="sq" w14:cmpd="sng">
                        <w14:solidFill>
                          <w14:srgbClr w14:val="000000"/>
                        </w14:solidFill>
                        <w14:prstDash w14:val="solid"/>
                        <w14:bevel/>
                      </w14:textOutline>
                    </w:rPr>
                    <w:t>)</w:t>
                  </w:r>
                </w:p>
              </w:tc>
            </w:tr>
            <w:tr w14:paraId="67969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1" w:hRule="atLeast"/>
                <w:jc w:val="center"/>
              </w:trPr>
              <w:tc>
                <w:tcPr>
                  <w:tcW w:w="984" w:type="dxa"/>
                  <w:vAlign w:val="center"/>
                </w:tcPr>
                <w:p w14:paraId="608B9010">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检测结果</w:t>
                  </w:r>
                </w:p>
              </w:tc>
              <w:tc>
                <w:tcPr>
                  <w:tcW w:w="1716" w:type="dxa"/>
                  <w:gridSpan w:val="2"/>
                  <w:vAlign w:val="center"/>
                </w:tcPr>
                <w:p w14:paraId="2624BE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1717" w:type="dxa"/>
                  <w:gridSpan w:val="3"/>
                  <w:vAlign w:val="center"/>
                </w:tcPr>
                <w:p w14:paraId="3393BC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1719" w:type="dxa"/>
                  <w:gridSpan w:val="4"/>
                  <w:vAlign w:val="center"/>
                </w:tcPr>
                <w:p w14:paraId="0E3AA4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ND</w:t>
                  </w:r>
                </w:p>
              </w:tc>
              <w:tc>
                <w:tcPr>
                  <w:tcW w:w="1718" w:type="dxa"/>
                  <w:gridSpan w:val="3"/>
                  <w:vAlign w:val="center"/>
                </w:tcPr>
                <w:p w14:paraId="2C0EE5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r>
            <w:tr w14:paraId="44B72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1" w:hRule="atLeast"/>
                <w:jc w:val="center"/>
              </w:trPr>
              <w:tc>
                <w:tcPr>
                  <w:tcW w:w="984" w:type="dxa"/>
                  <w:vAlign w:val="center"/>
                </w:tcPr>
                <w:p w14:paraId="39A21B2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单位</w:t>
                  </w:r>
                </w:p>
              </w:tc>
              <w:tc>
                <w:tcPr>
                  <w:tcW w:w="1716" w:type="dxa"/>
                  <w:gridSpan w:val="2"/>
                  <w:vAlign w:val="center"/>
                </w:tcPr>
                <w:p w14:paraId="27C407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1717" w:type="dxa"/>
                  <w:gridSpan w:val="3"/>
                  <w:vAlign w:val="center"/>
                </w:tcPr>
                <w:p w14:paraId="74816F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1719" w:type="dxa"/>
                  <w:gridSpan w:val="4"/>
                  <w:vAlign w:val="center"/>
                </w:tcPr>
                <w:p w14:paraId="27DC2B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c>
                <w:tcPr>
                  <w:tcW w:w="1718" w:type="dxa"/>
                  <w:gridSpan w:val="3"/>
                  <w:vAlign w:val="center"/>
                </w:tcPr>
                <w:p w14:paraId="5BC6C9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mg/kg</w:t>
                  </w:r>
                </w:p>
              </w:tc>
            </w:tr>
            <w:tr w14:paraId="52B20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431" w:hRule="atLeast"/>
                <w:jc w:val="center"/>
              </w:trPr>
              <w:tc>
                <w:tcPr>
                  <w:tcW w:w="984" w:type="dxa"/>
                  <w:vAlign w:val="center"/>
                </w:tcPr>
                <w:p w14:paraId="7A5F44F7">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限值标准</w:t>
                  </w:r>
                </w:p>
              </w:tc>
              <w:tc>
                <w:tcPr>
                  <w:tcW w:w="1716" w:type="dxa"/>
                  <w:gridSpan w:val="2"/>
                  <w:vAlign w:val="center"/>
                </w:tcPr>
                <w:p w14:paraId="0F15B4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1.5</w:t>
                  </w:r>
                </w:p>
              </w:tc>
              <w:tc>
                <w:tcPr>
                  <w:tcW w:w="1717" w:type="dxa"/>
                  <w:gridSpan w:val="3"/>
                  <w:vAlign w:val="center"/>
                </w:tcPr>
                <w:p w14:paraId="5703CC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15</w:t>
                  </w:r>
                </w:p>
              </w:tc>
              <w:tc>
                <w:tcPr>
                  <w:tcW w:w="1719" w:type="dxa"/>
                  <w:gridSpan w:val="4"/>
                  <w:vAlign w:val="center"/>
                </w:tcPr>
                <w:p w14:paraId="47A818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70</w:t>
                  </w:r>
                </w:p>
              </w:tc>
              <w:tc>
                <w:tcPr>
                  <w:tcW w:w="1718" w:type="dxa"/>
                  <w:gridSpan w:val="3"/>
                  <w:vAlign w:val="center"/>
                </w:tcPr>
                <w:p w14:paraId="603CA3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4500</w:t>
                  </w:r>
                </w:p>
              </w:tc>
            </w:tr>
            <w:tr w14:paraId="39370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856" w:hRule="atLeast"/>
                <w:jc w:val="center"/>
              </w:trPr>
              <w:tc>
                <w:tcPr>
                  <w:tcW w:w="7854" w:type="dxa"/>
                  <w:gridSpan w:val="13"/>
                  <w:vAlign w:val="center"/>
                </w:tcPr>
                <w:p w14:paraId="31100B19">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注：1.检测结果中“</w:t>
                  </w:r>
                  <w:r>
                    <w:rPr>
                      <w:rFonts w:hint="default" w:ascii="Times New Roman" w:hAnsi="Times New Roman" w:eastAsia="宋体" w:cs="Times New Roman"/>
                      <w:color w:val="auto"/>
                      <w:spacing w:val="8"/>
                      <w:sz w:val="21"/>
                      <w:szCs w:val="21"/>
                      <w:lang w:val="en-US" w:eastAsia="zh-CN"/>
                    </w:rPr>
                    <w:t>ND</w:t>
                  </w:r>
                  <w:r>
                    <w:rPr>
                      <w:rFonts w:hint="default" w:ascii="Times New Roman" w:hAnsi="Times New Roman" w:eastAsia="宋体" w:cs="Times New Roman"/>
                      <w:color w:val="auto"/>
                      <w:spacing w:val="8"/>
                      <w:sz w:val="21"/>
                      <w:szCs w:val="21"/>
                    </w:rPr>
                    <w:t>”表示检测结果低于检出限；2.</w:t>
                  </w:r>
                  <w:r>
                    <w:rPr>
                      <w:rFonts w:hint="default" w:ascii="Times New Roman" w:hAnsi="Times New Roman" w:eastAsia="宋体" w:cs="Times New Roman"/>
                      <w:color w:val="auto"/>
                      <w:spacing w:val="-23"/>
                      <w:sz w:val="21"/>
                      <w:szCs w:val="21"/>
                    </w:rPr>
                    <w:t xml:space="preserve"> </w:t>
                  </w:r>
                  <w:r>
                    <w:rPr>
                      <w:rFonts w:hint="default" w:ascii="Times New Roman" w:hAnsi="Times New Roman" w:eastAsia="宋体" w:cs="Times New Roman"/>
                      <w:color w:val="auto"/>
                      <w:spacing w:val="8"/>
                      <w:sz w:val="21"/>
                      <w:szCs w:val="21"/>
                    </w:rPr>
                    <w:t>限值标准参照《土壤环境质量 建设用地土壤污染风险管控标准（试行）》</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pacing w:val="8"/>
                      <w:sz w:val="21"/>
                      <w:szCs w:val="21"/>
                    </w:rPr>
                    <w:t xml:space="preserve"> 36600-2018第二类建</w:t>
                  </w:r>
                  <w:r>
                    <w:rPr>
                      <w:rFonts w:hint="default" w:ascii="Times New Roman" w:hAnsi="Times New Roman" w:eastAsia="宋体" w:cs="Times New Roman"/>
                      <w:color w:val="auto"/>
                      <w:spacing w:val="6"/>
                      <w:sz w:val="21"/>
                      <w:szCs w:val="21"/>
                    </w:rPr>
                    <w:t>设用地筛选值。</w:t>
                  </w:r>
                </w:p>
              </w:tc>
            </w:tr>
          </w:tbl>
          <w:p w14:paraId="32AFA810">
            <w:pPr>
              <w:pStyle w:val="65"/>
              <w:keepNext w:val="0"/>
              <w:keepLines w:val="0"/>
              <w:suppressLineNumbers w:val="0"/>
              <w:spacing w:before="0" w:beforeAutospacing="0" w:after="0" w:afterAutospacing="0"/>
              <w:ind w:left="0" w:right="0" w:firstLine="480"/>
              <w:rPr>
                <w:rFonts w:hint="default" w:eastAsia="宋体"/>
                <w:b/>
                <w:bCs/>
                <w:color w:val="auto"/>
                <w:highlight w:val="none"/>
                <w:lang w:val="en-US" w:eastAsia="zh-CN"/>
              </w:rPr>
            </w:pPr>
            <w:r>
              <w:rPr>
                <w:rFonts w:ascii="Times New Roman" w:hAnsi="Times New Roman"/>
                <w:color w:val="auto"/>
                <w:kern w:val="0"/>
                <w:szCs w:val="21"/>
              </w:rPr>
              <w:t>根据监测结果，项目区内土壤</w:t>
            </w:r>
            <w:r>
              <w:rPr>
                <w:rFonts w:hint="eastAsia" w:ascii="Times New Roman" w:hAnsi="Times New Roman"/>
                <w:color w:val="auto"/>
                <w:kern w:val="0"/>
                <w:szCs w:val="21"/>
                <w:lang w:val="en-US" w:eastAsia="zh-CN"/>
              </w:rPr>
              <w:t>各项检测指标均低于</w:t>
            </w:r>
            <w:r>
              <w:rPr>
                <w:rFonts w:ascii="Times New Roman" w:hAnsi="Times New Roman"/>
                <w:color w:val="auto"/>
                <w:kern w:val="0"/>
                <w:szCs w:val="21"/>
              </w:rPr>
              <w:t>《土壤环境质量 建设用地土壤污染风险管控标准（试行）》（GB36600-2018）第二类土壤标准的筛选值</w:t>
            </w:r>
            <w:r>
              <w:rPr>
                <w:rFonts w:hint="eastAsia" w:ascii="Times New Roman" w:hAnsi="Times New Roman"/>
                <w:color w:val="auto"/>
                <w:kern w:val="0"/>
                <w:szCs w:val="21"/>
                <w:lang w:eastAsia="zh-CN"/>
              </w:rPr>
              <w:t>，</w:t>
            </w:r>
            <w:r>
              <w:rPr>
                <w:rFonts w:hint="eastAsia" w:ascii="Times New Roman" w:hAnsi="Times New Roman"/>
                <w:color w:val="auto"/>
                <w:kern w:val="0"/>
                <w:szCs w:val="21"/>
                <w:lang w:val="en-US" w:eastAsia="zh-CN"/>
              </w:rPr>
              <w:t>土壤环境质量较好。</w:t>
            </w:r>
          </w:p>
        </w:tc>
      </w:tr>
      <w:tr w14:paraId="1277B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9" w:hRule="atLeast"/>
          <w:jc w:val="center"/>
        </w:trPr>
        <w:tc>
          <w:tcPr>
            <w:tcW w:w="432" w:type="dxa"/>
            <w:vAlign w:val="center"/>
          </w:tcPr>
          <w:p w14:paraId="34E46429">
            <w:pPr>
              <w:ind w:firstLine="0" w:firstLineChars="0"/>
              <w:rPr>
                <w:color w:val="auto"/>
                <w:highlight w:val="none"/>
              </w:rPr>
            </w:pPr>
            <w:r>
              <w:rPr>
                <w:rFonts w:hint="eastAsia"/>
                <w:color w:val="auto"/>
                <w:highlight w:val="none"/>
              </w:rPr>
              <w:t>环境保护目标</w:t>
            </w:r>
          </w:p>
        </w:tc>
        <w:tc>
          <w:tcPr>
            <w:tcW w:w="8090" w:type="dxa"/>
            <w:vAlign w:val="center"/>
          </w:tcPr>
          <w:p w14:paraId="3EC0745A">
            <w:pPr>
              <w:spacing w:line="360" w:lineRule="auto"/>
              <w:ind w:firstLine="482"/>
              <w:rPr>
                <w:color w:val="auto"/>
                <w:sz w:val="24"/>
              </w:rPr>
            </w:pPr>
            <w:r>
              <w:rPr>
                <w:rFonts w:hint="eastAsia"/>
                <w:color w:val="auto"/>
                <w:sz w:val="24"/>
              </w:rPr>
              <w:t>根据环办环评〔</w:t>
            </w:r>
            <w:r>
              <w:rPr>
                <w:color w:val="auto"/>
                <w:sz w:val="24"/>
              </w:rPr>
              <w:t>2020</w:t>
            </w:r>
            <w:r>
              <w:rPr>
                <w:rFonts w:hint="eastAsia"/>
                <w:color w:val="auto"/>
                <w:sz w:val="24"/>
              </w:rPr>
              <w:t>〕</w:t>
            </w:r>
            <w:r>
              <w:rPr>
                <w:color w:val="auto"/>
                <w:sz w:val="24"/>
              </w:rPr>
              <w:t>33</w:t>
            </w:r>
            <w:r>
              <w:rPr>
                <w:rFonts w:hint="eastAsia"/>
                <w:color w:val="auto"/>
                <w:sz w:val="24"/>
              </w:rPr>
              <w:t>号附件</w:t>
            </w:r>
            <w:r>
              <w:rPr>
                <w:color w:val="auto"/>
                <w:sz w:val="24"/>
              </w:rPr>
              <w:t>2</w:t>
            </w:r>
            <w:r>
              <w:rPr>
                <w:rFonts w:hint="eastAsia"/>
                <w:color w:val="auto"/>
                <w:sz w:val="24"/>
              </w:rPr>
              <w:t>《建设项目环境影响报告表编制技术指南（污染影响类）（试行）》，环境影响报告表环境保护目标设置范围如下：</w:t>
            </w:r>
          </w:p>
          <w:p w14:paraId="745FEBF1">
            <w:pPr>
              <w:numPr>
                <w:ilvl w:val="0"/>
                <w:numId w:val="5"/>
              </w:numPr>
              <w:adjustRightInd w:val="0"/>
              <w:snapToGrid w:val="0"/>
              <w:spacing w:line="360" w:lineRule="auto"/>
              <w:ind w:firstLine="480"/>
              <w:rPr>
                <w:rFonts w:hint="default" w:eastAsia="宋体"/>
                <w:color w:val="auto"/>
                <w:sz w:val="24"/>
                <w:lang w:val="en-US" w:eastAsia="zh-CN"/>
              </w:rPr>
            </w:pPr>
            <w:r>
              <w:rPr>
                <w:rFonts w:hint="eastAsia"/>
                <w:color w:val="auto"/>
                <w:sz w:val="24"/>
              </w:rPr>
              <w:t>大气环境：</w:t>
            </w:r>
            <w:r>
              <w:rPr>
                <w:rFonts w:hint="eastAsia"/>
                <w:color w:val="auto"/>
                <w:sz w:val="24"/>
                <w:lang w:val="en-US" w:eastAsia="zh-CN"/>
              </w:rPr>
              <w:t>根据</w:t>
            </w:r>
            <w:r>
              <w:rPr>
                <w:rFonts w:ascii="Times New Roman" w:hAnsi="Times New Roman"/>
                <w:color w:val="auto"/>
                <w:kern w:val="0"/>
                <w:szCs w:val="21"/>
              </w:rPr>
              <w:t>大气环境专项评价，大气环境评价范围以项目区场址为中心（坐标为：0，0；经纬度：</w:t>
            </w:r>
            <w:r>
              <w:rPr>
                <w:rFonts w:hint="eastAsia"/>
                <w:color w:val="auto"/>
                <w:highlight w:val="none"/>
                <w:lang w:val="en-US" w:eastAsia="zh-CN"/>
              </w:rPr>
              <w:t>东经98°26′36.841″</w:t>
            </w:r>
            <w:r>
              <w:rPr>
                <w:rFonts w:hint="eastAsia"/>
                <w:color w:val="auto"/>
                <w:highlight w:val="none"/>
                <w:lang w:eastAsia="zh-CN"/>
              </w:rPr>
              <w:t>，</w:t>
            </w:r>
            <w:r>
              <w:rPr>
                <w:rFonts w:hint="eastAsia"/>
                <w:color w:val="auto"/>
                <w:highlight w:val="none"/>
                <w:lang w:val="en-US" w:eastAsia="zh-CN"/>
              </w:rPr>
              <w:t>北纬：</w:t>
            </w:r>
            <w:r>
              <w:rPr>
                <w:rFonts w:hint="eastAsia"/>
                <w:color w:val="auto"/>
                <w:highlight w:val="none"/>
              </w:rPr>
              <w:t>24°23′57.41</w:t>
            </w:r>
            <w:r>
              <w:rPr>
                <w:rFonts w:hint="eastAsia"/>
                <w:color w:val="auto"/>
                <w:highlight w:val="none"/>
                <w:lang w:val="en-US" w:eastAsia="zh-CN"/>
              </w:rPr>
              <w:t>2</w:t>
            </w:r>
            <w:r>
              <w:rPr>
                <w:rFonts w:hint="eastAsia"/>
                <w:color w:val="auto"/>
                <w:highlight w:val="none"/>
              </w:rPr>
              <w:t>″</w:t>
            </w:r>
            <w:r>
              <w:rPr>
                <w:rFonts w:ascii="Times New Roman" w:hAnsi="Times New Roman"/>
                <w:color w:val="auto"/>
                <w:kern w:val="0"/>
                <w:szCs w:val="21"/>
              </w:rPr>
              <w:t>），边长为5km的矩形区域。</w:t>
            </w:r>
            <w:r>
              <w:rPr>
                <w:rFonts w:hint="eastAsia"/>
                <w:color w:val="auto"/>
                <w:sz w:val="24"/>
                <w:lang w:val="en-US" w:eastAsia="zh-CN"/>
              </w:rPr>
              <w:t>保护目标分布见表3-6。</w:t>
            </w:r>
          </w:p>
          <w:p w14:paraId="4B8860FA">
            <w:pPr>
              <w:spacing w:line="360" w:lineRule="auto"/>
              <w:ind w:firstLine="482"/>
              <w:rPr>
                <w:color w:val="auto"/>
                <w:sz w:val="24"/>
              </w:rPr>
            </w:pPr>
            <w:r>
              <w:rPr>
                <w:color w:val="auto"/>
                <w:sz w:val="24"/>
              </w:rPr>
              <w:t>2</w:t>
            </w:r>
            <w:r>
              <w:rPr>
                <w:rFonts w:hint="eastAsia"/>
                <w:color w:val="auto"/>
                <w:sz w:val="24"/>
              </w:rPr>
              <w:t>、声环境：主要设置5</w:t>
            </w:r>
            <w:r>
              <w:rPr>
                <w:color w:val="auto"/>
                <w:sz w:val="24"/>
              </w:rPr>
              <w:t>0</w:t>
            </w:r>
            <w:r>
              <w:rPr>
                <w:rFonts w:hint="eastAsia"/>
                <w:color w:val="auto"/>
                <w:sz w:val="24"/>
              </w:rPr>
              <w:t>m范围内的环境保护目标，项目厂界外</w:t>
            </w:r>
            <w:r>
              <w:rPr>
                <w:color w:val="auto"/>
                <w:sz w:val="24"/>
              </w:rPr>
              <w:t>50m</w:t>
            </w:r>
            <w:r>
              <w:rPr>
                <w:rFonts w:hint="eastAsia"/>
                <w:color w:val="auto"/>
                <w:sz w:val="24"/>
              </w:rPr>
              <w:t>范围内无声环境保护目标。</w:t>
            </w:r>
          </w:p>
          <w:p w14:paraId="75778AB3">
            <w:pPr>
              <w:spacing w:line="360" w:lineRule="auto"/>
              <w:ind w:firstLine="482"/>
              <w:rPr>
                <w:color w:val="auto"/>
                <w:sz w:val="24"/>
              </w:rPr>
            </w:pPr>
            <w:r>
              <w:rPr>
                <w:color w:val="auto"/>
                <w:sz w:val="24"/>
              </w:rPr>
              <w:t>3</w:t>
            </w:r>
            <w:r>
              <w:rPr>
                <w:rFonts w:hint="eastAsia"/>
                <w:color w:val="auto"/>
                <w:sz w:val="24"/>
              </w:rPr>
              <w:t>、地下水环境：项目厂界外</w:t>
            </w:r>
            <w:r>
              <w:rPr>
                <w:color w:val="auto"/>
                <w:sz w:val="24"/>
              </w:rPr>
              <w:t>500</w:t>
            </w:r>
            <w:r>
              <w:rPr>
                <w:rFonts w:hint="eastAsia"/>
                <w:color w:val="auto"/>
                <w:sz w:val="24"/>
              </w:rPr>
              <w:t>m范围内</w:t>
            </w:r>
            <w:r>
              <w:rPr>
                <w:rFonts w:hint="eastAsia"/>
                <w:color w:val="auto"/>
                <w:sz w:val="24"/>
                <w:lang w:val="en-US" w:eastAsia="zh-CN"/>
              </w:rPr>
              <w:t>及项目</w:t>
            </w:r>
            <w:r>
              <w:rPr>
                <w:rFonts w:hint="eastAsia"/>
                <w:color w:val="auto"/>
                <w:sz w:val="24"/>
              </w:rPr>
              <w:t>无地下水集中式饮用水水源和热水、矿泉水、温泉等特殊地下水资源，项目</w:t>
            </w:r>
            <w:r>
              <w:rPr>
                <w:rFonts w:hint="eastAsia"/>
                <w:color w:val="auto"/>
                <w:sz w:val="24"/>
                <w:lang w:val="en-US" w:eastAsia="zh-CN"/>
              </w:rPr>
              <w:t>主要</w:t>
            </w:r>
            <w:r>
              <w:rPr>
                <w:rFonts w:hint="eastAsia"/>
                <w:color w:val="auto"/>
                <w:sz w:val="24"/>
              </w:rPr>
              <w:t>地下水保护目标</w:t>
            </w:r>
            <w:r>
              <w:rPr>
                <w:rFonts w:hint="eastAsia"/>
                <w:color w:val="auto"/>
                <w:sz w:val="24"/>
                <w:lang w:val="en-US" w:eastAsia="zh-CN"/>
              </w:rPr>
              <w:t>为</w:t>
            </w:r>
            <w:r>
              <w:rPr>
                <w:rFonts w:hint="eastAsia" w:ascii="Times New Roman" w:hAnsi="Times New Roman" w:eastAsia="宋体" w:cs="Times New Roman"/>
                <w:color w:val="auto"/>
                <w:sz w:val="24"/>
              </w:rPr>
              <w:t>项目所</w:t>
            </w:r>
            <w:r>
              <w:rPr>
                <w:rFonts w:hint="eastAsia" w:ascii="Times New Roman" w:hAnsi="Times New Roman" w:eastAsia="宋体" w:cs="Times New Roman"/>
                <w:color w:val="auto"/>
                <w:sz w:val="24"/>
                <w:lang w:val="en-US" w:eastAsia="zh-CN"/>
              </w:rPr>
              <w:t>在地的</w:t>
            </w:r>
            <w:r>
              <w:rPr>
                <w:rFonts w:hint="eastAsia" w:ascii="Times New Roman" w:hAnsi="Times New Roman" w:eastAsia="宋体" w:cs="Times New Roman"/>
                <w:color w:val="auto"/>
                <w:sz w:val="24"/>
              </w:rPr>
              <w:t>潜水含水层。</w:t>
            </w:r>
          </w:p>
          <w:p w14:paraId="5BBFB16F">
            <w:pPr>
              <w:spacing w:line="360" w:lineRule="auto"/>
              <w:ind w:firstLine="482"/>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4、土壤环境：该项目</w:t>
            </w:r>
            <w:r>
              <w:rPr>
                <w:rFonts w:hint="eastAsia" w:ascii="Times New Roman" w:hAnsi="Times New Roman" w:eastAsia="宋体" w:cs="Times New Roman"/>
                <w:color w:val="auto"/>
                <w:sz w:val="24"/>
              </w:rPr>
              <w:t>土壤</w:t>
            </w:r>
            <w:r>
              <w:rPr>
                <w:rFonts w:hint="eastAsia" w:ascii="Times New Roman" w:hAnsi="Times New Roman" w:eastAsia="宋体" w:cs="Times New Roman"/>
                <w:color w:val="auto"/>
                <w:sz w:val="24"/>
                <w:lang w:val="en-US" w:eastAsia="zh-CN"/>
              </w:rPr>
              <w:t>可能受石油类泄露</w:t>
            </w:r>
            <w:r>
              <w:rPr>
                <w:rFonts w:hint="eastAsia" w:ascii="Times New Roman" w:hAnsi="Times New Roman" w:eastAsia="宋体" w:cs="Times New Roman"/>
                <w:color w:val="auto"/>
                <w:sz w:val="24"/>
              </w:rPr>
              <w:t>污染</w:t>
            </w:r>
            <w:r>
              <w:rPr>
                <w:rFonts w:hint="eastAsia" w:ascii="Times New Roman" w:hAnsi="Times New Roman" w:eastAsia="宋体" w:cs="Times New Roman"/>
                <w:color w:val="auto"/>
                <w:sz w:val="24"/>
                <w:lang w:val="en-US" w:eastAsia="zh-CN"/>
              </w:rPr>
              <w:t>，该项目设置的土壤保护目标为</w:t>
            </w:r>
            <w:r>
              <w:rPr>
                <w:rFonts w:hint="eastAsia"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厂区</w:t>
            </w:r>
            <w:r>
              <w:rPr>
                <w:rFonts w:hint="eastAsia" w:ascii="Times New Roman" w:hAnsi="Times New Roman" w:eastAsia="宋体" w:cs="Times New Roman"/>
                <w:color w:val="auto"/>
                <w:sz w:val="24"/>
              </w:rPr>
              <w:t>范围内</w:t>
            </w:r>
            <w:r>
              <w:rPr>
                <w:rFonts w:hint="eastAsia" w:ascii="Times New Roman" w:hAnsi="Times New Roman" w:eastAsia="宋体" w:cs="Times New Roman"/>
                <w:color w:val="auto"/>
                <w:sz w:val="24"/>
                <w:lang w:val="en-US" w:eastAsia="zh-CN"/>
              </w:rPr>
              <w:t>及周边可能受影响的土壤。</w:t>
            </w:r>
          </w:p>
          <w:p w14:paraId="0439C3DD">
            <w:pPr>
              <w:spacing w:line="360" w:lineRule="auto"/>
              <w:ind w:firstLine="482"/>
              <w:rPr>
                <w:rFonts w:hint="eastAsia"/>
                <w:color w:val="auto"/>
                <w:sz w:val="24"/>
              </w:rPr>
            </w:pPr>
            <w:r>
              <w:rPr>
                <w:rFonts w:hint="eastAsia"/>
                <w:color w:val="auto"/>
                <w:sz w:val="24"/>
                <w:lang w:val="en-US" w:eastAsia="zh-CN"/>
              </w:rPr>
              <w:t>5</w:t>
            </w:r>
            <w:r>
              <w:rPr>
                <w:rFonts w:hint="eastAsia"/>
                <w:color w:val="auto"/>
                <w:sz w:val="24"/>
              </w:rPr>
              <w:t>、地表水环境：</w:t>
            </w:r>
            <w:r>
              <w:rPr>
                <w:color w:val="auto"/>
                <w:sz w:val="24"/>
                <w:szCs w:val="28"/>
              </w:rPr>
              <w:t>根据（HJ2.3-2018）《环境影响评价技术导则地表水环境》，地表水环境保护目标为饮用水水源保护区、饮用水取水口，涉水的自然保护区、风景名胜区，重要湿地、重点保护与珍稀水生生物的栖息地、重要水生生物的自然产卵场及索饵场、越冬场和洄游通道，天然渔场等渔业水体，以及水产种质资源保护区等。本项目涉及</w:t>
            </w:r>
            <w:r>
              <w:rPr>
                <w:rFonts w:hint="eastAsia"/>
                <w:color w:val="auto"/>
                <w:sz w:val="24"/>
                <w:szCs w:val="28"/>
                <w:lang w:val="en-US" w:eastAsia="zh-CN"/>
              </w:rPr>
              <w:t>的</w:t>
            </w:r>
            <w:r>
              <w:rPr>
                <w:color w:val="auto"/>
                <w:sz w:val="24"/>
                <w:szCs w:val="28"/>
              </w:rPr>
              <w:t>地表水环境保护目标</w:t>
            </w:r>
            <w:r>
              <w:rPr>
                <w:rFonts w:hint="eastAsia"/>
                <w:color w:val="auto"/>
                <w:sz w:val="24"/>
                <w:szCs w:val="28"/>
                <w:lang w:val="en-US" w:eastAsia="zh-CN"/>
              </w:rPr>
              <w:t>主要是</w:t>
            </w:r>
            <w:r>
              <w:rPr>
                <w:rFonts w:hint="eastAsia" w:cs="Times New Roman"/>
                <w:color w:val="auto"/>
                <w:sz w:val="24"/>
                <w:szCs w:val="24"/>
                <w:lang w:val="en-US" w:eastAsia="zh-CN"/>
              </w:rPr>
              <w:t>芒市大河</w:t>
            </w:r>
            <w:r>
              <w:rPr>
                <w:color w:val="auto"/>
                <w:sz w:val="24"/>
                <w:szCs w:val="28"/>
              </w:rPr>
              <w:t>。</w:t>
            </w:r>
          </w:p>
          <w:p w14:paraId="3B0E1ED9">
            <w:pPr>
              <w:spacing w:line="360" w:lineRule="auto"/>
              <w:ind w:firstLine="482"/>
              <w:rPr>
                <w:rFonts w:hint="eastAsia" w:ascii="Times New Roman" w:hAnsi="Times New Roman" w:eastAsia="宋体" w:cs="Times New Roman"/>
                <w:color w:val="auto"/>
                <w:sz w:val="24"/>
              </w:rPr>
            </w:pPr>
            <w:r>
              <w:rPr>
                <w:rFonts w:hint="eastAsia"/>
                <w:color w:val="auto"/>
                <w:sz w:val="24"/>
                <w:lang w:val="en-US" w:eastAsia="zh-CN"/>
              </w:rPr>
              <w:t>6</w:t>
            </w:r>
            <w:r>
              <w:rPr>
                <w:rFonts w:hint="eastAsia"/>
                <w:color w:val="auto"/>
                <w:sz w:val="24"/>
              </w:rPr>
              <w:t>、生态环境：项目场地及周边</w:t>
            </w:r>
            <w:r>
              <w:rPr>
                <w:rFonts w:hint="eastAsia"/>
                <w:color w:val="auto"/>
                <w:sz w:val="24"/>
                <w:lang w:val="en-US" w:eastAsia="zh-CN"/>
              </w:rPr>
              <w:t>5</w:t>
            </w:r>
            <w:r>
              <w:rPr>
                <w:color w:val="auto"/>
                <w:sz w:val="24"/>
              </w:rPr>
              <w:t>0m</w:t>
            </w:r>
            <w:r>
              <w:rPr>
                <w:rFonts w:hint="eastAsia"/>
                <w:color w:val="auto"/>
                <w:sz w:val="24"/>
              </w:rPr>
              <w:t>范围内无国家级和省级保护植物物种，以及地方狭域植物种类分布，也无古树名木</w:t>
            </w:r>
            <w:r>
              <w:rPr>
                <w:rFonts w:hint="eastAsia"/>
                <w:color w:val="auto"/>
                <w:sz w:val="24"/>
                <w:lang w:val="en-US" w:eastAsia="zh-CN"/>
              </w:rPr>
              <w:t>分布</w:t>
            </w:r>
            <w:r>
              <w:rPr>
                <w:rFonts w:hint="default" w:ascii="Times New Roman" w:hAnsi="Times New Roman" w:eastAsia="宋体" w:cs="Times New Roman"/>
                <w:color w:val="auto"/>
                <w:sz w:val="24"/>
                <w:lang w:val="en-US" w:eastAsia="zh-CN"/>
              </w:rPr>
              <w:t>。</w:t>
            </w:r>
          </w:p>
          <w:p w14:paraId="114AD041">
            <w:pPr>
              <w:pStyle w:val="15"/>
              <w:spacing w:line="360" w:lineRule="auto"/>
              <w:ind w:firstLine="480" w:firstLineChars="200"/>
              <w:rPr>
                <w:b/>
                <w:bCs/>
                <w:color w:val="auto"/>
                <w:sz w:val="21"/>
                <w:szCs w:val="21"/>
              </w:rPr>
            </w:pPr>
            <w:r>
              <w:rPr>
                <w:rFonts w:hint="eastAsia"/>
                <w:color w:val="auto"/>
              </w:rPr>
              <w:t>根据现场勘查及资料收集，对照《建设项目环境影响报告表编制技术指南（污染影响类）（试行）》中环境保护目标设置要求，本项目周边环境保护目标如下表所示：</w:t>
            </w:r>
          </w:p>
          <w:p w14:paraId="26F73FEE">
            <w:pPr>
              <w:numPr>
                <w:ilvl w:val="0"/>
                <w:numId w:val="0"/>
              </w:numPr>
              <w:spacing w:line="240" w:lineRule="auto"/>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6</w:t>
            </w:r>
            <w:r>
              <w:rPr>
                <w:rFonts w:hint="eastAsia" w:ascii="Times New Roman" w:hAnsi="Times New Roman" w:cs="Times New Roman"/>
                <w:b/>
                <w:bCs/>
                <w:color w:val="auto"/>
                <w:sz w:val="21"/>
                <w:szCs w:val="21"/>
                <w:highlight w:val="none"/>
                <w:lang w:val="en-US" w:eastAsia="zh-CN"/>
              </w:rPr>
              <w:t xml:space="preserve"> 保护目标一览表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453"/>
              <w:gridCol w:w="521"/>
              <w:gridCol w:w="904"/>
              <w:gridCol w:w="547"/>
              <w:gridCol w:w="698"/>
              <w:gridCol w:w="817"/>
              <w:gridCol w:w="473"/>
              <w:gridCol w:w="787"/>
              <w:gridCol w:w="668"/>
              <w:gridCol w:w="397"/>
              <w:gridCol w:w="1088"/>
              <w:gridCol w:w="16"/>
            </w:tblGrid>
            <w:tr w14:paraId="764C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0" w:type="dxa"/>
                  <w:gridSpan w:val="13"/>
                  <w:noWrap w:val="0"/>
                  <w:vAlign w:val="center"/>
                </w:tcPr>
                <w:p w14:paraId="68606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ascii="Times New Roman" w:hAnsi="Times New Roman" w:cs="Times New Roman"/>
                      <w:b/>
                      <w:bCs/>
                      <w:color w:val="auto"/>
                      <w:sz w:val="21"/>
                      <w:szCs w:val="21"/>
                      <w:highlight w:val="none"/>
                      <w:lang w:val="en-US" w:eastAsia="zh-CN"/>
                    </w:rPr>
                    <w:t>环境空气保护目标一览表</w:t>
                  </w:r>
                </w:p>
              </w:tc>
            </w:tr>
            <w:tr w14:paraId="4D3B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14:paraId="708A7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名称</w:t>
                  </w:r>
                </w:p>
              </w:tc>
              <w:tc>
                <w:tcPr>
                  <w:tcW w:w="974" w:type="dxa"/>
                  <w:gridSpan w:val="2"/>
                  <w:noWrap w:val="0"/>
                  <w:vAlign w:val="center"/>
                </w:tcPr>
                <w:p w14:paraId="45979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保护对象</w:t>
                  </w:r>
                </w:p>
              </w:tc>
              <w:tc>
                <w:tcPr>
                  <w:tcW w:w="2966" w:type="dxa"/>
                  <w:gridSpan w:val="4"/>
                  <w:noWrap w:val="0"/>
                  <w:vAlign w:val="center"/>
                </w:tcPr>
                <w:p w14:paraId="040DF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坐标（度）</w:t>
                  </w:r>
                </w:p>
              </w:tc>
              <w:tc>
                <w:tcPr>
                  <w:tcW w:w="1260" w:type="dxa"/>
                  <w:gridSpan w:val="2"/>
                  <w:noWrap w:val="0"/>
                  <w:vAlign w:val="center"/>
                </w:tcPr>
                <w:p w14:paraId="24AF1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相对厂界</w:t>
                  </w:r>
                  <w:r>
                    <w:rPr>
                      <w:rFonts w:hint="eastAsia"/>
                      <w:color w:val="auto"/>
                      <w:sz w:val="21"/>
                      <w:szCs w:val="21"/>
                      <w:lang w:val="en-US" w:eastAsia="zh-CN"/>
                    </w:rPr>
                    <w:t>方位、</w:t>
                  </w:r>
                  <w:r>
                    <w:rPr>
                      <w:rFonts w:hint="eastAsia"/>
                      <w:color w:val="auto"/>
                      <w:sz w:val="21"/>
                      <w:szCs w:val="21"/>
                    </w:rPr>
                    <w:t>距离（m）</w:t>
                  </w:r>
                </w:p>
              </w:tc>
              <w:tc>
                <w:tcPr>
                  <w:tcW w:w="1065" w:type="dxa"/>
                  <w:gridSpan w:val="2"/>
                  <w:noWrap w:val="0"/>
                  <w:vAlign w:val="center"/>
                </w:tcPr>
                <w:p w14:paraId="6AC9C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保护内容</w:t>
                  </w:r>
                </w:p>
              </w:tc>
              <w:tc>
                <w:tcPr>
                  <w:tcW w:w="1104" w:type="dxa"/>
                  <w:gridSpan w:val="2"/>
                  <w:noWrap w:val="0"/>
                  <w:vAlign w:val="center"/>
                </w:tcPr>
                <w:p w14:paraId="54C15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环境功能区</w:t>
                  </w:r>
                </w:p>
              </w:tc>
            </w:tr>
            <w:tr w14:paraId="07EC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71" w:type="dxa"/>
                  <w:vMerge w:val="restart"/>
                  <w:noWrap w:val="0"/>
                  <w:vAlign w:val="center"/>
                </w:tcPr>
                <w:p w14:paraId="48D41B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大气环境</w:t>
                  </w:r>
                </w:p>
              </w:tc>
              <w:tc>
                <w:tcPr>
                  <w:tcW w:w="974" w:type="dxa"/>
                  <w:gridSpan w:val="2"/>
                  <w:noWrap w:val="0"/>
                  <w:vAlign w:val="center"/>
                </w:tcPr>
                <w:p w14:paraId="0BE38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default" w:ascii="Times New Roman" w:hAnsi="Times New Roman" w:cs="Times New Roman"/>
                      <w:color w:val="auto"/>
                      <w:kern w:val="0"/>
                      <w:sz w:val="21"/>
                      <w:szCs w:val="21"/>
                    </w:rPr>
                    <w:t>等岗村</w:t>
                  </w:r>
                </w:p>
              </w:tc>
              <w:tc>
                <w:tcPr>
                  <w:tcW w:w="1451" w:type="dxa"/>
                  <w:gridSpan w:val="2"/>
                  <w:noWrap w:val="0"/>
                  <w:vAlign w:val="center"/>
                </w:tcPr>
                <w:p w14:paraId="0562B9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98.44594822</w:t>
                  </w:r>
                </w:p>
              </w:tc>
              <w:tc>
                <w:tcPr>
                  <w:tcW w:w="1515" w:type="dxa"/>
                  <w:gridSpan w:val="2"/>
                  <w:noWrap w:val="0"/>
                  <w:vAlign w:val="center"/>
                </w:tcPr>
                <w:p w14:paraId="0570ED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24.40101434</w:t>
                  </w:r>
                </w:p>
              </w:tc>
              <w:tc>
                <w:tcPr>
                  <w:tcW w:w="1260" w:type="dxa"/>
                  <w:gridSpan w:val="2"/>
                  <w:noWrap w:val="0"/>
                  <w:vAlign w:val="center"/>
                </w:tcPr>
                <w:p w14:paraId="708F2A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东北面312</w:t>
                  </w:r>
                </w:p>
              </w:tc>
              <w:tc>
                <w:tcPr>
                  <w:tcW w:w="1065" w:type="dxa"/>
                  <w:gridSpan w:val="2"/>
                  <w:noWrap w:val="0"/>
                  <w:vAlign w:val="center"/>
                </w:tcPr>
                <w:p w14:paraId="4878F1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rPr>
                  </w:pPr>
                  <w:r>
                    <w:rPr>
                      <w:rFonts w:hint="eastAsia"/>
                      <w:color w:val="auto"/>
                      <w:sz w:val="21"/>
                      <w:szCs w:val="21"/>
                      <w:lang w:val="en-US" w:eastAsia="zh-CN"/>
                    </w:rPr>
                    <w:t>约80人</w:t>
                  </w:r>
                </w:p>
              </w:tc>
              <w:tc>
                <w:tcPr>
                  <w:tcW w:w="1104" w:type="dxa"/>
                  <w:gridSpan w:val="2"/>
                  <w:vMerge w:val="restart"/>
                  <w:noWrap w:val="0"/>
                  <w:vAlign w:val="center"/>
                </w:tcPr>
                <w:p w14:paraId="0C3B9F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default" w:ascii="Times New Roman" w:hAnsi="Times New Roman" w:eastAsia="宋体" w:cs="Times New Roman"/>
                      <w:color w:val="auto"/>
                      <w:sz w:val="21"/>
                      <w:szCs w:val="21"/>
                      <w:lang w:bidi="ar"/>
                    </w:rPr>
                    <w:t>《环境空气质量标准》（GB3095-2012）二级标准</w:t>
                  </w:r>
                </w:p>
              </w:tc>
            </w:tr>
            <w:tr w14:paraId="776E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vMerge w:val="continue"/>
                  <w:noWrap w:val="0"/>
                  <w:vAlign w:val="center"/>
                </w:tcPr>
                <w:p w14:paraId="26E73B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974" w:type="dxa"/>
                  <w:gridSpan w:val="2"/>
                  <w:noWrap w:val="0"/>
                  <w:vAlign w:val="center"/>
                </w:tcPr>
                <w:p w14:paraId="3EC79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default" w:ascii="Times New Roman" w:hAnsi="Times New Roman" w:cs="Times New Roman"/>
                      <w:color w:val="auto"/>
                      <w:kern w:val="0"/>
                      <w:sz w:val="21"/>
                      <w:szCs w:val="21"/>
                    </w:rPr>
                    <w:t>遮相分场十一队</w:t>
                  </w:r>
                </w:p>
              </w:tc>
              <w:tc>
                <w:tcPr>
                  <w:tcW w:w="1451" w:type="dxa"/>
                  <w:gridSpan w:val="2"/>
                  <w:noWrap w:val="0"/>
                  <w:vAlign w:val="center"/>
                </w:tcPr>
                <w:p w14:paraId="5F2E21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98.44499521</w:t>
                  </w:r>
                </w:p>
              </w:tc>
              <w:tc>
                <w:tcPr>
                  <w:tcW w:w="1515" w:type="dxa"/>
                  <w:gridSpan w:val="2"/>
                  <w:noWrap w:val="0"/>
                  <w:vAlign w:val="center"/>
                </w:tcPr>
                <w:p w14:paraId="2131A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rPr>
                    <w:t>24.41060781</w:t>
                  </w:r>
                </w:p>
              </w:tc>
              <w:tc>
                <w:tcPr>
                  <w:tcW w:w="1260" w:type="dxa"/>
                  <w:gridSpan w:val="2"/>
                  <w:noWrap w:val="0"/>
                  <w:vAlign w:val="center"/>
                </w:tcPr>
                <w:p w14:paraId="4979B9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eastAsia="zh-CN"/>
                    </w:rPr>
                    <w:t>北面</w:t>
                  </w:r>
                  <w:r>
                    <w:rPr>
                      <w:rFonts w:hint="eastAsia"/>
                      <w:color w:val="auto"/>
                      <w:sz w:val="21"/>
                      <w:szCs w:val="21"/>
                      <w:lang w:val="en-US" w:eastAsia="zh-CN"/>
                    </w:rPr>
                    <w:t>1140</w:t>
                  </w:r>
                </w:p>
              </w:tc>
              <w:tc>
                <w:tcPr>
                  <w:tcW w:w="1065" w:type="dxa"/>
                  <w:gridSpan w:val="2"/>
                  <w:noWrap w:val="0"/>
                  <w:vAlign w:val="center"/>
                </w:tcPr>
                <w:p w14:paraId="5CFB4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rPr>
                  </w:pPr>
                  <w:r>
                    <w:rPr>
                      <w:rFonts w:hint="eastAsia"/>
                      <w:color w:val="auto"/>
                      <w:sz w:val="21"/>
                      <w:szCs w:val="21"/>
                      <w:lang w:val="en-US" w:eastAsia="zh-CN"/>
                    </w:rPr>
                    <w:t>约55人</w:t>
                  </w:r>
                </w:p>
              </w:tc>
              <w:tc>
                <w:tcPr>
                  <w:tcW w:w="1104" w:type="dxa"/>
                  <w:gridSpan w:val="2"/>
                  <w:vMerge w:val="continue"/>
                  <w:noWrap w:val="0"/>
                  <w:vAlign w:val="center"/>
                </w:tcPr>
                <w:p w14:paraId="744A27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74F4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vMerge w:val="continue"/>
                  <w:noWrap w:val="0"/>
                  <w:vAlign w:val="center"/>
                </w:tcPr>
                <w:p w14:paraId="1078D4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974" w:type="dxa"/>
                  <w:gridSpan w:val="2"/>
                  <w:noWrap w:val="0"/>
                  <w:vAlign w:val="center"/>
                </w:tcPr>
                <w:p w14:paraId="03183A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default" w:ascii="Times New Roman" w:hAnsi="Times New Roman" w:cs="Times New Roman"/>
                      <w:color w:val="auto"/>
                      <w:kern w:val="0"/>
                      <w:sz w:val="21"/>
                      <w:szCs w:val="21"/>
                    </w:rPr>
                    <w:t>遮相分场</w:t>
                  </w:r>
                  <w:r>
                    <w:rPr>
                      <w:rFonts w:hint="eastAsia" w:cs="Times New Roman"/>
                      <w:color w:val="auto"/>
                      <w:kern w:val="0"/>
                      <w:sz w:val="21"/>
                      <w:szCs w:val="21"/>
                      <w:lang w:eastAsia="zh-CN"/>
                    </w:rPr>
                    <w:t>二</w:t>
                  </w:r>
                  <w:r>
                    <w:rPr>
                      <w:rFonts w:hint="default" w:ascii="Times New Roman" w:hAnsi="Times New Roman" w:cs="Times New Roman"/>
                      <w:color w:val="auto"/>
                      <w:kern w:val="0"/>
                      <w:sz w:val="21"/>
                      <w:szCs w:val="21"/>
                    </w:rPr>
                    <w:t>队</w:t>
                  </w:r>
                </w:p>
              </w:tc>
              <w:tc>
                <w:tcPr>
                  <w:tcW w:w="1451" w:type="dxa"/>
                  <w:gridSpan w:val="2"/>
                  <w:noWrap w:val="0"/>
                  <w:vAlign w:val="center"/>
                </w:tcPr>
                <w:p w14:paraId="71526B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98.44379576</w:t>
                  </w:r>
                </w:p>
              </w:tc>
              <w:tc>
                <w:tcPr>
                  <w:tcW w:w="1515" w:type="dxa"/>
                  <w:gridSpan w:val="2"/>
                  <w:noWrap w:val="0"/>
                  <w:vAlign w:val="center"/>
                </w:tcPr>
                <w:p w14:paraId="69F818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24.41699759</w:t>
                  </w:r>
                </w:p>
              </w:tc>
              <w:tc>
                <w:tcPr>
                  <w:tcW w:w="1260" w:type="dxa"/>
                  <w:gridSpan w:val="2"/>
                  <w:noWrap w:val="0"/>
                  <w:vAlign w:val="center"/>
                </w:tcPr>
                <w:p w14:paraId="6D0A4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北面185</w:t>
                  </w:r>
                </w:p>
              </w:tc>
              <w:tc>
                <w:tcPr>
                  <w:tcW w:w="1065" w:type="dxa"/>
                  <w:gridSpan w:val="2"/>
                  <w:noWrap w:val="0"/>
                  <w:vAlign w:val="center"/>
                </w:tcPr>
                <w:p w14:paraId="3D641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约230人</w:t>
                  </w:r>
                </w:p>
              </w:tc>
              <w:tc>
                <w:tcPr>
                  <w:tcW w:w="1104" w:type="dxa"/>
                  <w:gridSpan w:val="2"/>
                  <w:vMerge w:val="continue"/>
                  <w:noWrap w:val="0"/>
                  <w:vAlign w:val="center"/>
                </w:tcPr>
                <w:p w14:paraId="1C00E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4089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vMerge w:val="continue"/>
                  <w:noWrap w:val="0"/>
                  <w:vAlign w:val="center"/>
                </w:tcPr>
                <w:p w14:paraId="05EF7D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974" w:type="dxa"/>
                  <w:gridSpan w:val="2"/>
                  <w:noWrap w:val="0"/>
                  <w:vAlign w:val="center"/>
                </w:tcPr>
                <w:p w14:paraId="4757A4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棒丙村</w:t>
                  </w:r>
                </w:p>
              </w:tc>
              <w:tc>
                <w:tcPr>
                  <w:tcW w:w="1451" w:type="dxa"/>
                  <w:gridSpan w:val="2"/>
                  <w:noWrap w:val="0"/>
                  <w:vAlign w:val="center"/>
                </w:tcPr>
                <w:p w14:paraId="17EE95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98.42939634</w:t>
                  </w:r>
                </w:p>
              </w:tc>
              <w:tc>
                <w:tcPr>
                  <w:tcW w:w="1515" w:type="dxa"/>
                  <w:gridSpan w:val="2"/>
                  <w:noWrap w:val="0"/>
                  <w:vAlign w:val="center"/>
                </w:tcPr>
                <w:p w14:paraId="2033D4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24.42069146</w:t>
                  </w:r>
                </w:p>
              </w:tc>
              <w:tc>
                <w:tcPr>
                  <w:tcW w:w="1260" w:type="dxa"/>
                  <w:gridSpan w:val="2"/>
                  <w:noWrap w:val="0"/>
                  <w:vAlign w:val="center"/>
                </w:tcPr>
                <w:p w14:paraId="1BA28F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西北268</w:t>
                  </w:r>
                </w:p>
              </w:tc>
              <w:tc>
                <w:tcPr>
                  <w:tcW w:w="1065" w:type="dxa"/>
                  <w:gridSpan w:val="2"/>
                  <w:noWrap w:val="0"/>
                  <w:vAlign w:val="center"/>
                </w:tcPr>
                <w:p w14:paraId="258D72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约120人</w:t>
                  </w:r>
                </w:p>
              </w:tc>
              <w:tc>
                <w:tcPr>
                  <w:tcW w:w="1104" w:type="dxa"/>
                  <w:gridSpan w:val="2"/>
                  <w:vMerge w:val="continue"/>
                  <w:noWrap w:val="0"/>
                  <w:vAlign w:val="center"/>
                </w:tcPr>
                <w:p w14:paraId="3DCFE4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67A9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vMerge w:val="continue"/>
                  <w:noWrap w:val="0"/>
                  <w:vAlign w:val="center"/>
                </w:tcPr>
                <w:p w14:paraId="10A356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974" w:type="dxa"/>
                  <w:gridSpan w:val="2"/>
                  <w:noWrap w:val="0"/>
                  <w:vAlign w:val="center"/>
                </w:tcPr>
                <w:p w14:paraId="17CBB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default" w:ascii="Times New Roman" w:hAnsi="Times New Roman" w:cs="Times New Roman"/>
                      <w:color w:val="auto"/>
                      <w:kern w:val="0"/>
                      <w:sz w:val="21"/>
                      <w:szCs w:val="21"/>
                    </w:rPr>
                    <w:t>遮相分场十</w:t>
                  </w:r>
                  <w:r>
                    <w:rPr>
                      <w:rFonts w:hint="eastAsia" w:cs="Times New Roman"/>
                      <w:color w:val="auto"/>
                      <w:kern w:val="0"/>
                      <w:sz w:val="21"/>
                      <w:szCs w:val="21"/>
                      <w:lang w:eastAsia="zh-CN"/>
                    </w:rPr>
                    <w:t>二</w:t>
                  </w:r>
                  <w:r>
                    <w:rPr>
                      <w:rFonts w:hint="default" w:ascii="Times New Roman" w:hAnsi="Times New Roman" w:cs="Times New Roman"/>
                      <w:color w:val="auto"/>
                      <w:kern w:val="0"/>
                      <w:sz w:val="21"/>
                      <w:szCs w:val="21"/>
                    </w:rPr>
                    <w:t>队</w:t>
                  </w:r>
                </w:p>
              </w:tc>
              <w:tc>
                <w:tcPr>
                  <w:tcW w:w="1451" w:type="dxa"/>
                  <w:gridSpan w:val="2"/>
                  <w:noWrap w:val="0"/>
                  <w:vAlign w:val="center"/>
                </w:tcPr>
                <w:p w14:paraId="5071EB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98.42800256</w:t>
                  </w:r>
                </w:p>
              </w:tc>
              <w:tc>
                <w:tcPr>
                  <w:tcW w:w="1515" w:type="dxa"/>
                  <w:gridSpan w:val="2"/>
                  <w:noWrap w:val="0"/>
                  <w:vAlign w:val="center"/>
                </w:tcPr>
                <w:p w14:paraId="3B70D4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24.39255303</w:t>
                  </w:r>
                </w:p>
              </w:tc>
              <w:tc>
                <w:tcPr>
                  <w:tcW w:w="1260" w:type="dxa"/>
                  <w:gridSpan w:val="2"/>
                  <w:noWrap w:val="0"/>
                  <w:vAlign w:val="center"/>
                </w:tcPr>
                <w:p w14:paraId="331457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西南1650</w:t>
                  </w:r>
                </w:p>
              </w:tc>
              <w:tc>
                <w:tcPr>
                  <w:tcW w:w="1065" w:type="dxa"/>
                  <w:gridSpan w:val="2"/>
                  <w:noWrap w:val="0"/>
                  <w:vAlign w:val="center"/>
                </w:tcPr>
                <w:p w14:paraId="26269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约80人</w:t>
                  </w:r>
                </w:p>
              </w:tc>
              <w:tc>
                <w:tcPr>
                  <w:tcW w:w="1104" w:type="dxa"/>
                  <w:gridSpan w:val="2"/>
                  <w:vMerge w:val="continue"/>
                  <w:noWrap w:val="0"/>
                  <w:vAlign w:val="center"/>
                </w:tcPr>
                <w:p w14:paraId="1509A7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0591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vMerge w:val="continue"/>
                  <w:noWrap w:val="0"/>
                  <w:vAlign w:val="center"/>
                </w:tcPr>
                <w:p w14:paraId="6C47B0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974" w:type="dxa"/>
                  <w:gridSpan w:val="2"/>
                  <w:noWrap w:val="0"/>
                  <w:vAlign w:val="center"/>
                </w:tcPr>
                <w:p w14:paraId="64E10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default" w:ascii="Times New Roman" w:hAnsi="Times New Roman" w:cs="Times New Roman"/>
                      <w:color w:val="auto"/>
                      <w:kern w:val="0"/>
                      <w:sz w:val="21"/>
                      <w:szCs w:val="21"/>
                    </w:rPr>
                    <w:t>遮相分场十</w:t>
                  </w:r>
                  <w:r>
                    <w:rPr>
                      <w:rFonts w:hint="eastAsia" w:cs="Times New Roman"/>
                      <w:color w:val="auto"/>
                      <w:kern w:val="0"/>
                      <w:sz w:val="21"/>
                      <w:szCs w:val="21"/>
                      <w:lang w:eastAsia="zh-CN"/>
                    </w:rPr>
                    <w:t>三</w:t>
                  </w:r>
                  <w:r>
                    <w:rPr>
                      <w:rFonts w:hint="default" w:ascii="Times New Roman" w:hAnsi="Times New Roman" w:cs="Times New Roman"/>
                      <w:color w:val="auto"/>
                      <w:kern w:val="0"/>
                      <w:sz w:val="21"/>
                      <w:szCs w:val="21"/>
                    </w:rPr>
                    <w:t>队</w:t>
                  </w:r>
                </w:p>
              </w:tc>
              <w:tc>
                <w:tcPr>
                  <w:tcW w:w="1451" w:type="dxa"/>
                  <w:gridSpan w:val="2"/>
                  <w:noWrap w:val="0"/>
                  <w:vAlign w:val="center"/>
                </w:tcPr>
                <w:p w14:paraId="00AFD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98.42658776</w:t>
                  </w:r>
                </w:p>
              </w:tc>
              <w:tc>
                <w:tcPr>
                  <w:tcW w:w="1515" w:type="dxa"/>
                  <w:gridSpan w:val="2"/>
                  <w:noWrap w:val="0"/>
                  <w:vAlign w:val="center"/>
                </w:tcPr>
                <w:p w14:paraId="1D284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24.39438127</w:t>
                  </w:r>
                </w:p>
              </w:tc>
              <w:tc>
                <w:tcPr>
                  <w:tcW w:w="1260" w:type="dxa"/>
                  <w:gridSpan w:val="2"/>
                  <w:noWrap w:val="0"/>
                  <w:vAlign w:val="center"/>
                </w:tcPr>
                <w:p w14:paraId="4C432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西南1820</w:t>
                  </w:r>
                </w:p>
              </w:tc>
              <w:tc>
                <w:tcPr>
                  <w:tcW w:w="1065" w:type="dxa"/>
                  <w:gridSpan w:val="2"/>
                  <w:noWrap w:val="0"/>
                  <w:vAlign w:val="center"/>
                </w:tcPr>
                <w:p w14:paraId="6F6EA3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约70人</w:t>
                  </w:r>
                </w:p>
              </w:tc>
              <w:tc>
                <w:tcPr>
                  <w:tcW w:w="1104" w:type="dxa"/>
                  <w:gridSpan w:val="2"/>
                  <w:vMerge w:val="continue"/>
                  <w:noWrap w:val="0"/>
                  <w:vAlign w:val="center"/>
                </w:tcPr>
                <w:p w14:paraId="59A7ED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39DF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vMerge w:val="continue"/>
                  <w:noWrap w:val="0"/>
                  <w:vAlign w:val="center"/>
                </w:tcPr>
                <w:p w14:paraId="702ACA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974" w:type="dxa"/>
                  <w:gridSpan w:val="2"/>
                  <w:noWrap w:val="0"/>
                  <w:vAlign w:val="center"/>
                </w:tcPr>
                <w:p w14:paraId="7647EB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芒究村</w:t>
                  </w:r>
                </w:p>
              </w:tc>
              <w:tc>
                <w:tcPr>
                  <w:tcW w:w="1451" w:type="dxa"/>
                  <w:gridSpan w:val="2"/>
                  <w:noWrap w:val="0"/>
                  <w:vAlign w:val="center"/>
                </w:tcPr>
                <w:p w14:paraId="059CE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98.42440093</w:t>
                  </w:r>
                </w:p>
              </w:tc>
              <w:tc>
                <w:tcPr>
                  <w:tcW w:w="1515" w:type="dxa"/>
                  <w:gridSpan w:val="2"/>
                  <w:noWrap w:val="0"/>
                  <w:vAlign w:val="center"/>
                </w:tcPr>
                <w:p w14:paraId="7D0F06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24.38957742</w:t>
                  </w:r>
                </w:p>
              </w:tc>
              <w:tc>
                <w:tcPr>
                  <w:tcW w:w="1260" w:type="dxa"/>
                  <w:gridSpan w:val="2"/>
                  <w:noWrap w:val="0"/>
                  <w:vAlign w:val="center"/>
                </w:tcPr>
                <w:p w14:paraId="5FF45B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西南2140</w:t>
                  </w:r>
                </w:p>
              </w:tc>
              <w:tc>
                <w:tcPr>
                  <w:tcW w:w="1065" w:type="dxa"/>
                  <w:gridSpan w:val="2"/>
                  <w:noWrap w:val="0"/>
                  <w:vAlign w:val="center"/>
                </w:tcPr>
                <w:p w14:paraId="440973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约160人</w:t>
                  </w:r>
                </w:p>
              </w:tc>
              <w:tc>
                <w:tcPr>
                  <w:tcW w:w="1104" w:type="dxa"/>
                  <w:gridSpan w:val="2"/>
                  <w:vMerge w:val="continue"/>
                  <w:noWrap w:val="0"/>
                  <w:vAlign w:val="center"/>
                </w:tcPr>
                <w:p w14:paraId="22E015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37D7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vMerge w:val="continue"/>
                  <w:noWrap w:val="0"/>
                  <w:vAlign w:val="center"/>
                </w:tcPr>
                <w:p w14:paraId="578FC2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974" w:type="dxa"/>
                  <w:gridSpan w:val="2"/>
                  <w:noWrap w:val="0"/>
                  <w:vAlign w:val="center"/>
                </w:tcPr>
                <w:p w14:paraId="616D4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允门村</w:t>
                  </w:r>
                </w:p>
              </w:tc>
              <w:tc>
                <w:tcPr>
                  <w:tcW w:w="1451" w:type="dxa"/>
                  <w:gridSpan w:val="2"/>
                  <w:noWrap w:val="0"/>
                  <w:vAlign w:val="center"/>
                </w:tcPr>
                <w:p w14:paraId="3EA2A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98.46527209</w:t>
                  </w:r>
                </w:p>
              </w:tc>
              <w:tc>
                <w:tcPr>
                  <w:tcW w:w="1515" w:type="dxa"/>
                  <w:gridSpan w:val="2"/>
                  <w:noWrap w:val="0"/>
                  <w:vAlign w:val="center"/>
                </w:tcPr>
                <w:p w14:paraId="402CD0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24.39292250</w:t>
                  </w:r>
                </w:p>
              </w:tc>
              <w:tc>
                <w:tcPr>
                  <w:tcW w:w="1260" w:type="dxa"/>
                  <w:gridSpan w:val="2"/>
                  <w:noWrap w:val="0"/>
                  <w:vAlign w:val="center"/>
                </w:tcPr>
                <w:p w14:paraId="75F597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东2130</w:t>
                  </w:r>
                </w:p>
              </w:tc>
              <w:tc>
                <w:tcPr>
                  <w:tcW w:w="1065" w:type="dxa"/>
                  <w:gridSpan w:val="2"/>
                  <w:noWrap w:val="0"/>
                  <w:vAlign w:val="center"/>
                </w:tcPr>
                <w:p w14:paraId="5AA7E2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约200人</w:t>
                  </w:r>
                </w:p>
              </w:tc>
              <w:tc>
                <w:tcPr>
                  <w:tcW w:w="1104" w:type="dxa"/>
                  <w:gridSpan w:val="2"/>
                  <w:vMerge w:val="continue"/>
                  <w:noWrap w:val="0"/>
                  <w:vAlign w:val="center"/>
                </w:tcPr>
                <w:p w14:paraId="1F76EE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2E72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vMerge w:val="continue"/>
                  <w:noWrap w:val="0"/>
                  <w:vAlign w:val="center"/>
                </w:tcPr>
                <w:p w14:paraId="25A25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974" w:type="dxa"/>
                  <w:gridSpan w:val="2"/>
                  <w:noWrap w:val="0"/>
                  <w:vAlign w:val="center"/>
                </w:tcPr>
                <w:p w14:paraId="25DD88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帕底村</w:t>
                  </w:r>
                </w:p>
              </w:tc>
              <w:tc>
                <w:tcPr>
                  <w:tcW w:w="1451" w:type="dxa"/>
                  <w:gridSpan w:val="2"/>
                  <w:noWrap w:val="0"/>
                  <w:vAlign w:val="center"/>
                </w:tcPr>
                <w:p w14:paraId="01C65E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98.46141881</w:t>
                  </w:r>
                </w:p>
              </w:tc>
              <w:tc>
                <w:tcPr>
                  <w:tcW w:w="1515" w:type="dxa"/>
                  <w:gridSpan w:val="2"/>
                  <w:noWrap w:val="0"/>
                  <w:vAlign w:val="center"/>
                </w:tcPr>
                <w:p w14:paraId="0A6D8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24.38158070</w:t>
                  </w:r>
                </w:p>
              </w:tc>
              <w:tc>
                <w:tcPr>
                  <w:tcW w:w="1260" w:type="dxa"/>
                  <w:gridSpan w:val="2"/>
                  <w:noWrap w:val="0"/>
                  <w:vAlign w:val="center"/>
                </w:tcPr>
                <w:p w14:paraId="42DDF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东南2530</w:t>
                  </w:r>
                </w:p>
              </w:tc>
              <w:tc>
                <w:tcPr>
                  <w:tcW w:w="1065" w:type="dxa"/>
                  <w:gridSpan w:val="2"/>
                  <w:noWrap w:val="0"/>
                  <w:vAlign w:val="center"/>
                </w:tcPr>
                <w:p w14:paraId="74ACCD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约280人</w:t>
                  </w:r>
                </w:p>
              </w:tc>
              <w:tc>
                <w:tcPr>
                  <w:tcW w:w="1104" w:type="dxa"/>
                  <w:gridSpan w:val="2"/>
                  <w:vMerge w:val="continue"/>
                  <w:noWrap w:val="0"/>
                  <w:vAlign w:val="center"/>
                </w:tcPr>
                <w:p w14:paraId="4C41C8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0FFD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vMerge w:val="continue"/>
                  <w:noWrap w:val="0"/>
                  <w:vAlign w:val="center"/>
                </w:tcPr>
                <w:p w14:paraId="3DA24C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974" w:type="dxa"/>
                  <w:gridSpan w:val="2"/>
                  <w:noWrap w:val="0"/>
                  <w:vAlign w:val="center"/>
                </w:tcPr>
                <w:p w14:paraId="19C3E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default" w:ascii="Times New Roman" w:hAnsi="Times New Roman" w:cs="Times New Roman"/>
                      <w:color w:val="auto"/>
                      <w:kern w:val="0"/>
                      <w:sz w:val="21"/>
                      <w:szCs w:val="21"/>
                    </w:rPr>
                    <w:t>遮相分场六队</w:t>
                  </w:r>
                </w:p>
              </w:tc>
              <w:tc>
                <w:tcPr>
                  <w:tcW w:w="1451" w:type="dxa"/>
                  <w:gridSpan w:val="2"/>
                  <w:noWrap w:val="0"/>
                  <w:vAlign w:val="center"/>
                </w:tcPr>
                <w:p w14:paraId="7FD153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98.45508207</w:t>
                  </w:r>
                </w:p>
              </w:tc>
              <w:tc>
                <w:tcPr>
                  <w:tcW w:w="1515" w:type="dxa"/>
                  <w:gridSpan w:val="2"/>
                  <w:noWrap w:val="0"/>
                  <w:vAlign w:val="center"/>
                </w:tcPr>
                <w:p w14:paraId="26FCF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24.41021616</w:t>
                  </w:r>
                </w:p>
              </w:tc>
              <w:tc>
                <w:tcPr>
                  <w:tcW w:w="1260" w:type="dxa"/>
                  <w:gridSpan w:val="2"/>
                  <w:noWrap w:val="0"/>
                  <w:vAlign w:val="center"/>
                </w:tcPr>
                <w:p w14:paraId="34BC8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东北1610</w:t>
                  </w:r>
                </w:p>
              </w:tc>
              <w:tc>
                <w:tcPr>
                  <w:tcW w:w="1065" w:type="dxa"/>
                  <w:gridSpan w:val="2"/>
                  <w:noWrap w:val="0"/>
                  <w:vAlign w:val="center"/>
                </w:tcPr>
                <w:p w14:paraId="31FE51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约480人</w:t>
                  </w:r>
                </w:p>
              </w:tc>
              <w:tc>
                <w:tcPr>
                  <w:tcW w:w="1104" w:type="dxa"/>
                  <w:gridSpan w:val="2"/>
                  <w:vMerge w:val="continue"/>
                  <w:noWrap w:val="0"/>
                  <w:vAlign w:val="center"/>
                </w:tcPr>
                <w:p w14:paraId="537FF2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7350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vMerge w:val="continue"/>
                  <w:noWrap w:val="0"/>
                  <w:vAlign w:val="center"/>
                </w:tcPr>
                <w:p w14:paraId="6ABE0C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p>
              </w:tc>
              <w:tc>
                <w:tcPr>
                  <w:tcW w:w="974" w:type="dxa"/>
                  <w:gridSpan w:val="2"/>
                  <w:noWrap w:val="0"/>
                  <w:vAlign w:val="center"/>
                </w:tcPr>
                <w:p w14:paraId="1C3CD7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轩岗乡和谐小学</w:t>
                  </w:r>
                </w:p>
              </w:tc>
              <w:tc>
                <w:tcPr>
                  <w:tcW w:w="1451" w:type="dxa"/>
                  <w:gridSpan w:val="2"/>
                  <w:noWrap w:val="0"/>
                  <w:vAlign w:val="center"/>
                </w:tcPr>
                <w:p w14:paraId="559F25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98.45825629</w:t>
                  </w:r>
                </w:p>
              </w:tc>
              <w:tc>
                <w:tcPr>
                  <w:tcW w:w="1515" w:type="dxa"/>
                  <w:gridSpan w:val="2"/>
                  <w:noWrap w:val="0"/>
                  <w:vAlign w:val="center"/>
                </w:tcPr>
                <w:p w14:paraId="09242C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eastAsia="宋体"/>
                      <w:color w:val="auto"/>
                      <w:sz w:val="21"/>
                      <w:szCs w:val="21"/>
                      <w:lang w:eastAsia="zh-CN"/>
                    </w:rPr>
                    <w:t>24.41553200</w:t>
                  </w:r>
                </w:p>
              </w:tc>
              <w:tc>
                <w:tcPr>
                  <w:tcW w:w="1260" w:type="dxa"/>
                  <w:gridSpan w:val="2"/>
                  <w:noWrap w:val="0"/>
                  <w:vAlign w:val="center"/>
                </w:tcPr>
                <w:p w14:paraId="22215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东北2230</w:t>
                  </w:r>
                </w:p>
              </w:tc>
              <w:tc>
                <w:tcPr>
                  <w:tcW w:w="1065" w:type="dxa"/>
                  <w:gridSpan w:val="2"/>
                  <w:noWrap w:val="0"/>
                  <w:vAlign w:val="center"/>
                </w:tcPr>
                <w:p w14:paraId="700DB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约400人</w:t>
                  </w:r>
                </w:p>
              </w:tc>
              <w:tc>
                <w:tcPr>
                  <w:tcW w:w="1104" w:type="dxa"/>
                  <w:gridSpan w:val="2"/>
                  <w:vMerge w:val="continue"/>
                  <w:noWrap w:val="0"/>
                  <w:vAlign w:val="center"/>
                </w:tcPr>
                <w:p w14:paraId="13A927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r>
            <w:tr w14:paraId="54D8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0" w:type="dxa"/>
                  <w:gridSpan w:val="13"/>
                  <w:noWrap w:val="0"/>
                  <w:vAlign w:val="center"/>
                </w:tcPr>
                <w:p w14:paraId="6CF31EE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s="Times New Roman"/>
                      <w:b/>
                      <w:bCs/>
                      <w:color w:val="auto"/>
                      <w:kern w:val="0"/>
                      <w:sz w:val="21"/>
                      <w:szCs w:val="21"/>
                      <w:lang w:val="en-US" w:eastAsia="zh-CN"/>
                    </w:rPr>
                    <w:t>地表水</w:t>
                  </w:r>
                  <w:r>
                    <w:rPr>
                      <w:rFonts w:hint="eastAsia" w:ascii="Times New Roman" w:hAnsi="Times New Roman" w:cs="Times New Roman"/>
                      <w:b/>
                      <w:bCs/>
                      <w:color w:val="auto"/>
                      <w:kern w:val="0"/>
                      <w:sz w:val="21"/>
                      <w:szCs w:val="21"/>
                      <w:lang w:val="en-US" w:eastAsia="zh-CN"/>
                    </w:rPr>
                    <w:t>环境</w:t>
                  </w:r>
                  <w:r>
                    <w:rPr>
                      <w:rFonts w:hint="default" w:ascii="Times New Roman" w:hAnsi="Times New Roman" w:eastAsia="宋体" w:cs="Times New Roman"/>
                      <w:b/>
                      <w:bCs/>
                      <w:color w:val="auto"/>
                      <w:kern w:val="0"/>
                      <w:sz w:val="21"/>
                      <w:szCs w:val="21"/>
                    </w:rPr>
                    <w:t>主要保护目标</w:t>
                  </w:r>
                </w:p>
              </w:tc>
            </w:tr>
            <w:tr w14:paraId="51F0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381" w:hRule="atLeast"/>
              </w:trPr>
              <w:tc>
                <w:tcPr>
                  <w:tcW w:w="924" w:type="dxa"/>
                  <w:gridSpan w:val="2"/>
                  <w:noWrap w:val="0"/>
                  <w:vAlign w:val="center"/>
                </w:tcPr>
                <w:p w14:paraId="1F2162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环境要素</w:t>
                  </w:r>
                </w:p>
              </w:tc>
              <w:tc>
                <w:tcPr>
                  <w:tcW w:w="1425" w:type="dxa"/>
                  <w:gridSpan w:val="2"/>
                  <w:noWrap w:val="0"/>
                  <w:vAlign w:val="center"/>
                </w:tcPr>
                <w:p w14:paraId="116BC2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保护对象</w:t>
                  </w:r>
                </w:p>
              </w:tc>
              <w:tc>
                <w:tcPr>
                  <w:tcW w:w="1245" w:type="dxa"/>
                  <w:gridSpan w:val="2"/>
                  <w:noWrap w:val="0"/>
                  <w:vAlign w:val="center"/>
                </w:tcPr>
                <w:p w14:paraId="07E58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保护内容</w:t>
                  </w:r>
                </w:p>
              </w:tc>
              <w:tc>
                <w:tcPr>
                  <w:tcW w:w="1290" w:type="dxa"/>
                  <w:gridSpan w:val="2"/>
                  <w:noWrap w:val="0"/>
                  <w:vAlign w:val="center"/>
                </w:tcPr>
                <w:p w14:paraId="15BEAA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环境功能区</w:t>
                  </w:r>
                </w:p>
              </w:tc>
              <w:tc>
                <w:tcPr>
                  <w:tcW w:w="1455" w:type="dxa"/>
                  <w:gridSpan w:val="2"/>
                  <w:noWrap w:val="0"/>
                  <w:vAlign w:val="center"/>
                </w:tcPr>
                <w:p w14:paraId="7A3C5E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相对方位</w:t>
                  </w:r>
                </w:p>
              </w:tc>
              <w:tc>
                <w:tcPr>
                  <w:tcW w:w="1485" w:type="dxa"/>
                  <w:gridSpan w:val="2"/>
                  <w:noWrap w:val="0"/>
                  <w:vAlign w:val="center"/>
                </w:tcPr>
                <w:p w14:paraId="7E03F0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相对</w:t>
                  </w:r>
                  <w:r>
                    <w:rPr>
                      <w:rFonts w:hint="eastAsia"/>
                      <w:color w:val="auto"/>
                      <w:sz w:val="21"/>
                      <w:szCs w:val="21"/>
                    </w:rPr>
                    <w:t>厂界</w:t>
                  </w:r>
                  <w:r>
                    <w:rPr>
                      <w:color w:val="auto"/>
                      <w:sz w:val="21"/>
                      <w:szCs w:val="21"/>
                    </w:rPr>
                    <w:t>距离</w:t>
                  </w:r>
                </w:p>
              </w:tc>
            </w:tr>
            <w:tr w14:paraId="3488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381" w:hRule="atLeast"/>
              </w:trPr>
              <w:tc>
                <w:tcPr>
                  <w:tcW w:w="924" w:type="dxa"/>
                  <w:gridSpan w:val="2"/>
                  <w:noWrap w:val="0"/>
                  <w:vAlign w:val="center"/>
                </w:tcPr>
                <w:p w14:paraId="4BBD9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地表水环境</w:t>
                  </w:r>
                </w:p>
              </w:tc>
              <w:tc>
                <w:tcPr>
                  <w:tcW w:w="1425" w:type="dxa"/>
                  <w:gridSpan w:val="2"/>
                  <w:noWrap w:val="0"/>
                  <w:vAlign w:val="center"/>
                </w:tcPr>
                <w:p w14:paraId="49EA99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芒市大河</w:t>
                  </w:r>
                </w:p>
              </w:tc>
              <w:tc>
                <w:tcPr>
                  <w:tcW w:w="1245" w:type="dxa"/>
                  <w:gridSpan w:val="2"/>
                  <w:noWrap w:val="0"/>
                  <w:vAlign w:val="center"/>
                </w:tcPr>
                <w:p w14:paraId="34F7CF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水质</w:t>
                  </w:r>
                </w:p>
              </w:tc>
              <w:tc>
                <w:tcPr>
                  <w:tcW w:w="1290" w:type="dxa"/>
                  <w:gridSpan w:val="2"/>
                  <w:noWrap w:val="0"/>
                  <w:vAlign w:val="center"/>
                </w:tcPr>
                <w:p w14:paraId="2360F4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地表水</w:t>
                  </w:r>
                  <w:r>
                    <w:rPr>
                      <w:rFonts w:hint="default" w:ascii="Times New Roman" w:hAnsi="Times New Roman" w:eastAsia="宋体" w:cs="Times New Roman"/>
                      <w:b w:val="0"/>
                      <w:bCs w:val="0"/>
                      <w:spacing w:val="0"/>
                      <w:kern w:val="2"/>
                      <w:sz w:val="21"/>
                      <w:szCs w:val="21"/>
                      <w:lang w:val="en-US" w:eastAsia="zh-CN" w:bidi="ar-SA"/>
                    </w:rPr>
                    <w:t>Ⅲ</w:t>
                  </w:r>
                  <w:r>
                    <w:rPr>
                      <w:color w:val="auto"/>
                      <w:sz w:val="21"/>
                      <w:szCs w:val="21"/>
                    </w:rPr>
                    <w:t>类</w:t>
                  </w:r>
                </w:p>
              </w:tc>
              <w:tc>
                <w:tcPr>
                  <w:tcW w:w="1455" w:type="dxa"/>
                  <w:gridSpan w:val="2"/>
                  <w:noWrap w:val="0"/>
                  <w:vAlign w:val="center"/>
                </w:tcPr>
                <w:p w14:paraId="6B15CC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bCs/>
                      <w:color w:val="auto"/>
                      <w:sz w:val="21"/>
                      <w:szCs w:val="21"/>
                      <w:lang w:val="en-US" w:eastAsia="zh-CN"/>
                    </w:rPr>
                    <w:t>项目区</w:t>
                  </w:r>
                  <w:r>
                    <w:rPr>
                      <w:rFonts w:hint="eastAsia"/>
                      <w:color w:val="auto"/>
                      <w:sz w:val="21"/>
                      <w:szCs w:val="21"/>
                      <w:lang w:val="en-US" w:eastAsia="zh-CN"/>
                    </w:rPr>
                    <w:t>北</w:t>
                  </w:r>
                  <w:r>
                    <w:rPr>
                      <w:color w:val="auto"/>
                      <w:sz w:val="21"/>
                      <w:szCs w:val="21"/>
                    </w:rPr>
                    <w:t>侧</w:t>
                  </w:r>
                </w:p>
              </w:tc>
              <w:tc>
                <w:tcPr>
                  <w:tcW w:w="1485" w:type="dxa"/>
                  <w:gridSpan w:val="2"/>
                  <w:noWrap w:val="0"/>
                  <w:vAlign w:val="center"/>
                </w:tcPr>
                <w:p w14:paraId="7F117A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约</w:t>
                  </w:r>
                  <w:r>
                    <w:rPr>
                      <w:rFonts w:hint="eastAsia"/>
                      <w:color w:val="auto"/>
                      <w:sz w:val="21"/>
                      <w:szCs w:val="21"/>
                      <w:lang w:val="en-US" w:eastAsia="zh-CN"/>
                    </w:rPr>
                    <w:t>20</w:t>
                  </w:r>
                  <w:r>
                    <w:rPr>
                      <w:color w:val="auto"/>
                      <w:sz w:val="21"/>
                      <w:szCs w:val="21"/>
                    </w:rPr>
                    <w:t>m</w:t>
                  </w:r>
                </w:p>
              </w:tc>
            </w:tr>
            <w:tr w14:paraId="1546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381" w:hRule="atLeast"/>
              </w:trPr>
              <w:tc>
                <w:tcPr>
                  <w:tcW w:w="7824" w:type="dxa"/>
                  <w:gridSpan w:val="12"/>
                  <w:noWrap w:val="0"/>
                  <w:vAlign w:val="center"/>
                </w:tcPr>
                <w:p w14:paraId="5A5AE5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cs="Times New Roman"/>
                      <w:b/>
                      <w:bCs/>
                      <w:color w:val="auto"/>
                      <w:kern w:val="0"/>
                      <w:sz w:val="21"/>
                      <w:szCs w:val="21"/>
                      <w:lang w:val="en-US" w:eastAsia="zh-CN"/>
                    </w:rPr>
                    <w:t>地下水</w:t>
                  </w:r>
                  <w:r>
                    <w:rPr>
                      <w:rFonts w:hint="eastAsia" w:ascii="Times New Roman" w:hAnsi="Times New Roman" w:cs="Times New Roman"/>
                      <w:b/>
                      <w:bCs/>
                      <w:color w:val="auto"/>
                      <w:kern w:val="0"/>
                      <w:sz w:val="21"/>
                      <w:szCs w:val="21"/>
                      <w:lang w:val="en-US" w:eastAsia="zh-CN"/>
                    </w:rPr>
                    <w:t>环境</w:t>
                  </w:r>
                  <w:r>
                    <w:rPr>
                      <w:rFonts w:hint="default" w:ascii="Times New Roman" w:hAnsi="Times New Roman" w:eastAsia="宋体" w:cs="Times New Roman"/>
                      <w:b/>
                      <w:bCs/>
                      <w:color w:val="auto"/>
                      <w:kern w:val="0"/>
                      <w:sz w:val="21"/>
                      <w:szCs w:val="21"/>
                    </w:rPr>
                    <w:t>主要保护目标</w:t>
                  </w:r>
                </w:p>
              </w:tc>
            </w:tr>
            <w:tr w14:paraId="4320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381" w:hRule="atLeast"/>
              </w:trPr>
              <w:tc>
                <w:tcPr>
                  <w:tcW w:w="924" w:type="dxa"/>
                  <w:gridSpan w:val="2"/>
                  <w:noWrap w:val="0"/>
                  <w:vAlign w:val="center"/>
                </w:tcPr>
                <w:p w14:paraId="044CB6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地下水环境</w:t>
                  </w:r>
                </w:p>
              </w:tc>
              <w:tc>
                <w:tcPr>
                  <w:tcW w:w="6900" w:type="dxa"/>
                  <w:gridSpan w:val="10"/>
                  <w:noWrap w:val="0"/>
                  <w:vAlign w:val="center"/>
                </w:tcPr>
                <w:p w14:paraId="5A6978C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color w:val="auto"/>
                      <w:sz w:val="21"/>
                      <w:szCs w:val="21"/>
                      <w:lang w:val="en-US" w:eastAsia="zh-CN"/>
                    </w:rPr>
                  </w:pPr>
                  <w:r>
                    <w:rPr>
                      <w:rFonts w:hint="eastAsia" w:ascii="Times New Roman" w:hAnsi="Times New Roman" w:eastAsia="宋体" w:cs="Times New Roman"/>
                      <w:color w:val="auto"/>
                      <w:sz w:val="21"/>
                      <w:szCs w:val="21"/>
                    </w:rPr>
                    <w:t>项目厂界外500m范围内无地下水集中式饮用水水源和热水、矿泉水、温泉等特殊地下水资源</w:t>
                  </w:r>
                  <w:r>
                    <w:rPr>
                      <w:rFonts w:hint="eastAsia" w:ascii="Times New Roman" w:hAnsi="Times New Roman" w:eastAsia="宋体" w:cs="Times New Roman"/>
                      <w:color w:val="auto"/>
                      <w:sz w:val="21"/>
                      <w:szCs w:val="21"/>
                      <w:lang w:val="en-US" w:eastAsia="zh-CN"/>
                    </w:rPr>
                    <w:t>分布，主要</w:t>
                  </w:r>
                  <w:r>
                    <w:rPr>
                      <w:rFonts w:hint="eastAsia" w:ascii="Times New Roman" w:hAnsi="Times New Roman" w:eastAsia="宋体" w:cs="Times New Roman"/>
                      <w:color w:val="auto"/>
                      <w:sz w:val="21"/>
                      <w:szCs w:val="21"/>
                    </w:rPr>
                    <w:t>地下水保护目标</w:t>
                  </w:r>
                  <w:r>
                    <w:rPr>
                      <w:rFonts w:hint="eastAsia" w:ascii="Times New Roman" w:hAnsi="Times New Roman" w:eastAsia="宋体" w:cs="Times New Roman"/>
                      <w:color w:val="auto"/>
                      <w:sz w:val="21"/>
                      <w:szCs w:val="21"/>
                      <w:lang w:val="en-US" w:eastAsia="zh-CN"/>
                    </w:rPr>
                    <w:t>为</w:t>
                  </w:r>
                  <w:r>
                    <w:rPr>
                      <w:rFonts w:hint="eastAsia" w:ascii="Times New Roman" w:hAnsi="Times New Roman" w:eastAsia="宋体" w:cs="Times New Roman"/>
                      <w:color w:val="auto"/>
                      <w:sz w:val="21"/>
                      <w:szCs w:val="21"/>
                    </w:rPr>
                    <w:t>项目所</w:t>
                  </w:r>
                  <w:r>
                    <w:rPr>
                      <w:rFonts w:hint="eastAsia" w:ascii="Times New Roman" w:hAnsi="Times New Roman" w:eastAsia="宋体" w:cs="Times New Roman"/>
                      <w:color w:val="auto"/>
                      <w:sz w:val="21"/>
                      <w:szCs w:val="21"/>
                      <w:lang w:val="en-US" w:eastAsia="zh-CN"/>
                    </w:rPr>
                    <w:t>在地的</w:t>
                  </w:r>
                  <w:r>
                    <w:rPr>
                      <w:rFonts w:hint="eastAsia" w:ascii="Times New Roman" w:hAnsi="Times New Roman" w:eastAsia="宋体" w:cs="Times New Roman"/>
                      <w:color w:val="auto"/>
                      <w:sz w:val="21"/>
                      <w:szCs w:val="21"/>
                    </w:rPr>
                    <w:t>潜水含水层</w:t>
                  </w:r>
                  <w:r>
                    <w:rPr>
                      <w:rFonts w:hint="eastAsia" w:ascii="Times New Roman" w:hAnsi="Times New Roman" w:eastAsia="宋体" w:cs="Times New Roman"/>
                      <w:color w:val="auto"/>
                      <w:sz w:val="21"/>
                      <w:szCs w:val="21"/>
                      <w:lang w:eastAsia="zh-CN"/>
                    </w:rPr>
                    <w:t>。</w:t>
                  </w:r>
                </w:p>
              </w:tc>
            </w:tr>
            <w:tr w14:paraId="2FD0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381" w:hRule="atLeast"/>
              </w:trPr>
              <w:tc>
                <w:tcPr>
                  <w:tcW w:w="7824" w:type="dxa"/>
                  <w:gridSpan w:val="12"/>
                  <w:noWrap w:val="0"/>
                  <w:vAlign w:val="center"/>
                </w:tcPr>
                <w:p w14:paraId="11D993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rPr>
                  </w:pPr>
                  <w:r>
                    <w:rPr>
                      <w:rFonts w:hint="eastAsia" w:cs="Times New Roman"/>
                      <w:b/>
                      <w:bCs/>
                      <w:color w:val="auto"/>
                      <w:kern w:val="0"/>
                      <w:sz w:val="21"/>
                      <w:szCs w:val="21"/>
                      <w:lang w:val="en-US" w:eastAsia="zh-CN"/>
                    </w:rPr>
                    <w:t>其他</w:t>
                  </w:r>
                  <w:r>
                    <w:rPr>
                      <w:rFonts w:hint="eastAsia" w:ascii="Times New Roman" w:hAnsi="Times New Roman" w:cs="Times New Roman"/>
                      <w:b/>
                      <w:bCs/>
                      <w:color w:val="auto"/>
                      <w:kern w:val="0"/>
                      <w:sz w:val="21"/>
                      <w:szCs w:val="21"/>
                      <w:lang w:val="en-US" w:eastAsia="zh-CN"/>
                    </w:rPr>
                    <w:t>环境要素</w:t>
                  </w:r>
                  <w:r>
                    <w:rPr>
                      <w:rFonts w:hint="default" w:ascii="Times New Roman" w:hAnsi="Times New Roman" w:eastAsia="宋体" w:cs="Times New Roman"/>
                      <w:b/>
                      <w:bCs/>
                      <w:color w:val="auto"/>
                      <w:kern w:val="0"/>
                      <w:sz w:val="21"/>
                      <w:szCs w:val="21"/>
                    </w:rPr>
                    <w:t>主要保护目标</w:t>
                  </w:r>
                </w:p>
              </w:tc>
            </w:tr>
            <w:tr w14:paraId="7491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278" w:hRule="atLeast"/>
              </w:trPr>
              <w:tc>
                <w:tcPr>
                  <w:tcW w:w="924" w:type="dxa"/>
                  <w:gridSpan w:val="2"/>
                  <w:noWrap w:val="0"/>
                  <w:vAlign w:val="center"/>
                </w:tcPr>
                <w:p w14:paraId="762217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声环境</w:t>
                  </w:r>
                </w:p>
              </w:tc>
              <w:tc>
                <w:tcPr>
                  <w:tcW w:w="6900" w:type="dxa"/>
                  <w:gridSpan w:val="10"/>
                  <w:noWrap w:val="0"/>
                  <w:vAlign w:val="center"/>
                </w:tcPr>
                <w:p w14:paraId="4917A3FE">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eastAsia="宋体"/>
                      <w:color w:val="auto"/>
                      <w:sz w:val="21"/>
                      <w:szCs w:val="21"/>
                      <w:lang w:val="en-US" w:eastAsia="zh-CN"/>
                    </w:rPr>
                  </w:pPr>
                  <w:r>
                    <w:rPr>
                      <w:rFonts w:hint="eastAsia" w:ascii="Times New Roman" w:hAnsi="Times New Roman" w:eastAsia="宋体" w:cs="Times New Roman"/>
                      <w:color w:val="auto"/>
                      <w:sz w:val="21"/>
                      <w:szCs w:val="21"/>
                    </w:rPr>
                    <w:t>项目厂界外50m范围内无声环境保护目标</w:t>
                  </w:r>
                  <w:r>
                    <w:rPr>
                      <w:rFonts w:hint="eastAsia" w:ascii="Times New Roman" w:hAnsi="Times New Roman" w:eastAsia="宋体" w:cs="Times New Roman"/>
                      <w:color w:val="auto"/>
                      <w:sz w:val="21"/>
                      <w:szCs w:val="21"/>
                      <w:lang w:val="en-US" w:eastAsia="zh-CN"/>
                    </w:rPr>
                    <w:t>分布。</w:t>
                  </w:r>
                </w:p>
              </w:tc>
            </w:tr>
            <w:tr w14:paraId="209B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381" w:hRule="atLeast"/>
              </w:trPr>
              <w:tc>
                <w:tcPr>
                  <w:tcW w:w="924" w:type="dxa"/>
                  <w:gridSpan w:val="2"/>
                  <w:noWrap w:val="0"/>
                  <w:vAlign w:val="center"/>
                </w:tcPr>
                <w:p w14:paraId="03690E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土壤环境</w:t>
                  </w:r>
                </w:p>
              </w:tc>
              <w:tc>
                <w:tcPr>
                  <w:tcW w:w="6900" w:type="dxa"/>
                  <w:gridSpan w:val="10"/>
                  <w:noWrap w:val="0"/>
                  <w:vAlign w:val="center"/>
                </w:tcPr>
                <w:p w14:paraId="2745C513">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厂区</w:t>
                  </w:r>
                  <w:r>
                    <w:rPr>
                      <w:rFonts w:hint="eastAsia" w:ascii="Times New Roman" w:hAnsi="Times New Roman" w:eastAsia="宋体" w:cs="Times New Roman"/>
                      <w:color w:val="auto"/>
                      <w:sz w:val="21"/>
                      <w:szCs w:val="21"/>
                    </w:rPr>
                    <w:t>范围内</w:t>
                  </w:r>
                  <w:r>
                    <w:rPr>
                      <w:rFonts w:hint="eastAsia" w:ascii="Times New Roman" w:hAnsi="Times New Roman" w:eastAsia="宋体" w:cs="Times New Roman"/>
                      <w:color w:val="auto"/>
                      <w:sz w:val="21"/>
                      <w:szCs w:val="21"/>
                      <w:lang w:val="en-US" w:eastAsia="zh-CN"/>
                    </w:rPr>
                    <w:t>及周边可能受影响的土壤。</w:t>
                  </w:r>
                </w:p>
              </w:tc>
            </w:tr>
            <w:tr w14:paraId="1578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381" w:hRule="atLeast"/>
              </w:trPr>
              <w:tc>
                <w:tcPr>
                  <w:tcW w:w="924" w:type="dxa"/>
                  <w:gridSpan w:val="2"/>
                  <w:noWrap w:val="0"/>
                  <w:vAlign w:val="center"/>
                </w:tcPr>
                <w:p w14:paraId="3A6217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生态环境</w:t>
                  </w:r>
                </w:p>
              </w:tc>
              <w:tc>
                <w:tcPr>
                  <w:tcW w:w="6900" w:type="dxa"/>
                  <w:gridSpan w:val="10"/>
                  <w:noWrap w:val="0"/>
                  <w:vAlign w:val="center"/>
                </w:tcPr>
                <w:p w14:paraId="0D54477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厂界5</w:t>
                  </w:r>
                  <w:r>
                    <w:rPr>
                      <w:rFonts w:hint="eastAsia" w:ascii="Times New Roman" w:hAnsi="Times New Roman" w:eastAsia="宋体" w:cs="Times New Roman"/>
                      <w:color w:val="auto"/>
                      <w:sz w:val="21"/>
                      <w:szCs w:val="21"/>
                    </w:rPr>
                    <w:t>0m范围内</w:t>
                  </w:r>
                  <w:r>
                    <w:rPr>
                      <w:rFonts w:hint="eastAsia" w:ascii="Times New Roman" w:hAnsi="Times New Roman" w:eastAsia="宋体" w:cs="Times New Roman"/>
                      <w:color w:val="auto"/>
                      <w:sz w:val="21"/>
                      <w:szCs w:val="21"/>
                      <w:lang w:val="en-US" w:eastAsia="zh-CN"/>
                    </w:rPr>
                    <w:t>的植被、动物。</w:t>
                  </w:r>
                </w:p>
              </w:tc>
            </w:tr>
          </w:tbl>
          <w:p w14:paraId="72256D8C">
            <w:pPr>
              <w:ind w:left="0" w:leftChars="0" w:firstLine="0" w:firstLineChars="0"/>
              <w:rPr>
                <w:rFonts w:hint="eastAsia" w:eastAsia="宋体"/>
                <w:color w:val="auto"/>
                <w:highlight w:val="none"/>
                <w:lang w:val="en-US" w:eastAsia="zh-CN"/>
              </w:rPr>
            </w:pPr>
          </w:p>
        </w:tc>
      </w:tr>
      <w:tr w14:paraId="023A59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dxa"/>
            <w:vAlign w:val="center"/>
          </w:tcPr>
          <w:p w14:paraId="4116C006">
            <w:pPr>
              <w:ind w:firstLine="0" w:firstLineChars="0"/>
              <w:jc w:val="center"/>
              <w:rPr>
                <w:color w:val="auto"/>
                <w:highlight w:val="none"/>
              </w:rPr>
            </w:pPr>
            <w:r>
              <w:rPr>
                <w:rFonts w:hint="eastAsia"/>
                <w:color w:val="auto"/>
                <w:highlight w:val="none"/>
              </w:rPr>
              <w:t>污染物排放控制标准</w:t>
            </w:r>
          </w:p>
        </w:tc>
        <w:tc>
          <w:tcPr>
            <w:tcW w:w="8090" w:type="dxa"/>
            <w:vAlign w:val="center"/>
          </w:tcPr>
          <w:p w14:paraId="5AE014CD">
            <w:pPr>
              <w:numPr>
                <w:ilvl w:val="0"/>
                <w:numId w:val="0"/>
              </w:numPr>
              <w:ind w:firstLine="482" w:firstLineChars="200"/>
              <w:rPr>
                <w:rFonts w:hint="eastAsia"/>
                <w:b/>
                <w:bCs/>
                <w:color w:val="auto"/>
                <w:highlight w:val="none"/>
                <w:lang w:val="en-US" w:eastAsia="zh-CN"/>
              </w:rPr>
            </w:pPr>
            <w:r>
              <w:rPr>
                <w:rFonts w:hint="eastAsia"/>
                <w:b/>
                <w:bCs/>
                <w:color w:val="auto"/>
                <w:highlight w:val="none"/>
                <w:lang w:val="en-US" w:eastAsia="zh-CN"/>
              </w:rPr>
              <w:t>1、废水</w:t>
            </w:r>
          </w:p>
          <w:p w14:paraId="1998D133">
            <w:pPr>
              <w:numPr>
                <w:ilvl w:val="0"/>
                <w:numId w:val="0"/>
              </w:numPr>
              <w:ind w:firstLine="482" w:firstLineChars="200"/>
              <w:rPr>
                <w:rFonts w:hint="eastAsia"/>
                <w:b/>
                <w:bCs/>
                <w:color w:val="auto"/>
                <w:highlight w:val="none"/>
                <w:lang w:val="en-US" w:eastAsia="zh-CN"/>
              </w:rPr>
            </w:pPr>
            <w:r>
              <w:rPr>
                <w:rFonts w:hint="eastAsia"/>
                <w:b/>
                <w:bCs/>
                <w:color w:val="auto"/>
                <w:highlight w:val="none"/>
                <w:lang w:val="en-US" w:eastAsia="zh-CN"/>
              </w:rPr>
              <w:t>（1）施工期</w:t>
            </w:r>
          </w:p>
          <w:p w14:paraId="5C236FC0">
            <w:pPr>
              <w:numPr>
                <w:ilvl w:val="0"/>
                <w:numId w:val="0"/>
              </w:numPr>
              <w:ind w:firstLine="480" w:firstLineChars="200"/>
              <w:rPr>
                <w:rFonts w:hint="default"/>
                <w:b w:val="0"/>
                <w:bCs w:val="0"/>
                <w:color w:val="auto"/>
                <w:highlight w:val="none"/>
                <w:lang w:val="en-US" w:eastAsia="zh-CN"/>
              </w:rPr>
            </w:pPr>
            <w:r>
              <w:rPr>
                <w:rFonts w:hint="default"/>
                <w:b w:val="0"/>
                <w:bCs w:val="0"/>
                <w:color w:val="auto"/>
                <w:highlight w:val="none"/>
                <w:lang w:val="en-US" w:eastAsia="zh-CN"/>
              </w:rPr>
              <w:t>本项目施工期废水经收集沉淀处理后全部回用于施工过程和场地洒水抑尘，不外排。</w:t>
            </w:r>
          </w:p>
          <w:p w14:paraId="04BFFB0D">
            <w:pPr>
              <w:numPr>
                <w:ilvl w:val="0"/>
                <w:numId w:val="0"/>
              </w:numPr>
              <w:ind w:firstLine="482" w:firstLineChars="200"/>
              <w:rPr>
                <w:rFonts w:hint="default"/>
                <w:b/>
                <w:bCs/>
                <w:color w:val="auto"/>
                <w:highlight w:val="none"/>
                <w:lang w:val="en-US" w:eastAsia="zh-CN"/>
              </w:rPr>
            </w:pPr>
            <w:r>
              <w:rPr>
                <w:rFonts w:hint="eastAsia"/>
                <w:b/>
                <w:bCs/>
                <w:color w:val="auto"/>
                <w:highlight w:val="none"/>
                <w:lang w:val="en-US" w:eastAsia="zh-CN"/>
              </w:rPr>
              <w:t>（2）运营期</w:t>
            </w:r>
          </w:p>
          <w:p w14:paraId="3C05C881">
            <w:pPr>
              <w:spacing w:line="360" w:lineRule="auto"/>
              <w:ind w:firstLine="480" w:firstLineChars="200"/>
              <w:rPr>
                <w:rFonts w:hint="eastAsia" w:cs="Times New Roman"/>
                <w:color w:val="auto"/>
                <w:spacing w:val="2"/>
                <w:sz w:val="24"/>
                <w:szCs w:val="24"/>
                <w:highlight w:val="none"/>
                <w:lang w:val="en-US" w:eastAsia="zh-CN"/>
              </w:rPr>
            </w:pPr>
            <w:r>
              <w:rPr>
                <w:rFonts w:hint="eastAsia" w:cs="Times New Roman"/>
                <w:color w:val="auto"/>
                <w:sz w:val="24"/>
                <w:szCs w:val="24"/>
                <w:lang w:val="en-US" w:eastAsia="zh-CN"/>
              </w:rPr>
              <w:t>项目产生的</w:t>
            </w:r>
            <w:r>
              <w:rPr>
                <w:rFonts w:hint="default" w:ascii="Times New Roman" w:hAnsi="Times New Roman" w:cs="Times New Roman"/>
                <w:color w:val="auto"/>
                <w:sz w:val="24"/>
                <w:szCs w:val="24"/>
              </w:rPr>
              <w:t>初期雨水</w:t>
            </w:r>
            <w:r>
              <w:rPr>
                <w:rFonts w:hint="eastAsia" w:cs="Times New Roman"/>
                <w:color w:val="auto"/>
                <w:sz w:val="24"/>
                <w:szCs w:val="24"/>
                <w:lang w:eastAsia="zh-CN"/>
              </w:rPr>
              <w:t>、</w:t>
            </w:r>
            <w:r>
              <w:rPr>
                <w:rFonts w:hint="eastAsia" w:cs="Times New Roman"/>
                <w:color w:val="auto"/>
                <w:sz w:val="24"/>
                <w:szCs w:val="24"/>
                <w:lang w:val="en-US" w:eastAsia="zh-CN"/>
              </w:rPr>
              <w:t>车辆及设备冲洗废水、</w:t>
            </w:r>
            <w:r>
              <w:rPr>
                <w:rFonts w:hint="eastAsia" w:ascii="Times New Roman" w:hAnsi="Times New Roman" w:cs="Times New Roman"/>
                <w:color w:val="auto"/>
                <w:sz w:val="24"/>
                <w:szCs w:val="24"/>
                <w:lang w:val="en-US" w:eastAsia="zh-CN"/>
              </w:rPr>
              <w:t>场地冲洗废水</w:t>
            </w:r>
            <w:r>
              <w:rPr>
                <w:rFonts w:hint="default" w:ascii="Times New Roman" w:hAnsi="Times New Roman" w:cs="Times New Roman"/>
                <w:color w:val="auto"/>
                <w:sz w:val="24"/>
                <w:szCs w:val="24"/>
              </w:rPr>
              <w:t>排入三级隔油沉淀池处理</w:t>
            </w:r>
            <w:r>
              <w:rPr>
                <w:rFonts w:hint="eastAsia" w:cs="Times New Roman"/>
                <w:color w:val="auto"/>
                <w:sz w:val="24"/>
                <w:szCs w:val="24"/>
                <w:lang w:val="en-US" w:eastAsia="zh-CN"/>
              </w:rPr>
              <w:t>后</w:t>
            </w:r>
            <w:r>
              <w:rPr>
                <w:rFonts w:hint="eastAsia" w:ascii="Times New Roman" w:hAnsi="Times New Roman" w:eastAsia="宋体" w:cs="Times New Roman"/>
                <w:smallCaps w:val="0"/>
                <w:color w:val="auto"/>
                <w:sz w:val="24"/>
                <w:szCs w:val="24"/>
                <w:lang w:val="en-US" w:eastAsia="zh-CN"/>
              </w:rPr>
              <w:t>回</w:t>
            </w:r>
            <w:r>
              <w:rPr>
                <w:rFonts w:hint="default" w:ascii="Times New Roman" w:hAnsi="Times New Roman" w:eastAsia="宋体" w:cs="Times New Roman"/>
                <w:smallCaps w:val="0"/>
                <w:color w:val="auto"/>
                <w:sz w:val="24"/>
                <w:szCs w:val="24"/>
                <w:lang w:val="en-US" w:eastAsia="zh-CN"/>
              </w:rPr>
              <w:t>用于</w:t>
            </w:r>
            <w:r>
              <w:rPr>
                <w:rFonts w:hint="eastAsia" w:ascii="Times New Roman" w:hAnsi="Times New Roman" w:eastAsia="宋体" w:cs="Times New Roman"/>
                <w:smallCaps w:val="0"/>
                <w:color w:val="auto"/>
                <w:sz w:val="24"/>
                <w:szCs w:val="24"/>
                <w:lang w:val="en-US" w:eastAsia="zh-CN"/>
              </w:rPr>
              <w:t>厂区地面</w:t>
            </w:r>
            <w:r>
              <w:rPr>
                <w:rFonts w:hint="default" w:ascii="Times New Roman" w:hAnsi="Times New Roman" w:eastAsia="宋体" w:cs="Times New Roman"/>
                <w:smallCaps w:val="0"/>
                <w:color w:val="auto"/>
                <w:sz w:val="24"/>
                <w:szCs w:val="24"/>
                <w:lang w:val="en-US" w:eastAsia="zh-CN"/>
              </w:rPr>
              <w:t>搅拌工作区地面冲洗</w:t>
            </w:r>
            <w:r>
              <w:rPr>
                <w:rFonts w:hint="eastAsia" w:ascii="Times New Roman" w:hAnsi="Times New Roman" w:eastAsia="宋体" w:cs="Times New Roman"/>
                <w:smallCaps w:val="0"/>
                <w:color w:val="auto"/>
                <w:sz w:val="24"/>
                <w:szCs w:val="24"/>
                <w:lang w:val="en-US" w:eastAsia="zh-CN"/>
              </w:rPr>
              <w:t>及洒水降尘</w:t>
            </w:r>
            <w:r>
              <w:rPr>
                <w:rFonts w:hint="eastAsia" w:cs="Times New Roman"/>
                <w:b w:val="0"/>
                <w:bCs w:val="0"/>
                <w:color w:val="auto"/>
                <w:sz w:val="24"/>
                <w:szCs w:val="24"/>
                <w:highlight w:val="none"/>
                <w:lang w:val="en-US" w:eastAsia="zh-CN"/>
              </w:rPr>
              <w:t>，</w:t>
            </w:r>
            <w:r>
              <w:rPr>
                <w:rFonts w:hint="eastAsia" w:ascii="Times New Roman" w:hAnsi="Times New Roman" w:cs="Times New Roman"/>
                <w:color w:val="auto"/>
                <w:spacing w:val="2"/>
                <w:sz w:val="24"/>
                <w:szCs w:val="24"/>
                <w:highlight w:val="none"/>
                <w:lang w:val="en-US" w:eastAsia="zh-CN"/>
              </w:rPr>
              <w:t>执行</w:t>
            </w:r>
            <w:r>
              <w:rPr>
                <w:rFonts w:hint="default" w:ascii="Times New Roman" w:hAnsi="Times New Roman" w:cs="Times New Roman"/>
                <w:color w:val="auto"/>
                <w:spacing w:val="2"/>
                <w:sz w:val="24"/>
                <w:szCs w:val="24"/>
                <w:highlight w:val="none"/>
                <w:lang w:val="en-US" w:eastAsia="zh-CN"/>
              </w:rPr>
              <w:t>《城市污水再生利用 城市杂用水水质》（GB/T18920-20</w:t>
            </w:r>
            <w:r>
              <w:rPr>
                <w:rFonts w:hint="eastAsia" w:ascii="Times New Roman" w:hAnsi="Times New Roman" w:cs="Times New Roman"/>
                <w:color w:val="auto"/>
                <w:spacing w:val="2"/>
                <w:sz w:val="24"/>
                <w:szCs w:val="24"/>
                <w:highlight w:val="none"/>
                <w:lang w:val="en-US" w:eastAsia="zh-CN"/>
              </w:rPr>
              <w:t>20</w:t>
            </w:r>
            <w:r>
              <w:rPr>
                <w:rFonts w:hint="default" w:ascii="Times New Roman" w:hAnsi="Times New Roman" w:cs="Times New Roman"/>
                <w:color w:val="auto"/>
                <w:spacing w:val="2"/>
                <w:sz w:val="24"/>
                <w:szCs w:val="24"/>
                <w:highlight w:val="none"/>
                <w:lang w:val="en-US" w:eastAsia="zh-CN"/>
              </w:rPr>
              <w:t>）标准中</w:t>
            </w:r>
            <w:r>
              <w:rPr>
                <w:rFonts w:hint="eastAsia" w:ascii="Times New Roman" w:hAnsi="Times New Roman" w:cs="Times New Roman"/>
                <w:color w:val="auto"/>
                <w:spacing w:val="2"/>
                <w:sz w:val="24"/>
                <w:szCs w:val="24"/>
                <w:highlight w:val="none"/>
                <w:lang w:val="en-US" w:eastAsia="zh-CN"/>
              </w:rPr>
              <w:t>道路清扫</w:t>
            </w:r>
            <w:r>
              <w:rPr>
                <w:rFonts w:hint="default" w:ascii="Times New Roman" w:hAnsi="Times New Roman" w:cs="Times New Roman"/>
                <w:color w:val="auto"/>
                <w:spacing w:val="2"/>
                <w:sz w:val="24"/>
                <w:szCs w:val="24"/>
                <w:highlight w:val="none"/>
                <w:lang w:val="en-US" w:eastAsia="zh-CN"/>
              </w:rPr>
              <w:t>标准值，</w:t>
            </w:r>
            <w:r>
              <w:rPr>
                <w:rFonts w:hint="default" w:ascii="Times New Roman" w:hAnsi="Times New Roman" w:eastAsia="宋体" w:cs="Times New Roman"/>
                <w:color w:val="auto"/>
                <w:spacing w:val="2"/>
                <w:sz w:val="24"/>
                <w:szCs w:val="24"/>
                <w:highlight w:val="none"/>
                <w:lang w:val="en-US" w:eastAsia="zh-CN"/>
              </w:rPr>
              <w:t>具体限值见下表</w:t>
            </w:r>
            <w:r>
              <w:rPr>
                <w:rFonts w:hint="eastAsia" w:cs="Times New Roman"/>
                <w:color w:val="auto"/>
                <w:spacing w:val="2"/>
                <w:sz w:val="24"/>
                <w:szCs w:val="24"/>
                <w:highlight w:val="none"/>
                <w:lang w:val="en-US" w:eastAsia="zh-CN"/>
              </w:rPr>
              <w:t>3-7。</w:t>
            </w:r>
          </w:p>
          <w:p w14:paraId="6A8A649A">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项</w:t>
            </w:r>
            <w:r>
              <w:rPr>
                <w:rFonts w:hint="default" w:ascii="Times New Roman" w:hAnsi="Times New Roman" w:cs="Times New Roman"/>
                <w:color w:val="auto"/>
                <w:sz w:val="24"/>
              </w:rPr>
              <w:t>目生活区产生的食堂废水先经</w:t>
            </w:r>
            <w:r>
              <w:rPr>
                <w:rFonts w:hint="eastAsia" w:cs="Times New Roman"/>
                <w:color w:val="auto"/>
                <w:sz w:val="24"/>
                <w:lang w:eastAsia="zh-CN"/>
              </w:rPr>
              <w:t>隔油池</w:t>
            </w:r>
            <w:r>
              <w:rPr>
                <w:rFonts w:hint="default" w:ascii="Times New Roman" w:hAnsi="Times New Roman" w:cs="Times New Roman"/>
                <w:color w:val="auto"/>
                <w:sz w:val="24"/>
              </w:rPr>
              <w:t>预处理后同其他生活污水一起排入化粪池进行处理，再排入自建污水处理站处理，</w:t>
            </w:r>
            <w:r>
              <w:rPr>
                <w:rFonts w:hint="default" w:ascii="Times New Roman" w:hAnsi="Times New Roman" w:cs="Times New Roman"/>
                <w:color w:val="auto"/>
                <w:sz w:val="24"/>
                <w:szCs w:val="24"/>
              </w:rPr>
              <w:t>近期达《城市污水再生利用 城市杂用水质》（GB/T18920-2002）中“</w:t>
            </w:r>
            <w:r>
              <w:rPr>
                <w:rFonts w:hint="eastAsia" w:ascii="Times New Roman" w:hAnsi="Times New Roman" w:cs="Times New Roman"/>
                <w:color w:val="auto"/>
                <w:sz w:val="24"/>
                <w:szCs w:val="24"/>
                <w:lang w:val="en-US" w:eastAsia="zh-CN"/>
              </w:rPr>
              <w:t>城市绿化</w:t>
            </w:r>
            <w:r>
              <w:rPr>
                <w:rFonts w:hint="default" w:ascii="Times New Roman" w:hAnsi="Times New Roman" w:cs="Times New Roman"/>
                <w:color w:val="auto"/>
                <w:sz w:val="24"/>
                <w:szCs w:val="24"/>
              </w:rPr>
              <w:t>标准”</w:t>
            </w:r>
            <w:r>
              <w:rPr>
                <w:rFonts w:hint="eastAsia" w:ascii="Times New Roman" w:hAnsi="Times New Roman" w:cs="Times New Roman"/>
                <w:color w:val="auto"/>
                <w:sz w:val="24"/>
                <w:szCs w:val="24"/>
                <w:lang w:val="en-US" w:eastAsia="zh-CN"/>
              </w:rPr>
              <w:t>用于绿化</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pacing w:val="2"/>
                <w:sz w:val="24"/>
                <w:szCs w:val="24"/>
                <w:highlight w:val="none"/>
                <w:lang w:val="en-US" w:eastAsia="zh-CN"/>
              </w:rPr>
              <w:t>具体限值见下表</w:t>
            </w:r>
            <w:r>
              <w:rPr>
                <w:rFonts w:hint="eastAsia" w:cs="Times New Roman"/>
                <w:color w:val="auto"/>
                <w:spacing w:val="2"/>
                <w:sz w:val="24"/>
                <w:szCs w:val="24"/>
                <w:highlight w:val="none"/>
                <w:lang w:val="en-US" w:eastAsia="zh-CN"/>
              </w:rPr>
              <w:t>3-7</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远期在污水管网覆盖项目区域后，达</w:t>
            </w:r>
            <w:r>
              <w:rPr>
                <w:rFonts w:hint="default" w:ascii="Times New Roman" w:hAnsi="Times New Roman" w:cs="Times New Roman"/>
                <w:bCs/>
                <w:color w:val="auto"/>
                <w:sz w:val="24"/>
                <w:szCs w:val="24"/>
              </w:rPr>
              <w:t>《污水排入城镇下水道水质标准》（GB/T31962-2015）中的B级标准</w:t>
            </w:r>
            <w:r>
              <w:rPr>
                <w:rFonts w:hint="default" w:ascii="Times New Roman" w:hAnsi="Times New Roman" w:cs="Times New Roman"/>
                <w:color w:val="auto"/>
                <w:sz w:val="24"/>
                <w:szCs w:val="24"/>
              </w:rPr>
              <w:t>后排入工业园区污水管网，进入</w:t>
            </w:r>
            <w:r>
              <w:rPr>
                <w:rFonts w:hint="default" w:ascii="Times New Roman" w:hAnsi="Times New Roman" w:eastAsia="宋体" w:cs="Times New Roman"/>
                <w:color w:val="auto"/>
                <w:sz w:val="24"/>
                <w:szCs w:val="24"/>
              </w:rPr>
              <w:t>帕底工业</w:t>
            </w:r>
            <w:r>
              <w:rPr>
                <w:rFonts w:hint="default" w:ascii="Times New Roman" w:hAnsi="Times New Roman" w:cs="Times New Roman"/>
                <w:color w:val="auto"/>
                <w:sz w:val="24"/>
                <w:szCs w:val="24"/>
              </w:rPr>
              <w:t>园区污水处理厂处理</w:t>
            </w:r>
            <w:r>
              <w:rPr>
                <w:rFonts w:hint="eastAsia" w:cs="Times New Roman"/>
                <w:color w:val="auto"/>
                <w:sz w:val="24"/>
                <w:szCs w:val="24"/>
                <w:lang w:eastAsia="zh-CN"/>
              </w:rPr>
              <w:t>，</w:t>
            </w:r>
            <w:r>
              <w:rPr>
                <w:rFonts w:hint="default" w:ascii="Times New Roman" w:hAnsi="Times New Roman" w:eastAsia="宋体" w:cs="Times New Roman"/>
                <w:color w:val="auto"/>
                <w:spacing w:val="2"/>
                <w:sz w:val="24"/>
                <w:szCs w:val="24"/>
                <w:highlight w:val="none"/>
                <w:lang w:val="en-US" w:eastAsia="zh-CN"/>
              </w:rPr>
              <w:t>具体限值见下表</w:t>
            </w:r>
            <w:r>
              <w:rPr>
                <w:rFonts w:hint="eastAsia" w:cs="Times New Roman"/>
                <w:color w:val="auto"/>
                <w:spacing w:val="2"/>
                <w:sz w:val="24"/>
                <w:szCs w:val="24"/>
                <w:highlight w:val="none"/>
                <w:lang w:val="en-US" w:eastAsia="zh-CN"/>
              </w:rPr>
              <w:t>3-8</w:t>
            </w:r>
            <w:r>
              <w:rPr>
                <w:rFonts w:hint="default" w:ascii="Times New Roman" w:hAnsi="Times New Roman" w:cs="Times New Roman"/>
                <w:color w:val="auto"/>
                <w:sz w:val="24"/>
                <w:szCs w:val="24"/>
              </w:rPr>
              <w:t>。</w:t>
            </w:r>
          </w:p>
          <w:p w14:paraId="53CED0F4">
            <w:pPr>
              <w:spacing w:line="240" w:lineRule="auto"/>
              <w:ind w:firstLine="422" w:firstLineChars="20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w:t>
            </w:r>
            <w:r>
              <w:rPr>
                <w:rFonts w:hint="eastAsia" w:ascii="Times New Roman" w:hAnsi="Times New Roman" w:eastAsia="宋体" w:cs="Times New Roman"/>
                <w:b/>
                <w:bCs/>
                <w:color w:val="auto"/>
                <w:kern w:val="0"/>
                <w:sz w:val="21"/>
                <w:szCs w:val="21"/>
                <w:lang w:val="en-US" w:eastAsia="zh-CN"/>
              </w:rPr>
              <w:t>3-</w:t>
            </w:r>
            <w:r>
              <w:rPr>
                <w:rFonts w:hint="eastAsia" w:cs="Times New Roman"/>
                <w:b/>
                <w:bCs/>
                <w:color w:val="auto"/>
                <w:kern w:val="0"/>
                <w:sz w:val="21"/>
                <w:szCs w:val="21"/>
                <w:lang w:val="en-US" w:eastAsia="zh-CN"/>
              </w:rPr>
              <w:t>7</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回用水执行标准一览表  单位：mg/L</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612"/>
              <w:gridCol w:w="2246"/>
              <w:gridCol w:w="2215"/>
            </w:tblGrid>
            <w:tr w14:paraId="01C2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6CE7BCC7">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序号</w:t>
                  </w:r>
                </w:p>
              </w:tc>
              <w:tc>
                <w:tcPr>
                  <w:tcW w:w="1661" w:type="pct"/>
                  <w:tcBorders>
                    <w:left w:val="nil"/>
                  </w:tcBorders>
                  <w:noWrap w:val="0"/>
                  <w:vAlign w:val="center"/>
                </w:tcPr>
                <w:p w14:paraId="02F74123">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项目</w:t>
                  </w:r>
                </w:p>
              </w:tc>
              <w:tc>
                <w:tcPr>
                  <w:tcW w:w="1428" w:type="pct"/>
                  <w:tcBorders>
                    <w:right w:val="single" w:color="auto" w:sz="4" w:space="0"/>
                  </w:tcBorders>
                  <w:noWrap w:val="0"/>
                  <w:vAlign w:val="center"/>
                </w:tcPr>
                <w:p w14:paraId="504ACE40">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道路清扫、城市绿化</w:t>
                  </w:r>
                </w:p>
              </w:tc>
              <w:tc>
                <w:tcPr>
                  <w:tcW w:w="1408" w:type="pct"/>
                  <w:noWrap w:val="0"/>
                  <w:vAlign w:val="center"/>
                </w:tcPr>
                <w:p w14:paraId="7E47DA5D">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备注</w:t>
                  </w:r>
                </w:p>
              </w:tc>
            </w:tr>
            <w:tr w14:paraId="39C0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0F97D785">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w:t>
                  </w:r>
                </w:p>
              </w:tc>
              <w:tc>
                <w:tcPr>
                  <w:tcW w:w="1661" w:type="pct"/>
                  <w:tcBorders>
                    <w:left w:val="nil"/>
                  </w:tcBorders>
                  <w:noWrap w:val="0"/>
                  <w:vAlign w:val="center"/>
                </w:tcPr>
                <w:p w14:paraId="2A406699">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pH</w:t>
                  </w:r>
                </w:p>
              </w:tc>
              <w:tc>
                <w:tcPr>
                  <w:tcW w:w="1428" w:type="pct"/>
                  <w:tcBorders>
                    <w:right w:val="single" w:color="auto" w:sz="4" w:space="0"/>
                  </w:tcBorders>
                  <w:noWrap w:val="0"/>
                  <w:vAlign w:val="center"/>
                </w:tcPr>
                <w:p w14:paraId="5052617E">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6.0-9.0</w:t>
                  </w:r>
                </w:p>
              </w:tc>
              <w:tc>
                <w:tcPr>
                  <w:tcW w:w="1408" w:type="pct"/>
                  <w:vMerge w:val="restart"/>
                  <w:noWrap w:val="0"/>
                  <w:vAlign w:val="center"/>
                </w:tcPr>
                <w:p w14:paraId="687A28BD">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《城市污水再生利用 城市杂用水水质》（GB/T18920-20</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）标准</w:t>
                  </w:r>
                </w:p>
              </w:tc>
            </w:tr>
            <w:tr w14:paraId="0DB6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2038FA9C">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2</w:t>
                  </w:r>
                </w:p>
              </w:tc>
              <w:tc>
                <w:tcPr>
                  <w:tcW w:w="1661" w:type="pct"/>
                  <w:tcBorders>
                    <w:left w:val="nil"/>
                  </w:tcBorders>
                  <w:noWrap w:val="0"/>
                  <w:vAlign w:val="center"/>
                </w:tcPr>
                <w:p w14:paraId="107089EB">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色（度）</w:t>
                  </w:r>
                </w:p>
              </w:tc>
              <w:tc>
                <w:tcPr>
                  <w:tcW w:w="1428" w:type="pct"/>
                  <w:tcBorders>
                    <w:right w:val="single" w:color="auto" w:sz="4" w:space="0"/>
                  </w:tcBorders>
                  <w:noWrap w:val="0"/>
                  <w:vAlign w:val="center"/>
                </w:tcPr>
                <w:p w14:paraId="7A331A80">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30</w:t>
                  </w:r>
                </w:p>
              </w:tc>
              <w:tc>
                <w:tcPr>
                  <w:tcW w:w="1408" w:type="pct"/>
                  <w:vMerge w:val="continue"/>
                  <w:noWrap w:val="0"/>
                  <w:vAlign w:val="center"/>
                </w:tcPr>
                <w:p w14:paraId="281A5471">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2707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5DC7C381">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3</w:t>
                  </w:r>
                </w:p>
              </w:tc>
              <w:tc>
                <w:tcPr>
                  <w:tcW w:w="1661" w:type="pct"/>
                  <w:tcBorders>
                    <w:left w:val="nil"/>
                  </w:tcBorders>
                  <w:noWrap w:val="0"/>
                  <w:vAlign w:val="center"/>
                </w:tcPr>
                <w:p w14:paraId="1480A3A3">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嗅</w:t>
                  </w:r>
                </w:p>
              </w:tc>
              <w:tc>
                <w:tcPr>
                  <w:tcW w:w="1428" w:type="pct"/>
                  <w:tcBorders>
                    <w:right w:val="single" w:color="auto" w:sz="4" w:space="0"/>
                  </w:tcBorders>
                  <w:noWrap w:val="0"/>
                  <w:vAlign w:val="center"/>
                </w:tcPr>
                <w:p w14:paraId="54AEAD85">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无不快感</w:t>
                  </w:r>
                </w:p>
              </w:tc>
              <w:tc>
                <w:tcPr>
                  <w:tcW w:w="1408" w:type="pct"/>
                  <w:vMerge w:val="continue"/>
                  <w:noWrap w:val="0"/>
                  <w:vAlign w:val="center"/>
                </w:tcPr>
                <w:p w14:paraId="3CFCB530">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41B7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01" w:type="pct"/>
                  <w:noWrap w:val="0"/>
                  <w:vAlign w:val="center"/>
                </w:tcPr>
                <w:p w14:paraId="3642B12C">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4</w:t>
                  </w:r>
                </w:p>
              </w:tc>
              <w:tc>
                <w:tcPr>
                  <w:tcW w:w="1661" w:type="pct"/>
                  <w:tcBorders>
                    <w:left w:val="nil"/>
                  </w:tcBorders>
                  <w:noWrap w:val="0"/>
                  <w:vAlign w:val="center"/>
                </w:tcPr>
                <w:p w14:paraId="002F511A">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浊度（NTU）</w:t>
                  </w:r>
                </w:p>
              </w:tc>
              <w:tc>
                <w:tcPr>
                  <w:tcW w:w="1428" w:type="pct"/>
                  <w:tcBorders>
                    <w:right w:val="single" w:color="auto" w:sz="4" w:space="0"/>
                  </w:tcBorders>
                  <w:noWrap w:val="0"/>
                  <w:vAlign w:val="center"/>
                </w:tcPr>
                <w:p w14:paraId="71E3EC55">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10</w:t>
                  </w:r>
                </w:p>
              </w:tc>
              <w:tc>
                <w:tcPr>
                  <w:tcW w:w="1408" w:type="pct"/>
                  <w:vMerge w:val="continue"/>
                  <w:noWrap w:val="0"/>
                  <w:vAlign w:val="center"/>
                </w:tcPr>
                <w:p w14:paraId="345F18A4">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27B3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243BF8A2">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5</w:t>
                  </w:r>
                </w:p>
              </w:tc>
              <w:tc>
                <w:tcPr>
                  <w:tcW w:w="1661" w:type="pct"/>
                  <w:tcBorders>
                    <w:left w:val="nil"/>
                  </w:tcBorders>
                  <w:noWrap w:val="0"/>
                  <w:vAlign w:val="center"/>
                </w:tcPr>
                <w:p w14:paraId="3E2AED92">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溶解性总固体（mg/L）</w:t>
                  </w:r>
                </w:p>
              </w:tc>
              <w:tc>
                <w:tcPr>
                  <w:tcW w:w="1428" w:type="pct"/>
                  <w:tcBorders>
                    <w:right w:val="single" w:color="auto" w:sz="4" w:space="0"/>
                  </w:tcBorders>
                  <w:noWrap w:val="0"/>
                  <w:vAlign w:val="center"/>
                </w:tcPr>
                <w:p w14:paraId="6ABA3D47">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1000</w:t>
                  </w:r>
                </w:p>
              </w:tc>
              <w:tc>
                <w:tcPr>
                  <w:tcW w:w="1408" w:type="pct"/>
                  <w:vMerge w:val="continue"/>
                  <w:noWrap w:val="0"/>
                  <w:vAlign w:val="center"/>
                </w:tcPr>
                <w:p w14:paraId="3B8F3304">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6B51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01" w:type="pct"/>
                  <w:noWrap w:val="0"/>
                  <w:vAlign w:val="center"/>
                </w:tcPr>
                <w:p w14:paraId="3F7989DD">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6</w:t>
                  </w:r>
                </w:p>
              </w:tc>
              <w:tc>
                <w:tcPr>
                  <w:tcW w:w="1661" w:type="pct"/>
                  <w:tcBorders>
                    <w:left w:val="nil"/>
                  </w:tcBorders>
                  <w:noWrap w:val="0"/>
                  <w:vAlign w:val="center"/>
                </w:tcPr>
                <w:p w14:paraId="369B141F">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BOD</w:t>
                  </w:r>
                  <w:r>
                    <w:rPr>
                      <w:rFonts w:hint="default" w:ascii="Times New Roman" w:hAnsi="Times New Roman" w:eastAsia="宋体" w:cs="Times New Roman"/>
                      <w:color w:val="auto"/>
                      <w:kern w:val="2"/>
                      <w:sz w:val="21"/>
                      <w:szCs w:val="21"/>
                      <w:highlight w:val="none"/>
                      <w:vertAlign w:val="subscript"/>
                    </w:rPr>
                    <w:t>5</w:t>
                  </w:r>
                  <w:r>
                    <w:rPr>
                      <w:rFonts w:hint="default" w:ascii="Times New Roman" w:hAnsi="Times New Roman" w:eastAsia="宋体" w:cs="Times New Roman"/>
                      <w:color w:val="auto"/>
                      <w:kern w:val="2"/>
                      <w:sz w:val="21"/>
                      <w:szCs w:val="21"/>
                      <w:highlight w:val="none"/>
                    </w:rPr>
                    <w:t>（mg/L）</w:t>
                  </w:r>
                </w:p>
              </w:tc>
              <w:tc>
                <w:tcPr>
                  <w:tcW w:w="1428" w:type="pct"/>
                  <w:tcBorders>
                    <w:right w:val="single" w:color="auto" w:sz="4" w:space="0"/>
                  </w:tcBorders>
                  <w:noWrap w:val="0"/>
                  <w:vAlign w:val="center"/>
                </w:tcPr>
                <w:p w14:paraId="2782867D">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w:t>
                  </w:r>
                </w:p>
              </w:tc>
              <w:tc>
                <w:tcPr>
                  <w:tcW w:w="1408" w:type="pct"/>
                  <w:vMerge w:val="continue"/>
                  <w:noWrap w:val="0"/>
                  <w:vAlign w:val="center"/>
                </w:tcPr>
                <w:p w14:paraId="5D5E5B08">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0917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0395BCB5">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7</w:t>
                  </w:r>
                </w:p>
              </w:tc>
              <w:tc>
                <w:tcPr>
                  <w:tcW w:w="1661" w:type="pct"/>
                  <w:tcBorders>
                    <w:left w:val="nil"/>
                  </w:tcBorders>
                  <w:noWrap w:val="0"/>
                  <w:vAlign w:val="center"/>
                </w:tcPr>
                <w:p w14:paraId="17569675">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氨氮（mg/L）</w:t>
                  </w:r>
                </w:p>
              </w:tc>
              <w:tc>
                <w:tcPr>
                  <w:tcW w:w="1428" w:type="pct"/>
                  <w:tcBorders>
                    <w:right w:val="single" w:color="auto" w:sz="4" w:space="0"/>
                  </w:tcBorders>
                  <w:noWrap w:val="0"/>
                  <w:vAlign w:val="center"/>
                </w:tcPr>
                <w:p w14:paraId="13AD61B1">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rPr>
                    <w:t>8</w:t>
                  </w:r>
                </w:p>
              </w:tc>
              <w:tc>
                <w:tcPr>
                  <w:tcW w:w="1408" w:type="pct"/>
                  <w:vMerge w:val="continue"/>
                  <w:noWrap w:val="0"/>
                  <w:vAlign w:val="center"/>
                </w:tcPr>
                <w:p w14:paraId="02E5953E">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001B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3E3E69B3">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8</w:t>
                  </w:r>
                </w:p>
              </w:tc>
              <w:tc>
                <w:tcPr>
                  <w:tcW w:w="1661" w:type="pct"/>
                  <w:tcBorders>
                    <w:left w:val="nil"/>
                  </w:tcBorders>
                  <w:noWrap w:val="0"/>
                  <w:vAlign w:val="center"/>
                </w:tcPr>
                <w:p w14:paraId="7B375604">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阴离子表面活性剂（mg/L）</w:t>
                  </w:r>
                </w:p>
              </w:tc>
              <w:tc>
                <w:tcPr>
                  <w:tcW w:w="1428" w:type="pct"/>
                  <w:tcBorders>
                    <w:right w:val="single" w:color="auto" w:sz="4" w:space="0"/>
                  </w:tcBorders>
                  <w:noWrap w:val="0"/>
                  <w:vAlign w:val="center"/>
                </w:tcPr>
                <w:p w14:paraId="37682E9A">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0.5</w:t>
                  </w:r>
                </w:p>
              </w:tc>
              <w:tc>
                <w:tcPr>
                  <w:tcW w:w="1408" w:type="pct"/>
                  <w:vMerge w:val="continue"/>
                  <w:noWrap w:val="0"/>
                  <w:vAlign w:val="center"/>
                </w:tcPr>
                <w:p w14:paraId="7F042B30">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5D65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4BB3130F">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9</w:t>
                  </w:r>
                </w:p>
              </w:tc>
              <w:tc>
                <w:tcPr>
                  <w:tcW w:w="1661" w:type="pct"/>
                  <w:tcBorders>
                    <w:left w:val="nil"/>
                  </w:tcBorders>
                  <w:noWrap w:val="0"/>
                  <w:vAlign w:val="center"/>
                </w:tcPr>
                <w:p w14:paraId="07A62D07">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铁（mg/L）</w:t>
                  </w:r>
                </w:p>
              </w:tc>
              <w:tc>
                <w:tcPr>
                  <w:tcW w:w="1428" w:type="pct"/>
                  <w:tcBorders>
                    <w:right w:val="single" w:color="auto" w:sz="4" w:space="0"/>
                  </w:tcBorders>
                  <w:noWrap w:val="0"/>
                  <w:vAlign w:val="center"/>
                </w:tcPr>
                <w:p w14:paraId="4AB64F7E">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1408" w:type="pct"/>
                  <w:vMerge w:val="continue"/>
                  <w:noWrap w:val="0"/>
                  <w:vAlign w:val="center"/>
                </w:tcPr>
                <w:p w14:paraId="6D6DB562">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4160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317A65B4">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10</w:t>
                  </w:r>
                </w:p>
              </w:tc>
              <w:tc>
                <w:tcPr>
                  <w:tcW w:w="1661" w:type="pct"/>
                  <w:tcBorders>
                    <w:left w:val="nil"/>
                  </w:tcBorders>
                  <w:noWrap w:val="0"/>
                  <w:vAlign w:val="center"/>
                </w:tcPr>
                <w:p w14:paraId="7FDA9C10">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锰（mg/L）</w:t>
                  </w:r>
                </w:p>
              </w:tc>
              <w:tc>
                <w:tcPr>
                  <w:tcW w:w="1428" w:type="pct"/>
                  <w:tcBorders>
                    <w:right w:val="single" w:color="auto" w:sz="4" w:space="0"/>
                  </w:tcBorders>
                  <w:noWrap w:val="0"/>
                  <w:vAlign w:val="center"/>
                </w:tcPr>
                <w:p w14:paraId="340E161D">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1408" w:type="pct"/>
                  <w:vMerge w:val="continue"/>
                  <w:noWrap w:val="0"/>
                  <w:vAlign w:val="center"/>
                </w:tcPr>
                <w:p w14:paraId="6AB3D4A4">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1BDD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62272A57">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11</w:t>
                  </w:r>
                </w:p>
              </w:tc>
              <w:tc>
                <w:tcPr>
                  <w:tcW w:w="1661" w:type="pct"/>
                  <w:tcBorders>
                    <w:left w:val="nil"/>
                  </w:tcBorders>
                  <w:noWrap w:val="0"/>
                  <w:vAlign w:val="center"/>
                </w:tcPr>
                <w:p w14:paraId="1EE1DE17">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溶解氧（mg/L）</w:t>
                  </w:r>
                </w:p>
              </w:tc>
              <w:tc>
                <w:tcPr>
                  <w:tcW w:w="1428" w:type="pct"/>
                  <w:tcBorders>
                    <w:right w:val="single" w:color="auto" w:sz="4" w:space="0"/>
                  </w:tcBorders>
                  <w:noWrap w:val="0"/>
                  <w:vAlign w:val="center"/>
                </w:tcPr>
                <w:p w14:paraId="773FE339">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w:t>
                  </w:r>
                </w:p>
              </w:tc>
              <w:tc>
                <w:tcPr>
                  <w:tcW w:w="1408" w:type="pct"/>
                  <w:vMerge w:val="continue"/>
                  <w:noWrap w:val="0"/>
                  <w:vAlign w:val="center"/>
                </w:tcPr>
                <w:p w14:paraId="47EFE143">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610B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3F077C6B">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12</w:t>
                  </w:r>
                </w:p>
              </w:tc>
              <w:tc>
                <w:tcPr>
                  <w:tcW w:w="1661" w:type="pct"/>
                  <w:tcBorders>
                    <w:left w:val="nil"/>
                  </w:tcBorders>
                  <w:noWrap w:val="0"/>
                  <w:vAlign w:val="center"/>
                </w:tcPr>
                <w:p w14:paraId="4C673F53">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总余氯（mg/L）</w:t>
                  </w:r>
                </w:p>
              </w:tc>
              <w:tc>
                <w:tcPr>
                  <w:tcW w:w="1428" w:type="pct"/>
                  <w:tcBorders>
                    <w:right w:val="single" w:color="auto" w:sz="4" w:space="0"/>
                  </w:tcBorders>
                  <w:noWrap w:val="0"/>
                  <w:vAlign w:val="center"/>
                </w:tcPr>
                <w:p w14:paraId="2876563E">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接触30min后≥1.0，管网末端≥0.2</w:t>
                  </w:r>
                </w:p>
              </w:tc>
              <w:tc>
                <w:tcPr>
                  <w:tcW w:w="1408" w:type="pct"/>
                  <w:vMerge w:val="continue"/>
                  <w:noWrap w:val="0"/>
                  <w:vAlign w:val="center"/>
                </w:tcPr>
                <w:p w14:paraId="02DBB43A">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1C9E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7DD28C6A">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13</w:t>
                  </w:r>
                </w:p>
              </w:tc>
              <w:tc>
                <w:tcPr>
                  <w:tcW w:w="1661" w:type="pct"/>
                  <w:tcBorders>
                    <w:left w:val="nil"/>
                  </w:tcBorders>
                  <w:noWrap w:val="0"/>
                  <w:vAlign w:val="center"/>
                </w:tcPr>
                <w:p w14:paraId="6D9DEA6C">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大肠</w:t>
                  </w:r>
                  <w:r>
                    <w:rPr>
                      <w:rFonts w:hint="eastAsia" w:ascii="Times New Roman" w:hAnsi="Times New Roman" w:eastAsia="宋体" w:cs="Times New Roman"/>
                      <w:color w:val="auto"/>
                      <w:kern w:val="2"/>
                      <w:sz w:val="21"/>
                      <w:szCs w:val="21"/>
                      <w:highlight w:val="none"/>
                      <w:lang w:eastAsia="zh-CN"/>
                    </w:rPr>
                    <w:t>埃希氏</w:t>
                  </w:r>
                  <w:r>
                    <w:rPr>
                      <w:rFonts w:hint="default" w:ascii="Times New Roman" w:hAnsi="Times New Roman" w:eastAsia="宋体" w:cs="Times New Roman"/>
                      <w:color w:val="auto"/>
                      <w:kern w:val="2"/>
                      <w:sz w:val="21"/>
                      <w:szCs w:val="21"/>
                      <w:highlight w:val="none"/>
                    </w:rPr>
                    <w:t>菌（</w:t>
                  </w:r>
                  <w:r>
                    <w:rPr>
                      <w:rFonts w:hint="eastAsia" w:ascii="Times New Roman" w:hAnsi="Times New Roman" w:eastAsia="宋体" w:cs="Times New Roman"/>
                      <w:color w:val="auto"/>
                      <w:kern w:val="2"/>
                      <w:sz w:val="21"/>
                      <w:szCs w:val="21"/>
                      <w:highlight w:val="none"/>
                      <w:lang w:val="en-US" w:eastAsia="zh-CN"/>
                    </w:rPr>
                    <w:t>MPN</w:t>
                  </w: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100m</w:t>
                  </w:r>
                  <w:r>
                    <w:rPr>
                      <w:rFonts w:hint="default" w:ascii="Times New Roman" w:hAnsi="Times New Roman" w:eastAsia="宋体" w:cs="Times New Roman"/>
                      <w:color w:val="auto"/>
                      <w:kern w:val="2"/>
                      <w:sz w:val="21"/>
                      <w:szCs w:val="21"/>
                      <w:highlight w:val="none"/>
                    </w:rPr>
                    <w:t>L）</w:t>
                  </w:r>
                </w:p>
              </w:tc>
              <w:tc>
                <w:tcPr>
                  <w:tcW w:w="1428" w:type="pct"/>
                  <w:tcBorders>
                    <w:right w:val="single" w:color="auto" w:sz="4" w:space="0"/>
                  </w:tcBorders>
                  <w:noWrap w:val="0"/>
                  <w:vAlign w:val="center"/>
                </w:tcPr>
                <w:p w14:paraId="4E8DB7C1">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eastAsia="zh-CN"/>
                    </w:rPr>
                    <w:t>无</w:t>
                  </w:r>
                </w:p>
              </w:tc>
              <w:tc>
                <w:tcPr>
                  <w:tcW w:w="1408" w:type="pct"/>
                  <w:vMerge w:val="continue"/>
                  <w:noWrap w:val="0"/>
                  <w:vAlign w:val="center"/>
                </w:tcPr>
                <w:p w14:paraId="0E75C659">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r w14:paraId="3D5B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 w:type="pct"/>
                  <w:noWrap w:val="0"/>
                  <w:vAlign w:val="center"/>
                </w:tcPr>
                <w:p w14:paraId="761C38FD">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14</w:t>
                  </w:r>
                </w:p>
              </w:tc>
              <w:tc>
                <w:tcPr>
                  <w:tcW w:w="1661" w:type="pct"/>
                  <w:tcBorders>
                    <w:left w:val="nil"/>
                  </w:tcBorders>
                  <w:noWrap w:val="0"/>
                  <w:vAlign w:val="center"/>
                </w:tcPr>
                <w:p w14:paraId="24F96670">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石油类</w:t>
                  </w:r>
                </w:p>
              </w:tc>
              <w:tc>
                <w:tcPr>
                  <w:tcW w:w="1428" w:type="pct"/>
                  <w:tcBorders>
                    <w:right w:val="single" w:color="auto" w:sz="4" w:space="0"/>
                  </w:tcBorders>
                  <w:noWrap w:val="0"/>
                  <w:vAlign w:val="center"/>
                </w:tcPr>
                <w:p w14:paraId="4CC13D36">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1408" w:type="pct"/>
                  <w:vMerge w:val="continue"/>
                  <w:noWrap w:val="0"/>
                  <w:vAlign w:val="center"/>
                </w:tcPr>
                <w:p w14:paraId="5F8B1F01">
                  <w:pPr>
                    <w:pStyle w:val="7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rPr>
                  </w:pPr>
                </w:p>
              </w:tc>
            </w:tr>
          </w:tbl>
          <w:p w14:paraId="2C79810D">
            <w:pPr>
              <w:spacing w:line="240" w:lineRule="auto"/>
              <w:ind w:firstLine="422" w:firstLineChars="20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w:t>
            </w:r>
            <w:r>
              <w:rPr>
                <w:rFonts w:hint="eastAsia" w:eastAsia="宋体" w:cs="Times New Roman"/>
                <w:b/>
                <w:bCs/>
                <w:color w:val="auto"/>
                <w:kern w:val="0"/>
                <w:sz w:val="21"/>
                <w:szCs w:val="21"/>
                <w:lang w:val="en-US" w:eastAsia="zh-CN"/>
              </w:rPr>
              <w:t>3-8</w:t>
            </w:r>
            <w:r>
              <w:rPr>
                <w:rFonts w:hint="default" w:ascii="Times New Roman" w:hAnsi="Times New Roman" w:eastAsia="宋体" w:cs="Times New Roman"/>
                <w:b/>
                <w:bCs/>
                <w:color w:val="auto"/>
                <w:kern w:val="0"/>
                <w:sz w:val="21"/>
                <w:szCs w:val="21"/>
                <w:lang w:val="en-US" w:eastAsia="zh-CN"/>
              </w:rPr>
              <w:t xml:space="preserve"> 城镇污水处理厂污染物排放标准  单位：mg/L</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3361"/>
              <w:gridCol w:w="1493"/>
              <w:gridCol w:w="1892"/>
            </w:tblGrid>
            <w:tr w14:paraId="3719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09" w:type="pct"/>
                  <w:noWrap w:val="0"/>
                  <w:vAlign w:val="center"/>
                </w:tcPr>
                <w:p w14:paraId="39F2287A">
                  <w:pPr>
                    <w:spacing w:line="240" w:lineRule="auto"/>
                    <w:ind w:firstLine="0" w:firstLineChars="0"/>
                    <w:jc w:val="center"/>
                    <w:rPr>
                      <w:b/>
                      <w:bCs/>
                      <w:color w:val="auto"/>
                      <w:sz w:val="21"/>
                      <w:szCs w:val="21"/>
                    </w:rPr>
                  </w:pPr>
                  <w:r>
                    <w:rPr>
                      <w:b/>
                      <w:bCs/>
                      <w:color w:val="auto"/>
                      <w:sz w:val="21"/>
                      <w:szCs w:val="21"/>
                    </w:rPr>
                    <w:t>序号</w:t>
                  </w:r>
                </w:p>
              </w:tc>
              <w:tc>
                <w:tcPr>
                  <w:tcW w:w="2137" w:type="pct"/>
                  <w:noWrap w:val="0"/>
                  <w:vAlign w:val="center"/>
                </w:tcPr>
                <w:p w14:paraId="71736606">
                  <w:pPr>
                    <w:spacing w:line="240" w:lineRule="auto"/>
                    <w:ind w:firstLine="0" w:firstLineChars="0"/>
                    <w:jc w:val="center"/>
                    <w:rPr>
                      <w:b/>
                      <w:bCs/>
                      <w:color w:val="auto"/>
                      <w:sz w:val="21"/>
                      <w:szCs w:val="21"/>
                    </w:rPr>
                  </w:pPr>
                  <w:r>
                    <w:rPr>
                      <w:b/>
                      <w:bCs/>
                      <w:color w:val="auto"/>
                      <w:sz w:val="21"/>
                      <w:szCs w:val="21"/>
                    </w:rPr>
                    <w:t>项目</w:t>
                  </w:r>
                </w:p>
              </w:tc>
              <w:tc>
                <w:tcPr>
                  <w:tcW w:w="949" w:type="pct"/>
                  <w:noWrap w:val="0"/>
                  <w:vAlign w:val="center"/>
                </w:tcPr>
                <w:p w14:paraId="27BCD493">
                  <w:pPr>
                    <w:spacing w:line="240" w:lineRule="auto"/>
                    <w:ind w:firstLine="0" w:firstLineChars="0"/>
                    <w:jc w:val="center"/>
                    <w:rPr>
                      <w:b/>
                      <w:bCs/>
                      <w:color w:val="auto"/>
                      <w:sz w:val="21"/>
                      <w:szCs w:val="21"/>
                    </w:rPr>
                  </w:pPr>
                  <w:r>
                    <w:rPr>
                      <w:b/>
                      <w:bCs/>
                      <w:color w:val="auto"/>
                      <w:sz w:val="21"/>
                      <w:szCs w:val="21"/>
                    </w:rPr>
                    <w:t>单位</w:t>
                  </w:r>
                </w:p>
              </w:tc>
              <w:tc>
                <w:tcPr>
                  <w:tcW w:w="1203" w:type="pct"/>
                  <w:noWrap w:val="0"/>
                  <w:vAlign w:val="center"/>
                </w:tcPr>
                <w:p w14:paraId="7C23964B">
                  <w:pPr>
                    <w:spacing w:line="240" w:lineRule="auto"/>
                    <w:ind w:firstLine="0" w:firstLineChars="0"/>
                    <w:jc w:val="center"/>
                    <w:rPr>
                      <w:b/>
                      <w:bCs/>
                      <w:color w:val="auto"/>
                      <w:sz w:val="21"/>
                      <w:szCs w:val="21"/>
                    </w:rPr>
                  </w:pPr>
                  <w:r>
                    <w:rPr>
                      <w:b/>
                      <w:bCs/>
                      <w:color w:val="auto"/>
                      <w:sz w:val="21"/>
                      <w:szCs w:val="21"/>
                    </w:rPr>
                    <w:t>B标准值</w:t>
                  </w:r>
                </w:p>
              </w:tc>
            </w:tr>
            <w:tr w14:paraId="1852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9" w:type="pct"/>
                  <w:noWrap w:val="0"/>
                  <w:vAlign w:val="center"/>
                </w:tcPr>
                <w:p w14:paraId="6C70FF41">
                  <w:pPr>
                    <w:spacing w:line="240" w:lineRule="auto"/>
                    <w:ind w:firstLine="0" w:firstLineChars="0"/>
                    <w:jc w:val="center"/>
                    <w:rPr>
                      <w:color w:val="auto"/>
                      <w:sz w:val="21"/>
                      <w:szCs w:val="21"/>
                    </w:rPr>
                  </w:pPr>
                  <w:r>
                    <w:rPr>
                      <w:color w:val="auto"/>
                      <w:sz w:val="21"/>
                      <w:szCs w:val="21"/>
                    </w:rPr>
                    <w:t>1</w:t>
                  </w:r>
                </w:p>
              </w:tc>
              <w:tc>
                <w:tcPr>
                  <w:tcW w:w="2137" w:type="pct"/>
                  <w:noWrap w:val="0"/>
                  <w:vAlign w:val="center"/>
                </w:tcPr>
                <w:p w14:paraId="2F58007B">
                  <w:pPr>
                    <w:spacing w:line="240" w:lineRule="auto"/>
                    <w:ind w:firstLine="0" w:firstLineChars="0"/>
                    <w:jc w:val="center"/>
                    <w:rPr>
                      <w:color w:val="auto"/>
                      <w:sz w:val="21"/>
                      <w:szCs w:val="21"/>
                    </w:rPr>
                  </w:pPr>
                  <w:r>
                    <w:rPr>
                      <w:color w:val="auto"/>
                      <w:sz w:val="21"/>
                      <w:szCs w:val="21"/>
                    </w:rPr>
                    <w:t>悬浮物</w:t>
                  </w:r>
                </w:p>
              </w:tc>
              <w:tc>
                <w:tcPr>
                  <w:tcW w:w="949" w:type="pct"/>
                  <w:noWrap w:val="0"/>
                  <w:vAlign w:val="center"/>
                </w:tcPr>
                <w:p w14:paraId="447CD628">
                  <w:pPr>
                    <w:spacing w:line="240" w:lineRule="auto"/>
                    <w:ind w:firstLine="0" w:firstLineChars="0"/>
                    <w:jc w:val="center"/>
                    <w:rPr>
                      <w:color w:val="auto"/>
                      <w:sz w:val="21"/>
                      <w:szCs w:val="21"/>
                    </w:rPr>
                  </w:pPr>
                  <w:r>
                    <w:rPr>
                      <w:color w:val="auto"/>
                      <w:sz w:val="21"/>
                      <w:szCs w:val="21"/>
                    </w:rPr>
                    <w:t>mg/L</w:t>
                  </w:r>
                </w:p>
              </w:tc>
              <w:tc>
                <w:tcPr>
                  <w:tcW w:w="1203" w:type="pct"/>
                  <w:noWrap w:val="0"/>
                  <w:vAlign w:val="center"/>
                </w:tcPr>
                <w:p w14:paraId="09F87228">
                  <w:pPr>
                    <w:spacing w:line="240" w:lineRule="auto"/>
                    <w:ind w:firstLine="0" w:firstLineChars="0"/>
                    <w:jc w:val="center"/>
                    <w:rPr>
                      <w:color w:val="auto"/>
                      <w:sz w:val="21"/>
                      <w:szCs w:val="21"/>
                    </w:rPr>
                  </w:pPr>
                  <w:r>
                    <w:rPr>
                      <w:color w:val="auto"/>
                      <w:sz w:val="21"/>
                      <w:szCs w:val="21"/>
                    </w:rPr>
                    <w:t>400</w:t>
                  </w:r>
                </w:p>
              </w:tc>
            </w:tr>
            <w:tr w14:paraId="4FF6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9" w:type="pct"/>
                  <w:noWrap w:val="0"/>
                  <w:vAlign w:val="center"/>
                </w:tcPr>
                <w:p w14:paraId="38C65CD5">
                  <w:pPr>
                    <w:spacing w:line="240" w:lineRule="auto"/>
                    <w:ind w:firstLine="0" w:firstLineChars="0"/>
                    <w:jc w:val="center"/>
                    <w:rPr>
                      <w:color w:val="auto"/>
                      <w:sz w:val="21"/>
                      <w:szCs w:val="21"/>
                    </w:rPr>
                  </w:pPr>
                  <w:r>
                    <w:rPr>
                      <w:color w:val="auto"/>
                      <w:sz w:val="21"/>
                      <w:szCs w:val="21"/>
                    </w:rPr>
                    <w:t>2</w:t>
                  </w:r>
                </w:p>
              </w:tc>
              <w:tc>
                <w:tcPr>
                  <w:tcW w:w="2137" w:type="pct"/>
                  <w:noWrap w:val="0"/>
                  <w:vAlign w:val="center"/>
                </w:tcPr>
                <w:p w14:paraId="179E01E9">
                  <w:pPr>
                    <w:spacing w:line="240" w:lineRule="auto"/>
                    <w:ind w:firstLine="0" w:firstLineChars="0"/>
                    <w:jc w:val="center"/>
                    <w:rPr>
                      <w:color w:val="auto"/>
                      <w:sz w:val="21"/>
                      <w:szCs w:val="21"/>
                    </w:rPr>
                  </w:pPr>
                  <w:r>
                    <w:rPr>
                      <w:color w:val="auto"/>
                      <w:sz w:val="21"/>
                      <w:szCs w:val="21"/>
                    </w:rPr>
                    <w:t>溶解性固体</w:t>
                  </w:r>
                </w:p>
              </w:tc>
              <w:tc>
                <w:tcPr>
                  <w:tcW w:w="949" w:type="pct"/>
                  <w:noWrap w:val="0"/>
                  <w:vAlign w:val="center"/>
                </w:tcPr>
                <w:p w14:paraId="4CE2C8CD">
                  <w:pPr>
                    <w:spacing w:line="240" w:lineRule="auto"/>
                    <w:ind w:firstLine="0" w:firstLineChars="0"/>
                    <w:jc w:val="center"/>
                    <w:rPr>
                      <w:color w:val="auto"/>
                      <w:sz w:val="21"/>
                      <w:szCs w:val="21"/>
                    </w:rPr>
                  </w:pPr>
                  <w:r>
                    <w:rPr>
                      <w:color w:val="auto"/>
                      <w:sz w:val="21"/>
                      <w:szCs w:val="21"/>
                    </w:rPr>
                    <w:t>mg/L</w:t>
                  </w:r>
                </w:p>
              </w:tc>
              <w:tc>
                <w:tcPr>
                  <w:tcW w:w="1203" w:type="pct"/>
                  <w:noWrap w:val="0"/>
                  <w:vAlign w:val="center"/>
                </w:tcPr>
                <w:p w14:paraId="67B0BFEB">
                  <w:pPr>
                    <w:spacing w:line="240" w:lineRule="auto"/>
                    <w:ind w:firstLine="0" w:firstLineChars="0"/>
                    <w:jc w:val="center"/>
                    <w:rPr>
                      <w:color w:val="auto"/>
                      <w:sz w:val="21"/>
                      <w:szCs w:val="21"/>
                    </w:rPr>
                  </w:pPr>
                  <w:r>
                    <w:rPr>
                      <w:color w:val="auto"/>
                      <w:sz w:val="21"/>
                      <w:szCs w:val="21"/>
                    </w:rPr>
                    <w:t>2000</w:t>
                  </w:r>
                </w:p>
              </w:tc>
            </w:tr>
            <w:tr w14:paraId="3027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9" w:type="pct"/>
                  <w:noWrap w:val="0"/>
                  <w:vAlign w:val="center"/>
                </w:tcPr>
                <w:p w14:paraId="5C8E7B36">
                  <w:pPr>
                    <w:spacing w:line="240" w:lineRule="auto"/>
                    <w:ind w:firstLine="0" w:firstLineChars="0"/>
                    <w:jc w:val="center"/>
                    <w:rPr>
                      <w:color w:val="auto"/>
                      <w:sz w:val="21"/>
                      <w:szCs w:val="21"/>
                    </w:rPr>
                  </w:pPr>
                  <w:r>
                    <w:rPr>
                      <w:color w:val="auto"/>
                      <w:sz w:val="21"/>
                      <w:szCs w:val="21"/>
                    </w:rPr>
                    <w:t>3</w:t>
                  </w:r>
                </w:p>
              </w:tc>
              <w:tc>
                <w:tcPr>
                  <w:tcW w:w="2137" w:type="pct"/>
                  <w:noWrap w:val="0"/>
                  <w:vAlign w:val="center"/>
                </w:tcPr>
                <w:p w14:paraId="328A8DBC">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石油类</w:t>
                  </w:r>
                </w:p>
              </w:tc>
              <w:tc>
                <w:tcPr>
                  <w:tcW w:w="949" w:type="pct"/>
                  <w:noWrap w:val="0"/>
                  <w:vAlign w:val="center"/>
                </w:tcPr>
                <w:p w14:paraId="4CB07B53">
                  <w:pPr>
                    <w:spacing w:line="240" w:lineRule="auto"/>
                    <w:ind w:firstLine="0" w:firstLineChars="0"/>
                    <w:jc w:val="center"/>
                    <w:rPr>
                      <w:color w:val="auto"/>
                      <w:sz w:val="21"/>
                      <w:szCs w:val="21"/>
                    </w:rPr>
                  </w:pPr>
                  <w:r>
                    <w:rPr>
                      <w:color w:val="auto"/>
                      <w:sz w:val="21"/>
                      <w:szCs w:val="21"/>
                    </w:rPr>
                    <w:t>mg/L</w:t>
                  </w:r>
                </w:p>
              </w:tc>
              <w:tc>
                <w:tcPr>
                  <w:tcW w:w="1203" w:type="pct"/>
                  <w:noWrap w:val="0"/>
                  <w:vAlign w:val="center"/>
                </w:tcPr>
                <w:p w14:paraId="6C3DEB1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15</w:t>
                  </w:r>
                </w:p>
              </w:tc>
            </w:tr>
            <w:tr w14:paraId="1206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9" w:type="pct"/>
                  <w:noWrap w:val="0"/>
                  <w:vAlign w:val="center"/>
                </w:tcPr>
                <w:p w14:paraId="10184AB5">
                  <w:pPr>
                    <w:spacing w:line="240" w:lineRule="auto"/>
                    <w:ind w:firstLine="0" w:firstLineChars="0"/>
                    <w:jc w:val="center"/>
                    <w:rPr>
                      <w:color w:val="auto"/>
                      <w:sz w:val="21"/>
                      <w:szCs w:val="21"/>
                    </w:rPr>
                  </w:pPr>
                  <w:r>
                    <w:rPr>
                      <w:color w:val="auto"/>
                      <w:sz w:val="21"/>
                      <w:szCs w:val="21"/>
                    </w:rPr>
                    <w:t>4</w:t>
                  </w:r>
                </w:p>
              </w:tc>
              <w:tc>
                <w:tcPr>
                  <w:tcW w:w="2137" w:type="pct"/>
                  <w:noWrap w:val="0"/>
                  <w:vAlign w:val="center"/>
                </w:tcPr>
                <w:p w14:paraId="6E335120">
                  <w:pPr>
                    <w:spacing w:line="240" w:lineRule="auto"/>
                    <w:ind w:firstLine="0" w:firstLineChars="0"/>
                    <w:jc w:val="center"/>
                    <w:rPr>
                      <w:color w:val="auto"/>
                      <w:sz w:val="21"/>
                      <w:szCs w:val="21"/>
                    </w:rPr>
                  </w:pPr>
                  <w:r>
                    <w:rPr>
                      <w:color w:val="auto"/>
                      <w:sz w:val="21"/>
                      <w:szCs w:val="21"/>
                    </w:rPr>
                    <w:t>动植物油</w:t>
                  </w:r>
                </w:p>
              </w:tc>
              <w:tc>
                <w:tcPr>
                  <w:tcW w:w="949" w:type="pct"/>
                  <w:noWrap w:val="0"/>
                  <w:vAlign w:val="center"/>
                </w:tcPr>
                <w:p w14:paraId="2A76A2D6">
                  <w:pPr>
                    <w:spacing w:line="240" w:lineRule="auto"/>
                    <w:ind w:firstLine="0" w:firstLineChars="0"/>
                    <w:jc w:val="center"/>
                    <w:rPr>
                      <w:color w:val="auto"/>
                      <w:sz w:val="21"/>
                      <w:szCs w:val="21"/>
                    </w:rPr>
                  </w:pPr>
                  <w:r>
                    <w:rPr>
                      <w:color w:val="auto"/>
                      <w:sz w:val="21"/>
                      <w:szCs w:val="21"/>
                    </w:rPr>
                    <w:t>mg/L</w:t>
                  </w:r>
                </w:p>
              </w:tc>
              <w:tc>
                <w:tcPr>
                  <w:tcW w:w="1203" w:type="pct"/>
                  <w:noWrap w:val="0"/>
                  <w:vAlign w:val="center"/>
                </w:tcPr>
                <w:p w14:paraId="2443D71D">
                  <w:pPr>
                    <w:spacing w:line="240" w:lineRule="auto"/>
                    <w:ind w:firstLine="0" w:firstLineChars="0"/>
                    <w:jc w:val="center"/>
                    <w:rPr>
                      <w:color w:val="auto"/>
                      <w:sz w:val="21"/>
                      <w:szCs w:val="21"/>
                    </w:rPr>
                  </w:pPr>
                  <w:r>
                    <w:rPr>
                      <w:color w:val="auto"/>
                      <w:sz w:val="21"/>
                      <w:szCs w:val="21"/>
                    </w:rPr>
                    <w:t>100</w:t>
                  </w:r>
                </w:p>
              </w:tc>
            </w:tr>
            <w:tr w14:paraId="6475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9" w:type="pct"/>
                  <w:noWrap w:val="0"/>
                  <w:vAlign w:val="center"/>
                </w:tcPr>
                <w:p w14:paraId="3B212DB5">
                  <w:pPr>
                    <w:spacing w:line="240" w:lineRule="auto"/>
                    <w:ind w:firstLine="0" w:firstLineChars="0"/>
                    <w:jc w:val="center"/>
                    <w:rPr>
                      <w:color w:val="auto"/>
                      <w:sz w:val="21"/>
                      <w:szCs w:val="21"/>
                    </w:rPr>
                  </w:pPr>
                  <w:r>
                    <w:rPr>
                      <w:color w:val="auto"/>
                      <w:sz w:val="21"/>
                      <w:szCs w:val="21"/>
                    </w:rPr>
                    <w:t>5</w:t>
                  </w:r>
                </w:p>
              </w:tc>
              <w:tc>
                <w:tcPr>
                  <w:tcW w:w="2137" w:type="pct"/>
                  <w:noWrap w:val="0"/>
                  <w:vAlign w:val="center"/>
                </w:tcPr>
                <w:p w14:paraId="239B8136">
                  <w:pPr>
                    <w:spacing w:line="240" w:lineRule="auto"/>
                    <w:ind w:firstLine="0" w:firstLineChars="0"/>
                    <w:jc w:val="center"/>
                    <w:rPr>
                      <w:color w:val="auto"/>
                      <w:sz w:val="21"/>
                      <w:szCs w:val="21"/>
                    </w:rPr>
                  </w:pPr>
                  <w:r>
                    <w:rPr>
                      <w:color w:val="auto"/>
                      <w:sz w:val="21"/>
                      <w:szCs w:val="21"/>
                    </w:rPr>
                    <w:t>PH值</w:t>
                  </w:r>
                </w:p>
              </w:tc>
              <w:tc>
                <w:tcPr>
                  <w:tcW w:w="949" w:type="pct"/>
                  <w:noWrap w:val="0"/>
                  <w:vAlign w:val="center"/>
                </w:tcPr>
                <w:p w14:paraId="3345F91B">
                  <w:pPr>
                    <w:spacing w:line="240" w:lineRule="auto"/>
                    <w:ind w:firstLine="0" w:firstLineChars="0"/>
                    <w:jc w:val="center"/>
                    <w:rPr>
                      <w:color w:val="auto"/>
                      <w:sz w:val="21"/>
                      <w:szCs w:val="21"/>
                    </w:rPr>
                  </w:pPr>
                  <w:r>
                    <w:rPr>
                      <w:rFonts w:hint="eastAsia"/>
                      <w:color w:val="auto"/>
                      <w:sz w:val="21"/>
                      <w:szCs w:val="21"/>
                    </w:rPr>
                    <w:t>/</w:t>
                  </w:r>
                </w:p>
              </w:tc>
              <w:tc>
                <w:tcPr>
                  <w:tcW w:w="1203" w:type="pct"/>
                  <w:noWrap w:val="0"/>
                  <w:vAlign w:val="center"/>
                </w:tcPr>
                <w:p w14:paraId="52140DC2">
                  <w:pPr>
                    <w:spacing w:line="240" w:lineRule="auto"/>
                    <w:ind w:firstLine="0" w:firstLineChars="0"/>
                    <w:jc w:val="center"/>
                    <w:rPr>
                      <w:color w:val="auto"/>
                      <w:sz w:val="21"/>
                      <w:szCs w:val="21"/>
                    </w:rPr>
                  </w:pPr>
                  <w:r>
                    <w:rPr>
                      <w:color w:val="auto"/>
                      <w:sz w:val="21"/>
                      <w:szCs w:val="21"/>
                    </w:rPr>
                    <w:t>6.5—9.5</w:t>
                  </w:r>
                </w:p>
              </w:tc>
            </w:tr>
            <w:tr w14:paraId="173F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9" w:type="pct"/>
                  <w:noWrap w:val="0"/>
                  <w:vAlign w:val="center"/>
                </w:tcPr>
                <w:p w14:paraId="0D6E59C3">
                  <w:pPr>
                    <w:spacing w:line="240" w:lineRule="auto"/>
                    <w:ind w:firstLine="0" w:firstLineChars="0"/>
                    <w:jc w:val="center"/>
                    <w:rPr>
                      <w:color w:val="auto"/>
                      <w:sz w:val="21"/>
                      <w:szCs w:val="21"/>
                    </w:rPr>
                  </w:pPr>
                  <w:r>
                    <w:rPr>
                      <w:color w:val="auto"/>
                      <w:sz w:val="21"/>
                      <w:szCs w:val="21"/>
                    </w:rPr>
                    <w:t>6</w:t>
                  </w:r>
                </w:p>
              </w:tc>
              <w:tc>
                <w:tcPr>
                  <w:tcW w:w="2137" w:type="pct"/>
                  <w:noWrap w:val="0"/>
                  <w:vAlign w:val="center"/>
                </w:tcPr>
                <w:p w14:paraId="55469461">
                  <w:pPr>
                    <w:spacing w:line="240" w:lineRule="auto"/>
                    <w:ind w:firstLine="0" w:firstLineChars="0"/>
                    <w:jc w:val="center"/>
                    <w:rPr>
                      <w:color w:val="auto"/>
                      <w:sz w:val="21"/>
                      <w:szCs w:val="21"/>
                    </w:rPr>
                  </w:pPr>
                  <w:r>
                    <w:rPr>
                      <w:color w:val="auto"/>
                      <w:sz w:val="21"/>
                      <w:szCs w:val="21"/>
                    </w:rPr>
                    <w:t>BOD</w:t>
                  </w:r>
                  <w:r>
                    <w:rPr>
                      <w:color w:val="auto"/>
                      <w:sz w:val="21"/>
                      <w:szCs w:val="21"/>
                      <w:vertAlign w:val="subscript"/>
                    </w:rPr>
                    <w:t>5</w:t>
                  </w:r>
                </w:p>
              </w:tc>
              <w:tc>
                <w:tcPr>
                  <w:tcW w:w="949" w:type="pct"/>
                  <w:noWrap w:val="0"/>
                  <w:vAlign w:val="center"/>
                </w:tcPr>
                <w:p w14:paraId="57610E37">
                  <w:pPr>
                    <w:spacing w:line="240" w:lineRule="auto"/>
                    <w:ind w:firstLine="0" w:firstLineChars="0"/>
                    <w:jc w:val="center"/>
                    <w:rPr>
                      <w:color w:val="auto"/>
                      <w:sz w:val="21"/>
                      <w:szCs w:val="21"/>
                    </w:rPr>
                  </w:pPr>
                  <w:r>
                    <w:rPr>
                      <w:color w:val="auto"/>
                      <w:sz w:val="21"/>
                      <w:szCs w:val="21"/>
                    </w:rPr>
                    <w:t>mg/L</w:t>
                  </w:r>
                </w:p>
              </w:tc>
              <w:tc>
                <w:tcPr>
                  <w:tcW w:w="1203" w:type="pct"/>
                  <w:noWrap w:val="0"/>
                  <w:vAlign w:val="center"/>
                </w:tcPr>
                <w:p w14:paraId="1434AAF7">
                  <w:pPr>
                    <w:spacing w:line="240" w:lineRule="auto"/>
                    <w:ind w:firstLine="0" w:firstLineChars="0"/>
                    <w:jc w:val="center"/>
                    <w:rPr>
                      <w:color w:val="auto"/>
                      <w:sz w:val="21"/>
                      <w:szCs w:val="21"/>
                    </w:rPr>
                  </w:pPr>
                  <w:r>
                    <w:rPr>
                      <w:color w:val="auto"/>
                      <w:sz w:val="21"/>
                      <w:szCs w:val="21"/>
                    </w:rPr>
                    <w:t>350</w:t>
                  </w:r>
                </w:p>
              </w:tc>
            </w:tr>
            <w:tr w14:paraId="4BF3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9" w:type="pct"/>
                  <w:noWrap w:val="0"/>
                  <w:vAlign w:val="center"/>
                </w:tcPr>
                <w:p w14:paraId="40D4048C">
                  <w:pPr>
                    <w:spacing w:line="240" w:lineRule="auto"/>
                    <w:ind w:firstLine="0" w:firstLineChars="0"/>
                    <w:jc w:val="center"/>
                    <w:rPr>
                      <w:color w:val="auto"/>
                      <w:sz w:val="21"/>
                      <w:szCs w:val="21"/>
                    </w:rPr>
                  </w:pPr>
                  <w:r>
                    <w:rPr>
                      <w:color w:val="auto"/>
                      <w:sz w:val="21"/>
                      <w:szCs w:val="21"/>
                    </w:rPr>
                    <w:t>7</w:t>
                  </w:r>
                </w:p>
              </w:tc>
              <w:tc>
                <w:tcPr>
                  <w:tcW w:w="2137" w:type="pct"/>
                  <w:noWrap w:val="0"/>
                  <w:vAlign w:val="center"/>
                </w:tcPr>
                <w:p w14:paraId="06232825">
                  <w:pPr>
                    <w:spacing w:line="240" w:lineRule="auto"/>
                    <w:ind w:firstLine="0" w:firstLineChars="0"/>
                    <w:jc w:val="center"/>
                    <w:rPr>
                      <w:color w:val="auto"/>
                      <w:sz w:val="21"/>
                      <w:szCs w:val="21"/>
                    </w:rPr>
                  </w:pPr>
                  <w:r>
                    <w:rPr>
                      <w:color w:val="auto"/>
                      <w:sz w:val="21"/>
                      <w:szCs w:val="21"/>
                    </w:rPr>
                    <w:t>COD</w:t>
                  </w:r>
                  <w:r>
                    <w:rPr>
                      <w:color w:val="auto"/>
                      <w:sz w:val="21"/>
                      <w:szCs w:val="21"/>
                      <w:vertAlign w:val="subscript"/>
                    </w:rPr>
                    <w:t>cr</w:t>
                  </w:r>
                </w:p>
              </w:tc>
              <w:tc>
                <w:tcPr>
                  <w:tcW w:w="949" w:type="pct"/>
                  <w:noWrap w:val="0"/>
                  <w:vAlign w:val="center"/>
                </w:tcPr>
                <w:p w14:paraId="5645B14C">
                  <w:pPr>
                    <w:spacing w:line="240" w:lineRule="auto"/>
                    <w:ind w:firstLine="0" w:firstLineChars="0"/>
                    <w:jc w:val="center"/>
                    <w:rPr>
                      <w:color w:val="auto"/>
                      <w:sz w:val="21"/>
                      <w:szCs w:val="21"/>
                    </w:rPr>
                  </w:pPr>
                  <w:r>
                    <w:rPr>
                      <w:color w:val="auto"/>
                      <w:sz w:val="21"/>
                      <w:szCs w:val="21"/>
                    </w:rPr>
                    <w:t>mg/L</w:t>
                  </w:r>
                </w:p>
              </w:tc>
              <w:tc>
                <w:tcPr>
                  <w:tcW w:w="1203" w:type="pct"/>
                  <w:noWrap w:val="0"/>
                  <w:vAlign w:val="center"/>
                </w:tcPr>
                <w:p w14:paraId="6DE884EB">
                  <w:pPr>
                    <w:spacing w:line="240" w:lineRule="auto"/>
                    <w:ind w:firstLine="0" w:firstLineChars="0"/>
                    <w:jc w:val="center"/>
                    <w:rPr>
                      <w:color w:val="auto"/>
                      <w:sz w:val="21"/>
                      <w:szCs w:val="21"/>
                    </w:rPr>
                  </w:pPr>
                  <w:r>
                    <w:rPr>
                      <w:color w:val="auto"/>
                      <w:sz w:val="21"/>
                      <w:szCs w:val="21"/>
                    </w:rPr>
                    <w:t>500</w:t>
                  </w:r>
                </w:p>
              </w:tc>
            </w:tr>
            <w:tr w14:paraId="5B37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9" w:type="pct"/>
                  <w:noWrap w:val="0"/>
                  <w:vAlign w:val="center"/>
                </w:tcPr>
                <w:p w14:paraId="6AFEA934">
                  <w:pPr>
                    <w:spacing w:line="240" w:lineRule="auto"/>
                    <w:ind w:firstLine="0" w:firstLineChars="0"/>
                    <w:jc w:val="center"/>
                    <w:rPr>
                      <w:color w:val="auto"/>
                      <w:sz w:val="21"/>
                      <w:szCs w:val="21"/>
                    </w:rPr>
                  </w:pPr>
                  <w:r>
                    <w:rPr>
                      <w:color w:val="auto"/>
                      <w:sz w:val="21"/>
                      <w:szCs w:val="21"/>
                    </w:rPr>
                    <w:t>8</w:t>
                  </w:r>
                </w:p>
              </w:tc>
              <w:tc>
                <w:tcPr>
                  <w:tcW w:w="2137" w:type="pct"/>
                  <w:noWrap w:val="0"/>
                  <w:vAlign w:val="center"/>
                </w:tcPr>
                <w:p w14:paraId="6EC99FC6">
                  <w:pPr>
                    <w:spacing w:line="240" w:lineRule="auto"/>
                    <w:ind w:firstLine="0" w:firstLineChars="0"/>
                    <w:jc w:val="center"/>
                    <w:rPr>
                      <w:color w:val="auto"/>
                      <w:sz w:val="21"/>
                      <w:szCs w:val="21"/>
                    </w:rPr>
                  </w:pPr>
                  <w:r>
                    <w:rPr>
                      <w:color w:val="auto"/>
                      <w:sz w:val="21"/>
                      <w:szCs w:val="21"/>
                    </w:rPr>
                    <w:t>氨氮（以N计）</w:t>
                  </w:r>
                </w:p>
              </w:tc>
              <w:tc>
                <w:tcPr>
                  <w:tcW w:w="949" w:type="pct"/>
                  <w:noWrap w:val="0"/>
                  <w:vAlign w:val="center"/>
                </w:tcPr>
                <w:p w14:paraId="4057BAAE">
                  <w:pPr>
                    <w:spacing w:line="240" w:lineRule="auto"/>
                    <w:ind w:firstLine="0" w:firstLineChars="0"/>
                    <w:jc w:val="center"/>
                    <w:rPr>
                      <w:color w:val="auto"/>
                      <w:sz w:val="21"/>
                      <w:szCs w:val="21"/>
                    </w:rPr>
                  </w:pPr>
                  <w:r>
                    <w:rPr>
                      <w:color w:val="auto"/>
                      <w:sz w:val="21"/>
                      <w:szCs w:val="21"/>
                    </w:rPr>
                    <w:t>mg/L</w:t>
                  </w:r>
                </w:p>
              </w:tc>
              <w:tc>
                <w:tcPr>
                  <w:tcW w:w="1203" w:type="pct"/>
                  <w:noWrap w:val="0"/>
                  <w:vAlign w:val="center"/>
                </w:tcPr>
                <w:p w14:paraId="2A9DAABC">
                  <w:pPr>
                    <w:spacing w:line="240" w:lineRule="auto"/>
                    <w:ind w:firstLine="0" w:firstLineChars="0"/>
                    <w:jc w:val="center"/>
                    <w:rPr>
                      <w:color w:val="auto"/>
                      <w:sz w:val="21"/>
                      <w:szCs w:val="21"/>
                    </w:rPr>
                  </w:pPr>
                  <w:r>
                    <w:rPr>
                      <w:color w:val="auto"/>
                      <w:sz w:val="21"/>
                      <w:szCs w:val="21"/>
                    </w:rPr>
                    <w:t>45</w:t>
                  </w:r>
                </w:p>
              </w:tc>
            </w:tr>
            <w:tr w14:paraId="4BAD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9" w:type="pct"/>
                  <w:noWrap w:val="0"/>
                  <w:vAlign w:val="center"/>
                </w:tcPr>
                <w:p w14:paraId="4025E279">
                  <w:pPr>
                    <w:spacing w:line="240" w:lineRule="auto"/>
                    <w:ind w:firstLine="0" w:firstLineChars="0"/>
                    <w:jc w:val="center"/>
                    <w:rPr>
                      <w:color w:val="auto"/>
                      <w:sz w:val="21"/>
                      <w:szCs w:val="21"/>
                    </w:rPr>
                  </w:pPr>
                  <w:r>
                    <w:rPr>
                      <w:color w:val="auto"/>
                      <w:sz w:val="21"/>
                      <w:szCs w:val="21"/>
                    </w:rPr>
                    <w:t>9</w:t>
                  </w:r>
                </w:p>
              </w:tc>
              <w:tc>
                <w:tcPr>
                  <w:tcW w:w="2137" w:type="pct"/>
                  <w:noWrap w:val="0"/>
                  <w:vAlign w:val="center"/>
                </w:tcPr>
                <w:p w14:paraId="64399E1C">
                  <w:pPr>
                    <w:spacing w:line="240" w:lineRule="auto"/>
                    <w:ind w:firstLine="0" w:firstLineChars="0"/>
                    <w:jc w:val="center"/>
                    <w:rPr>
                      <w:color w:val="auto"/>
                      <w:sz w:val="21"/>
                      <w:szCs w:val="21"/>
                    </w:rPr>
                  </w:pPr>
                  <w:r>
                    <w:rPr>
                      <w:color w:val="auto"/>
                      <w:sz w:val="21"/>
                      <w:szCs w:val="21"/>
                    </w:rPr>
                    <w:t>总磷（以P计）</w:t>
                  </w:r>
                </w:p>
              </w:tc>
              <w:tc>
                <w:tcPr>
                  <w:tcW w:w="949" w:type="pct"/>
                  <w:noWrap w:val="0"/>
                  <w:vAlign w:val="center"/>
                </w:tcPr>
                <w:p w14:paraId="66C37C2D">
                  <w:pPr>
                    <w:spacing w:line="240" w:lineRule="auto"/>
                    <w:ind w:firstLine="0" w:firstLineChars="0"/>
                    <w:jc w:val="center"/>
                    <w:rPr>
                      <w:color w:val="auto"/>
                      <w:sz w:val="21"/>
                      <w:szCs w:val="21"/>
                    </w:rPr>
                  </w:pPr>
                  <w:r>
                    <w:rPr>
                      <w:color w:val="auto"/>
                      <w:sz w:val="21"/>
                      <w:szCs w:val="21"/>
                    </w:rPr>
                    <w:t>mg/L</w:t>
                  </w:r>
                </w:p>
              </w:tc>
              <w:tc>
                <w:tcPr>
                  <w:tcW w:w="1203" w:type="pct"/>
                  <w:noWrap w:val="0"/>
                  <w:vAlign w:val="center"/>
                </w:tcPr>
                <w:p w14:paraId="47CD71A0">
                  <w:pPr>
                    <w:spacing w:line="240" w:lineRule="auto"/>
                    <w:ind w:firstLine="0" w:firstLineChars="0"/>
                    <w:jc w:val="center"/>
                    <w:rPr>
                      <w:color w:val="auto"/>
                      <w:sz w:val="21"/>
                      <w:szCs w:val="21"/>
                    </w:rPr>
                  </w:pPr>
                  <w:r>
                    <w:rPr>
                      <w:color w:val="auto"/>
                      <w:sz w:val="21"/>
                      <w:szCs w:val="21"/>
                    </w:rPr>
                    <w:t>8</w:t>
                  </w:r>
                </w:p>
              </w:tc>
            </w:tr>
            <w:tr w14:paraId="3E0D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9" w:type="pct"/>
                  <w:noWrap w:val="0"/>
                  <w:vAlign w:val="center"/>
                </w:tcPr>
                <w:p w14:paraId="0C1E798A">
                  <w:pPr>
                    <w:spacing w:line="240" w:lineRule="auto"/>
                    <w:ind w:firstLine="0" w:firstLineChars="0"/>
                    <w:jc w:val="center"/>
                    <w:rPr>
                      <w:rFonts w:hint="default" w:eastAsia="宋体"/>
                      <w:color w:val="auto"/>
                      <w:sz w:val="21"/>
                      <w:szCs w:val="21"/>
                      <w:lang w:val="en-US" w:eastAsia="zh-CN"/>
                    </w:rPr>
                  </w:pPr>
                  <w:r>
                    <w:rPr>
                      <w:color w:val="auto"/>
                      <w:sz w:val="21"/>
                      <w:szCs w:val="21"/>
                    </w:rPr>
                    <w:t>10</w:t>
                  </w:r>
                </w:p>
              </w:tc>
              <w:tc>
                <w:tcPr>
                  <w:tcW w:w="2137" w:type="pct"/>
                  <w:noWrap w:val="0"/>
                  <w:vAlign w:val="center"/>
                </w:tcPr>
                <w:p w14:paraId="711668B5">
                  <w:pPr>
                    <w:spacing w:line="240" w:lineRule="auto"/>
                    <w:ind w:firstLine="0" w:firstLineChars="0"/>
                    <w:jc w:val="center"/>
                    <w:rPr>
                      <w:color w:val="auto"/>
                      <w:sz w:val="21"/>
                      <w:szCs w:val="21"/>
                    </w:rPr>
                  </w:pPr>
                  <w:r>
                    <w:rPr>
                      <w:color w:val="auto"/>
                      <w:sz w:val="21"/>
                      <w:szCs w:val="21"/>
                    </w:rPr>
                    <w:t>阴离子表面活性剂（LAS）</w:t>
                  </w:r>
                </w:p>
              </w:tc>
              <w:tc>
                <w:tcPr>
                  <w:tcW w:w="949" w:type="pct"/>
                  <w:noWrap w:val="0"/>
                  <w:vAlign w:val="center"/>
                </w:tcPr>
                <w:p w14:paraId="52E2A032">
                  <w:pPr>
                    <w:spacing w:line="240" w:lineRule="auto"/>
                    <w:ind w:firstLine="0" w:firstLineChars="0"/>
                    <w:jc w:val="center"/>
                    <w:rPr>
                      <w:color w:val="auto"/>
                      <w:sz w:val="21"/>
                      <w:szCs w:val="21"/>
                    </w:rPr>
                  </w:pPr>
                  <w:r>
                    <w:rPr>
                      <w:color w:val="auto"/>
                      <w:sz w:val="21"/>
                      <w:szCs w:val="21"/>
                    </w:rPr>
                    <w:t>mg/L</w:t>
                  </w:r>
                </w:p>
              </w:tc>
              <w:tc>
                <w:tcPr>
                  <w:tcW w:w="1203" w:type="pct"/>
                  <w:noWrap w:val="0"/>
                  <w:vAlign w:val="center"/>
                </w:tcPr>
                <w:p w14:paraId="099C00A4">
                  <w:pPr>
                    <w:spacing w:line="240" w:lineRule="auto"/>
                    <w:ind w:firstLine="0" w:firstLineChars="0"/>
                    <w:jc w:val="center"/>
                    <w:rPr>
                      <w:color w:val="auto"/>
                      <w:sz w:val="21"/>
                      <w:szCs w:val="21"/>
                    </w:rPr>
                  </w:pPr>
                  <w:r>
                    <w:rPr>
                      <w:color w:val="auto"/>
                      <w:sz w:val="21"/>
                      <w:szCs w:val="21"/>
                    </w:rPr>
                    <w:t>20</w:t>
                  </w:r>
                </w:p>
              </w:tc>
            </w:tr>
          </w:tbl>
          <w:p w14:paraId="6F3B436C">
            <w:pPr>
              <w:widowControl w:val="0"/>
              <w:numPr>
                <w:ilvl w:val="0"/>
                <w:numId w:val="0"/>
              </w:numPr>
              <w:spacing w:line="360" w:lineRule="auto"/>
              <w:ind w:leftChars="0" w:firstLine="482" w:firstLineChars="200"/>
              <w:jc w:val="both"/>
              <w:rPr>
                <w:rFonts w:hint="eastAsia"/>
                <w:b/>
                <w:bCs/>
                <w:color w:val="auto"/>
                <w:highlight w:val="none"/>
                <w:lang w:val="en-US" w:eastAsia="zh-CN"/>
              </w:rPr>
            </w:pPr>
            <w:r>
              <w:rPr>
                <w:rFonts w:hint="eastAsia"/>
                <w:b/>
                <w:bCs/>
                <w:color w:val="auto"/>
                <w:highlight w:val="none"/>
                <w:lang w:val="en-US" w:eastAsia="zh-CN"/>
              </w:rPr>
              <w:t>2、废气</w:t>
            </w:r>
          </w:p>
          <w:p w14:paraId="3E0A30A1">
            <w:pPr>
              <w:widowControl w:val="0"/>
              <w:numPr>
                <w:ilvl w:val="0"/>
                <w:numId w:val="0"/>
              </w:numPr>
              <w:spacing w:line="360" w:lineRule="auto"/>
              <w:ind w:leftChars="0" w:firstLine="482" w:firstLineChars="200"/>
              <w:jc w:val="both"/>
              <w:rPr>
                <w:rFonts w:hint="eastAsia"/>
                <w:b/>
                <w:bCs/>
                <w:color w:val="auto"/>
                <w:highlight w:val="none"/>
                <w:lang w:val="en-US" w:eastAsia="zh-CN"/>
              </w:rPr>
            </w:pPr>
            <w:r>
              <w:rPr>
                <w:rFonts w:hint="eastAsia"/>
                <w:b/>
                <w:bCs/>
                <w:color w:val="auto"/>
                <w:highlight w:val="none"/>
                <w:lang w:val="en-US" w:eastAsia="zh-CN"/>
              </w:rPr>
              <w:t>（1）施工期</w:t>
            </w:r>
          </w:p>
          <w:p w14:paraId="3CC308F2">
            <w:pPr>
              <w:widowControl w:val="0"/>
              <w:numPr>
                <w:ilvl w:val="0"/>
                <w:numId w:val="0"/>
              </w:numPr>
              <w:spacing w:line="360" w:lineRule="auto"/>
              <w:ind w:leftChars="0" w:firstLine="480" w:firstLineChars="200"/>
              <w:jc w:val="both"/>
              <w:rPr>
                <w:rFonts w:hint="eastAsia"/>
                <w:b w:val="0"/>
                <w:bCs w:val="0"/>
                <w:color w:val="auto"/>
                <w:highlight w:val="none"/>
                <w:lang w:val="en-US" w:eastAsia="zh-CN"/>
              </w:rPr>
            </w:pPr>
            <w:r>
              <w:rPr>
                <w:rFonts w:hint="eastAsia"/>
                <w:b w:val="0"/>
                <w:bCs w:val="0"/>
                <w:color w:val="auto"/>
                <w:highlight w:val="none"/>
                <w:lang w:val="en-US" w:eastAsia="zh-CN"/>
              </w:rPr>
              <w:t>施工期污染物主要为扬尘，执行GB16297-1996《大气污染物综合排放标准》无组织排放限值，厂界外浓度最高点≤1.0mg/m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w:t>
            </w:r>
          </w:p>
          <w:p w14:paraId="2CB4201B">
            <w:pPr>
              <w:widowControl w:val="0"/>
              <w:numPr>
                <w:ilvl w:val="0"/>
                <w:numId w:val="0"/>
              </w:numPr>
              <w:spacing w:line="360" w:lineRule="auto"/>
              <w:ind w:leftChars="0" w:firstLine="482" w:firstLineChars="200"/>
              <w:jc w:val="both"/>
              <w:rPr>
                <w:rFonts w:hint="default"/>
                <w:b/>
                <w:bCs/>
                <w:color w:val="auto"/>
                <w:highlight w:val="none"/>
                <w:lang w:val="en-US" w:eastAsia="zh-CN"/>
              </w:rPr>
            </w:pPr>
            <w:r>
              <w:rPr>
                <w:rFonts w:hint="eastAsia"/>
                <w:b/>
                <w:bCs/>
                <w:color w:val="auto"/>
                <w:highlight w:val="none"/>
                <w:lang w:val="en-US" w:eastAsia="zh-CN"/>
              </w:rPr>
              <w:t>（2）运营期</w:t>
            </w:r>
          </w:p>
          <w:p w14:paraId="62880E1B">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b/>
                <w:bCs/>
                <w:color w:val="auto"/>
                <w:sz w:val="24"/>
                <w:lang w:val="en-US" w:eastAsia="zh-CN"/>
              </w:rPr>
            </w:pPr>
            <w:r>
              <w:rPr>
                <w:rFonts w:hint="eastAsia"/>
                <w:b/>
                <w:bCs/>
                <w:color w:val="auto"/>
                <w:sz w:val="24"/>
                <w:lang w:val="en-US" w:eastAsia="zh-CN"/>
              </w:rPr>
              <w:t>有组织废气：</w:t>
            </w:r>
          </w:p>
          <w:p w14:paraId="2AFE65C5">
            <w:pPr>
              <w:keepNext w:val="0"/>
              <w:keepLines w:val="0"/>
              <w:pageBreakBefore w:val="0"/>
              <w:kinsoku/>
              <w:wordWrap/>
              <w:overflowPunct/>
              <w:topLinePunct w:val="0"/>
              <w:autoSpaceDE/>
              <w:autoSpaceDN/>
              <w:bidi w:val="0"/>
              <w:spacing w:line="360" w:lineRule="auto"/>
              <w:ind w:firstLine="480" w:firstLineChars="200"/>
              <w:textAlignment w:val="auto"/>
              <w:rPr>
                <w:rFonts w:ascii="Times New Roman" w:hAnsi="Times New Roman"/>
                <w:color w:val="auto"/>
                <w:sz w:val="24"/>
              </w:rPr>
            </w:pPr>
            <w:r>
              <w:rPr>
                <w:rFonts w:hint="eastAsia" w:ascii="Times New Roman" w:hAnsi="Times New Roman"/>
                <w:color w:val="auto"/>
                <w:sz w:val="24"/>
              </w:rPr>
              <w:t>①</w:t>
            </w:r>
            <w:r>
              <w:rPr>
                <w:rFonts w:hint="default" w:ascii="Times New Roman" w:hAnsi="Times New Roman" w:cs="Times New Roman"/>
                <w:color w:val="auto"/>
                <w:sz w:val="24"/>
                <w:szCs w:val="24"/>
                <w:lang w:bidi="ar"/>
              </w:rPr>
              <w:t>烘干滚筒</w:t>
            </w:r>
            <w:r>
              <w:rPr>
                <w:rFonts w:hint="eastAsia" w:cs="Times New Roman"/>
                <w:color w:val="auto"/>
                <w:sz w:val="24"/>
                <w:szCs w:val="24"/>
                <w:lang w:eastAsia="zh-CN" w:bidi="ar"/>
              </w:rPr>
              <w:t>、</w:t>
            </w:r>
            <w:r>
              <w:rPr>
                <w:rFonts w:hint="eastAsia" w:cs="Times New Roman"/>
                <w:color w:val="auto"/>
                <w:sz w:val="24"/>
                <w:szCs w:val="24"/>
                <w:lang w:val="en-US" w:eastAsia="zh-CN" w:bidi="ar"/>
              </w:rPr>
              <w:t>筛分过程、热骨料仓粉尘</w:t>
            </w:r>
            <w:r>
              <w:rPr>
                <w:rFonts w:hint="eastAsia" w:ascii="Times New Roman" w:hAnsi="Times New Roman" w:cs="Times New Roman"/>
                <w:color w:val="auto"/>
                <w:sz w:val="24"/>
                <w:szCs w:val="24"/>
                <w:lang w:val="en-US" w:eastAsia="zh-CN" w:bidi="ar"/>
              </w:rPr>
              <w:t>及</w:t>
            </w:r>
            <w:r>
              <w:rPr>
                <w:rFonts w:hint="default" w:ascii="Times New Roman" w:hAnsi="Times New Roman" w:cs="Times New Roman"/>
                <w:color w:val="auto"/>
                <w:sz w:val="24"/>
                <w:szCs w:val="24"/>
                <w:lang w:bidi="ar"/>
              </w:rPr>
              <w:t>燃烧器废气</w:t>
            </w:r>
            <w:r>
              <w:rPr>
                <w:rFonts w:hint="eastAsia" w:cs="Times New Roman"/>
                <w:color w:val="auto"/>
                <w:sz w:val="24"/>
                <w:szCs w:val="24"/>
                <w:lang w:eastAsia="zh-CN" w:bidi="ar"/>
              </w:rPr>
              <w:t>及</w:t>
            </w:r>
            <w:r>
              <w:rPr>
                <w:rFonts w:ascii="Times New Roman" w:hAnsi="Times New Roman"/>
                <w:bCs/>
                <w:color w:val="auto"/>
                <w:sz w:val="24"/>
                <w:szCs w:val="24"/>
              </w:rPr>
              <w:t>沥青罐</w:t>
            </w:r>
            <w:r>
              <w:rPr>
                <w:rFonts w:hint="eastAsia"/>
                <w:bCs/>
                <w:color w:val="auto"/>
                <w:sz w:val="24"/>
                <w:szCs w:val="24"/>
                <w:lang w:val="en-US" w:eastAsia="zh-CN"/>
              </w:rPr>
              <w:t>加热</w:t>
            </w:r>
            <w:r>
              <w:rPr>
                <w:rFonts w:ascii="Times New Roman" w:hAnsi="Times New Roman"/>
                <w:bCs/>
                <w:color w:val="auto"/>
                <w:sz w:val="24"/>
                <w:szCs w:val="24"/>
              </w:rPr>
              <w:t>、搅拌机、成品仓</w:t>
            </w:r>
            <w:r>
              <w:rPr>
                <w:rFonts w:hint="eastAsia" w:ascii="Times New Roman" w:hAnsi="Times New Roman"/>
                <w:bCs/>
                <w:color w:val="auto"/>
                <w:sz w:val="24"/>
                <w:szCs w:val="24"/>
                <w:lang w:val="en-US" w:eastAsia="zh-CN"/>
              </w:rPr>
              <w:t>沥青</w:t>
            </w:r>
            <w:r>
              <w:rPr>
                <w:rFonts w:hint="default" w:ascii="Times New Roman" w:hAnsi="Times New Roman" w:cs="Times New Roman"/>
                <w:color w:val="auto"/>
                <w:sz w:val="24"/>
                <w:szCs w:val="24"/>
                <w:lang w:bidi="ar"/>
              </w:rPr>
              <w:t>烟气</w:t>
            </w:r>
            <w:r>
              <w:rPr>
                <w:rFonts w:hint="eastAsia"/>
                <w:color w:val="auto"/>
                <w:sz w:val="24"/>
                <w:lang w:val="en-US" w:eastAsia="zh-CN"/>
              </w:rPr>
              <w:t>参照</w:t>
            </w:r>
            <w:r>
              <w:rPr>
                <w:rFonts w:ascii="Times New Roman" w:hAnsi="Times New Roman"/>
                <w:color w:val="auto"/>
                <w:sz w:val="24"/>
              </w:rPr>
              <w:t>《大气污染物综合排放标准》（GB16297-1996）表2中二级标准</w:t>
            </w:r>
            <w:r>
              <w:rPr>
                <w:rFonts w:hint="eastAsia" w:ascii="Times New Roman" w:hAnsi="Times New Roman"/>
                <w:color w:val="auto"/>
                <w:sz w:val="24"/>
              </w:rPr>
              <w:t>执行</w:t>
            </w:r>
            <w:r>
              <w:rPr>
                <w:rFonts w:ascii="Times New Roman" w:hAnsi="Times New Roman"/>
                <w:color w:val="auto"/>
                <w:sz w:val="24"/>
              </w:rPr>
              <w:t>。见下表。</w:t>
            </w:r>
          </w:p>
          <w:p w14:paraId="7A0DB366">
            <w:pPr>
              <w:pStyle w:val="60"/>
              <w:keepNext w:val="0"/>
              <w:keepLines w:val="0"/>
              <w:pageBreakBefore w:val="0"/>
              <w:kinsoku/>
              <w:wordWrap/>
              <w:overflowPunct/>
              <w:topLinePunct w:val="0"/>
              <w:autoSpaceDE/>
              <w:autoSpaceDN/>
              <w:bidi w:val="0"/>
              <w:spacing w:before="0" w:beforeLines="0" w:after="0" w:afterLines="0"/>
              <w:ind w:firstLine="0" w:firstLineChars="0"/>
              <w:jc w:val="center"/>
              <w:textAlignment w:val="auto"/>
              <w:rPr>
                <w:rFonts w:hAnsi="Times New Roman"/>
                <w:b/>
                <w:color w:val="auto"/>
                <w:sz w:val="21"/>
                <w:szCs w:val="21"/>
              </w:rPr>
            </w:pPr>
            <w:r>
              <w:rPr>
                <w:rFonts w:hAnsi="Times New Roman"/>
                <w:b/>
                <w:color w:val="auto"/>
                <w:sz w:val="21"/>
                <w:szCs w:val="21"/>
              </w:rPr>
              <w:t>表</w:t>
            </w:r>
            <w:r>
              <w:rPr>
                <w:rFonts w:hint="eastAsia"/>
                <w:b/>
                <w:color w:val="auto"/>
                <w:sz w:val="21"/>
                <w:szCs w:val="21"/>
                <w:lang w:val="en-US" w:eastAsia="zh-CN"/>
              </w:rPr>
              <w:t>3-9</w:t>
            </w:r>
            <w:r>
              <w:rPr>
                <w:rFonts w:hAnsi="Times New Roman"/>
                <w:b/>
                <w:color w:val="auto"/>
                <w:sz w:val="21"/>
                <w:szCs w:val="21"/>
              </w:rPr>
              <w:t xml:space="preserve"> 大气污染物综合排放标准</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9"/>
              <w:gridCol w:w="1489"/>
              <w:gridCol w:w="1368"/>
              <w:gridCol w:w="1337"/>
              <w:gridCol w:w="1352"/>
              <w:gridCol w:w="1316"/>
            </w:tblGrid>
            <w:tr w14:paraId="67637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635" w:type="pct"/>
                  <w:vMerge w:val="restart"/>
                  <w:tcBorders>
                    <w:top w:val="single" w:color="000000" w:sz="4" w:space="0"/>
                    <w:left w:val="single" w:color="000000" w:sz="4" w:space="0"/>
                    <w:bottom w:val="single" w:color="000000" w:sz="4" w:space="0"/>
                    <w:right w:val="single" w:color="000000" w:sz="4" w:space="0"/>
                  </w:tcBorders>
                  <w:noWrap w:val="0"/>
                  <w:vAlign w:val="center"/>
                </w:tcPr>
                <w:p w14:paraId="2C6B5249">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污染物</w:t>
                  </w:r>
                </w:p>
              </w:tc>
              <w:tc>
                <w:tcPr>
                  <w:tcW w:w="947" w:type="pct"/>
                  <w:vMerge w:val="restart"/>
                  <w:tcBorders>
                    <w:top w:val="single" w:color="000000" w:sz="4" w:space="0"/>
                    <w:left w:val="single" w:color="000000" w:sz="4" w:space="0"/>
                    <w:bottom w:val="single" w:color="000000" w:sz="4" w:space="0"/>
                    <w:right w:val="single" w:color="auto" w:sz="4" w:space="0"/>
                  </w:tcBorders>
                  <w:noWrap w:val="0"/>
                  <w:vAlign w:val="center"/>
                </w:tcPr>
                <w:p w14:paraId="260AC18D">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最高允许排放浓度（</w:t>
                  </w:r>
                  <w:r>
                    <w:rPr>
                      <w:rFonts w:ascii="Times New Roman" w:hAnsi="Times New Roman"/>
                      <w:b/>
                      <w:bCs/>
                      <w:snapToGrid w:val="0"/>
                      <w:color w:val="auto"/>
                      <w:kern w:val="0"/>
                      <w:sz w:val="21"/>
                      <w:szCs w:val="21"/>
                    </w:rPr>
                    <w:t>mg/m</w:t>
                  </w:r>
                  <w:r>
                    <w:rPr>
                      <w:rFonts w:ascii="Times New Roman" w:hAnsi="Times New Roman"/>
                      <w:b/>
                      <w:bCs/>
                      <w:snapToGrid w:val="0"/>
                      <w:color w:val="auto"/>
                      <w:kern w:val="0"/>
                      <w:sz w:val="21"/>
                      <w:szCs w:val="21"/>
                      <w:vertAlign w:val="superscript"/>
                    </w:rPr>
                    <w:t>3</w:t>
                  </w:r>
                  <w:r>
                    <w:rPr>
                      <w:rFonts w:ascii="Times New Roman" w:hAnsi="Times New Roman"/>
                      <w:b/>
                      <w:bCs/>
                      <w:color w:val="auto"/>
                      <w:sz w:val="21"/>
                      <w:szCs w:val="21"/>
                    </w:rPr>
                    <w:t>）</w:t>
                  </w:r>
                </w:p>
              </w:tc>
              <w:tc>
                <w:tcPr>
                  <w:tcW w:w="3417" w:type="pct"/>
                  <w:gridSpan w:val="4"/>
                  <w:tcBorders>
                    <w:top w:val="single" w:color="000000" w:sz="4" w:space="0"/>
                    <w:left w:val="single" w:color="auto" w:sz="4" w:space="0"/>
                    <w:bottom w:val="single" w:color="auto" w:sz="4" w:space="0"/>
                    <w:right w:val="single" w:color="000000" w:sz="4" w:space="0"/>
                  </w:tcBorders>
                  <w:noWrap w:val="0"/>
                  <w:vAlign w:val="center"/>
                </w:tcPr>
                <w:p w14:paraId="25E8FCA6">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最高允许排放速率</w:t>
                  </w:r>
                </w:p>
              </w:tc>
            </w:tr>
            <w:tr w14:paraId="2A70B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6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9A0F53">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ascii="Times New Roman" w:hAnsi="Times New Roman"/>
                      <w:b/>
                      <w:bCs/>
                      <w:color w:val="auto"/>
                      <w:sz w:val="21"/>
                      <w:szCs w:val="21"/>
                    </w:rPr>
                  </w:pPr>
                </w:p>
              </w:tc>
              <w:tc>
                <w:tcPr>
                  <w:tcW w:w="947" w:type="pct"/>
                  <w:vMerge w:val="continue"/>
                  <w:tcBorders>
                    <w:top w:val="single" w:color="000000" w:sz="4" w:space="0"/>
                    <w:left w:val="single" w:color="000000" w:sz="4" w:space="0"/>
                    <w:bottom w:val="single" w:color="000000" w:sz="4" w:space="0"/>
                    <w:right w:val="single" w:color="auto" w:sz="4" w:space="0"/>
                  </w:tcBorders>
                  <w:noWrap w:val="0"/>
                  <w:vAlign w:val="center"/>
                </w:tcPr>
                <w:p w14:paraId="2BAE3F45">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ascii="Times New Roman" w:hAnsi="Times New Roman"/>
                      <w:b/>
                      <w:bCs/>
                      <w:color w:val="auto"/>
                      <w:sz w:val="21"/>
                      <w:szCs w:val="21"/>
                    </w:rPr>
                  </w:pPr>
                </w:p>
              </w:tc>
              <w:tc>
                <w:tcPr>
                  <w:tcW w:w="870" w:type="pct"/>
                  <w:tcBorders>
                    <w:top w:val="single" w:color="auto" w:sz="4" w:space="0"/>
                    <w:left w:val="single" w:color="auto" w:sz="4" w:space="0"/>
                    <w:bottom w:val="single" w:color="000000" w:sz="4" w:space="0"/>
                    <w:right w:val="single" w:color="000000" w:sz="4" w:space="0"/>
                  </w:tcBorders>
                  <w:noWrap w:val="0"/>
                  <w:vAlign w:val="center"/>
                </w:tcPr>
                <w:p w14:paraId="664A9B48">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排气筒高度（m）</w:t>
                  </w:r>
                </w:p>
              </w:tc>
              <w:tc>
                <w:tcPr>
                  <w:tcW w:w="850" w:type="pct"/>
                  <w:tcBorders>
                    <w:top w:val="single" w:color="auto" w:sz="4" w:space="0"/>
                    <w:left w:val="single" w:color="000000" w:sz="4" w:space="0"/>
                    <w:bottom w:val="single" w:color="000000" w:sz="4" w:space="0"/>
                    <w:right w:val="single" w:color="000000" w:sz="4" w:space="0"/>
                  </w:tcBorders>
                  <w:noWrap w:val="0"/>
                  <w:vAlign w:val="center"/>
                </w:tcPr>
                <w:p w14:paraId="3B3835FB">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速率（kg/h）</w:t>
                  </w:r>
                </w:p>
              </w:tc>
              <w:tc>
                <w:tcPr>
                  <w:tcW w:w="860" w:type="pct"/>
                  <w:tcBorders>
                    <w:top w:val="single" w:color="auto" w:sz="4" w:space="0"/>
                    <w:left w:val="single" w:color="000000" w:sz="4" w:space="0"/>
                    <w:bottom w:val="single" w:color="000000" w:sz="4" w:space="0"/>
                    <w:right w:val="single" w:color="000000" w:sz="4" w:space="0"/>
                  </w:tcBorders>
                  <w:noWrap w:val="0"/>
                  <w:vAlign w:val="center"/>
                </w:tcPr>
                <w:p w14:paraId="096D83BD">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排气筒高度（m）</w:t>
                  </w:r>
                </w:p>
              </w:tc>
              <w:tc>
                <w:tcPr>
                  <w:tcW w:w="836" w:type="pct"/>
                  <w:tcBorders>
                    <w:top w:val="single" w:color="auto" w:sz="4" w:space="0"/>
                    <w:left w:val="single" w:color="000000" w:sz="4" w:space="0"/>
                    <w:bottom w:val="single" w:color="000000" w:sz="4" w:space="0"/>
                    <w:right w:val="single" w:color="000000" w:sz="4" w:space="0"/>
                  </w:tcBorders>
                  <w:noWrap w:val="0"/>
                  <w:vAlign w:val="center"/>
                </w:tcPr>
                <w:p w14:paraId="67E949C8">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速率（kg/h）</w:t>
                  </w:r>
                </w:p>
              </w:tc>
            </w:tr>
            <w:tr w14:paraId="199D9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635" w:type="pct"/>
                  <w:tcBorders>
                    <w:top w:val="single" w:color="000000" w:sz="4" w:space="0"/>
                    <w:left w:val="single" w:color="000000" w:sz="4" w:space="0"/>
                    <w:bottom w:val="single" w:color="000000" w:sz="4" w:space="0"/>
                    <w:right w:val="single" w:color="000000" w:sz="4" w:space="0"/>
                  </w:tcBorders>
                  <w:noWrap w:val="0"/>
                  <w:vAlign w:val="center"/>
                </w:tcPr>
                <w:p w14:paraId="732DF312">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颗粒物</w:t>
                  </w:r>
                </w:p>
              </w:tc>
              <w:tc>
                <w:tcPr>
                  <w:tcW w:w="947" w:type="pct"/>
                  <w:tcBorders>
                    <w:top w:val="single" w:color="000000" w:sz="4" w:space="0"/>
                    <w:left w:val="single" w:color="000000" w:sz="4" w:space="0"/>
                    <w:bottom w:val="single" w:color="000000" w:sz="4" w:space="0"/>
                    <w:right w:val="single" w:color="000000" w:sz="4" w:space="0"/>
                  </w:tcBorders>
                  <w:noWrap w:val="0"/>
                  <w:vAlign w:val="center"/>
                </w:tcPr>
                <w:p w14:paraId="6EF45A9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120</w:t>
                  </w:r>
                </w:p>
              </w:tc>
              <w:tc>
                <w:tcPr>
                  <w:tcW w:w="870" w:type="pct"/>
                  <w:vMerge w:val="restart"/>
                  <w:tcBorders>
                    <w:top w:val="single" w:color="000000" w:sz="4" w:space="0"/>
                    <w:left w:val="single" w:color="000000" w:sz="4" w:space="0"/>
                    <w:right w:val="single" w:color="000000" w:sz="4" w:space="0"/>
                  </w:tcBorders>
                  <w:noWrap w:val="0"/>
                  <w:vAlign w:val="center"/>
                </w:tcPr>
                <w:p w14:paraId="5ACF986A">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r>
                    <w:rPr>
                      <w:rFonts w:hint="eastAsia" w:cs="Times New Roman"/>
                      <w:color w:val="auto"/>
                      <w:spacing w:val="-6"/>
                      <w:sz w:val="21"/>
                      <w:szCs w:val="21"/>
                      <w:lang w:val="en-US" w:eastAsia="zh-CN"/>
                    </w:rPr>
                    <w:t>15</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191ED37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pacing w:val="-1"/>
                      <w:sz w:val="21"/>
                      <w:szCs w:val="21"/>
                      <w:lang w:val="en-US" w:eastAsia="zh-CN"/>
                    </w:rPr>
                  </w:pPr>
                  <w:r>
                    <w:rPr>
                      <w:rFonts w:hint="eastAsia" w:cs="Times New Roman"/>
                      <w:color w:val="auto"/>
                      <w:spacing w:val="-1"/>
                      <w:sz w:val="21"/>
                      <w:szCs w:val="21"/>
                      <w:lang w:val="en-US" w:eastAsia="zh-CN"/>
                    </w:rPr>
                    <w:t>3.5</w:t>
                  </w:r>
                </w:p>
              </w:tc>
              <w:tc>
                <w:tcPr>
                  <w:tcW w:w="860" w:type="pct"/>
                  <w:vMerge w:val="restart"/>
                  <w:tcBorders>
                    <w:top w:val="single" w:color="000000" w:sz="4" w:space="0"/>
                    <w:left w:val="single" w:color="000000" w:sz="4" w:space="0"/>
                    <w:right w:val="single" w:color="000000" w:sz="4" w:space="0"/>
                  </w:tcBorders>
                  <w:noWrap w:val="0"/>
                  <w:vAlign w:val="center"/>
                </w:tcPr>
                <w:p w14:paraId="78DB693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20</w:t>
                  </w:r>
                </w:p>
              </w:tc>
              <w:tc>
                <w:tcPr>
                  <w:tcW w:w="836" w:type="pct"/>
                  <w:tcBorders>
                    <w:top w:val="single" w:color="000000" w:sz="4" w:space="0"/>
                    <w:left w:val="single" w:color="000000" w:sz="4" w:space="0"/>
                    <w:bottom w:val="single" w:color="000000" w:sz="4" w:space="0"/>
                    <w:right w:val="single" w:color="000000" w:sz="4" w:space="0"/>
                  </w:tcBorders>
                  <w:noWrap w:val="0"/>
                  <w:vAlign w:val="center"/>
                </w:tcPr>
                <w:p w14:paraId="69C62DE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5.9</w:t>
                  </w:r>
                </w:p>
              </w:tc>
            </w:tr>
            <w:tr w14:paraId="1058E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jc w:val="center"/>
              </w:trPr>
              <w:tc>
                <w:tcPr>
                  <w:tcW w:w="635" w:type="pct"/>
                  <w:tcBorders>
                    <w:top w:val="single" w:color="000000" w:sz="4" w:space="0"/>
                    <w:left w:val="single" w:color="000000" w:sz="4" w:space="0"/>
                    <w:bottom w:val="single" w:color="000000" w:sz="4" w:space="0"/>
                    <w:right w:val="single" w:color="000000" w:sz="4" w:space="0"/>
                  </w:tcBorders>
                  <w:noWrap w:val="0"/>
                  <w:vAlign w:val="center"/>
                </w:tcPr>
                <w:p w14:paraId="31CEE3B6">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二氧化硫</w:t>
                  </w:r>
                </w:p>
              </w:tc>
              <w:tc>
                <w:tcPr>
                  <w:tcW w:w="947" w:type="pct"/>
                  <w:tcBorders>
                    <w:top w:val="single" w:color="000000" w:sz="4" w:space="0"/>
                    <w:left w:val="single" w:color="000000" w:sz="4" w:space="0"/>
                    <w:bottom w:val="single" w:color="000000" w:sz="4" w:space="0"/>
                    <w:right w:val="single" w:color="000000" w:sz="4" w:space="0"/>
                  </w:tcBorders>
                  <w:noWrap w:val="0"/>
                  <w:vAlign w:val="center"/>
                </w:tcPr>
                <w:p w14:paraId="1A10AD3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550</w:t>
                  </w:r>
                </w:p>
              </w:tc>
              <w:tc>
                <w:tcPr>
                  <w:tcW w:w="870" w:type="pct"/>
                  <w:vMerge w:val="continue"/>
                  <w:tcBorders>
                    <w:left w:val="single" w:color="000000" w:sz="4" w:space="0"/>
                    <w:right w:val="single" w:color="000000" w:sz="4" w:space="0"/>
                  </w:tcBorders>
                  <w:noWrap w:val="0"/>
                  <w:vAlign w:val="center"/>
                </w:tcPr>
                <w:p w14:paraId="0AA064DA">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pacing w:val="-6"/>
                      <w:sz w:val="21"/>
                      <w:szCs w:val="21"/>
                      <w:lang w:val="en-US" w:eastAsia="zh-CN"/>
                    </w:rPr>
                  </w:pP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19C42D2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pacing w:val="-1"/>
                      <w:sz w:val="21"/>
                      <w:szCs w:val="21"/>
                      <w:lang w:val="en-US" w:eastAsia="zh-CN"/>
                    </w:rPr>
                  </w:pPr>
                  <w:r>
                    <w:rPr>
                      <w:rFonts w:hint="eastAsia" w:cs="Times New Roman"/>
                      <w:color w:val="auto"/>
                      <w:spacing w:val="-1"/>
                      <w:sz w:val="21"/>
                      <w:szCs w:val="21"/>
                      <w:lang w:val="en-US" w:eastAsia="zh-CN"/>
                    </w:rPr>
                    <w:t>2.6</w:t>
                  </w:r>
                </w:p>
              </w:tc>
              <w:tc>
                <w:tcPr>
                  <w:tcW w:w="860" w:type="pct"/>
                  <w:vMerge w:val="continue"/>
                  <w:tcBorders>
                    <w:left w:val="single" w:color="000000" w:sz="4" w:space="0"/>
                    <w:right w:val="single" w:color="000000" w:sz="4" w:space="0"/>
                  </w:tcBorders>
                  <w:noWrap w:val="0"/>
                  <w:vAlign w:val="center"/>
                </w:tcPr>
                <w:p w14:paraId="1FDC4284">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auto"/>
                      <w:spacing w:val="-1"/>
                      <w:sz w:val="21"/>
                      <w:szCs w:val="21"/>
                      <w:lang w:val="en-US" w:eastAsia="zh-CN"/>
                    </w:rPr>
                  </w:pPr>
                </w:p>
              </w:tc>
              <w:tc>
                <w:tcPr>
                  <w:tcW w:w="836" w:type="pct"/>
                  <w:tcBorders>
                    <w:top w:val="single" w:color="000000" w:sz="4" w:space="0"/>
                    <w:left w:val="single" w:color="000000" w:sz="4" w:space="0"/>
                    <w:bottom w:val="single" w:color="000000" w:sz="4" w:space="0"/>
                    <w:right w:val="single" w:color="000000" w:sz="4" w:space="0"/>
                  </w:tcBorders>
                  <w:noWrap w:val="0"/>
                  <w:vAlign w:val="center"/>
                </w:tcPr>
                <w:p w14:paraId="7F2A72D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4.3</w:t>
                  </w:r>
                </w:p>
              </w:tc>
            </w:tr>
            <w:tr w14:paraId="3F9DF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35" w:type="pct"/>
                  <w:tcBorders>
                    <w:top w:val="single" w:color="000000" w:sz="4" w:space="0"/>
                    <w:left w:val="single" w:color="000000" w:sz="4" w:space="0"/>
                    <w:bottom w:val="single" w:color="000000" w:sz="4" w:space="0"/>
                    <w:right w:val="single" w:color="000000" w:sz="4" w:space="0"/>
                  </w:tcBorders>
                  <w:noWrap w:val="0"/>
                  <w:vAlign w:val="center"/>
                </w:tcPr>
                <w:p w14:paraId="7016503D">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氮氧化物</w:t>
                  </w:r>
                </w:p>
              </w:tc>
              <w:tc>
                <w:tcPr>
                  <w:tcW w:w="947" w:type="pct"/>
                  <w:tcBorders>
                    <w:top w:val="single" w:color="000000" w:sz="4" w:space="0"/>
                    <w:left w:val="single" w:color="000000" w:sz="4" w:space="0"/>
                    <w:bottom w:val="single" w:color="000000" w:sz="4" w:space="0"/>
                    <w:right w:val="single" w:color="000000" w:sz="4" w:space="0"/>
                  </w:tcBorders>
                  <w:noWrap w:val="0"/>
                  <w:vAlign w:val="center"/>
                </w:tcPr>
                <w:p w14:paraId="18F67E85">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240</w:t>
                  </w:r>
                </w:p>
              </w:tc>
              <w:tc>
                <w:tcPr>
                  <w:tcW w:w="870" w:type="pct"/>
                  <w:vMerge w:val="continue"/>
                  <w:tcBorders>
                    <w:left w:val="single" w:color="000000" w:sz="4" w:space="0"/>
                    <w:right w:val="single" w:color="000000" w:sz="4" w:space="0"/>
                  </w:tcBorders>
                  <w:noWrap w:val="0"/>
                  <w:vAlign w:val="center"/>
                </w:tcPr>
                <w:p w14:paraId="7081344A">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531282C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olor w:val="auto"/>
                      <w:sz w:val="21"/>
                      <w:szCs w:val="21"/>
                      <w:lang w:val="en-US"/>
                    </w:rPr>
                  </w:pPr>
                  <w:r>
                    <w:rPr>
                      <w:rFonts w:hint="eastAsia" w:cs="Times New Roman"/>
                      <w:color w:val="auto"/>
                      <w:spacing w:val="-1"/>
                      <w:sz w:val="21"/>
                      <w:szCs w:val="21"/>
                      <w:lang w:val="en-US" w:eastAsia="zh-CN"/>
                    </w:rPr>
                    <w:t>0.77</w:t>
                  </w:r>
                </w:p>
              </w:tc>
              <w:tc>
                <w:tcPr>
                  <w:tcW w:w="860" w:type="pct"/>
                  <w:vMerge w:val="continue"/>
                  <w:tcBorders>
                    <w:left w:val="single" w:color="000000" w:sz="4" w:space="0"/>
                    <w:right w:val="single" w:color="000000" w:sz="4" w:space="0"/>
                  </w:tcBorders>
                  <w:noWrap w:val="0"/>
                  <w:vAlign w:val="center"/>
                </w:tcPr>
                <w:p w14:paraId="0A7CEC2B">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color w:val="auto"/>
                      <w:spacing w:val="-1"/>
                      <w:sz w:val="21"/>
                      <w:szCs w:val="21"/>
                      <w:lang w:val="en-US" w:eastAsia="zh-CN"/>
                    </w:rPr>
                  </w:pPr>
                </w:p>
              </w:tc>
              <w:tc>
                <w:tcPr>
                  <w:tcW w:w="836" w:type="pct"/>
                  <w:tcBorders>
                    <w:top w:val="single" w:color="000000" w:sz="4" w:space="0"/>
                    <w:left w:val="single" w:color="000000" w:sz="4" w:space="0"/>
                    <w:bottom w:val="single" w:color="000000" w:sz="4" w:space="0"/>
                    <w:right w:val="single" w:color="000000" w:sz="4" w:space="0"/>
                  </w:tcBorders>
                  <w:noWrap w:val="0"/>
                  <w:vAlign w:val="center"/>
                </w:tcPr>
                <w:p w14:paraId="62E7E8D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color w:val="auto"/>
                      <w:spacing w:val="-1"/>
                      <w:sz w:val="21"/>
                      <w:szCs w:val="21"/>
                      <w:lang w:val="en-US" w:eastAsia="zh-CN"/>
                    </w:rPr>
                  </w:pPr>
                  <w:r>
                    <w:rPr>
                      <w:rFonts w:hint="eastAsia" w:cs="Times New Roman"/>
                      <w:color w:val="auto"/>
                      <w:spacing w:val="-1"/>
                      <w:sz w:val="21"/>
                      <w:szCs w:val="21"/>
                      <w:lang w:val="en-US" w:eastAsia="zh-CN"/>
                    </w:rPr>
                    <w:t>1.3</w:t>
                  </w:r>
                </w:p>
              </w:tc>
            </w:tr>
            <w:tr w14:paraId="665FD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 w:hRule="atLeast"/>
                <w:jc w:val="center"/>
              </w:trPr>
              <w:tc>
                <w:tcPr>
                  <w:tcW w:w="635" w:type="pct"/>
                  <w:tcBorders>
                    <w:top w:val="single" w:color="000000" w:sz="4" w:space="0"/>
                    <w:left w:val="single" w:color="000000" w:sz="4" w:space="0"/>
                    <w:bottom w:val="single" w:color="000000" w:sz="4" w:space="0"/>
                    <w:right w:val="single" w:color="000000" w:sz="4" w:space="0"/>
                  </w:tcBorders>
                  <w:noWrap w:val="0"/>
                  <w:vAlign w:val="center"/>
                </w:tcPr>
                <w:p w14:paraId="066EE7F4">
                  <w:pPr>
                    <w:keepNext w:val="0"/>
                    <w:keepLines w:val="0"/>
                    <w:pageBreakBefore w:val="0"/>
                    <w:widowControl w:val="0"/>
                    <w:kinsoku/>
                    <w:wordWrap/>
                    <w:overflowPunct/>
                    <w:topLinePunct w:val="0"/>
                    <w:autoSpaceDE/>
                    <w:autoSpaceDN/>
                    <w:bidi w:val="0"/>
                    <w:adjustRightInd/>
                    <w:snapToGrid/>
                    <w:spacing w:before="77" w:line="240" w:lineRule="auto"/>
                    <w:ind w:left="0" w:leftChars="0" w:right="0" w:rightChars="0"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苯并[α]芘</w:t>
                  </w:r>
                </w:p>
              </w:tc>
              <w:tc>
                <w:tcPr>
                  <w:tcW w:w="947" w:type="pct"/>
                  <w:tcBorders>
                    <w:top w:val="single" w:color="000000" w:sz="4" w:space="0"/>
                    <w:left w:val="single" w:color="000000" w:sz="4" w:space="0"/>
                    <w:bottom w:val="single" w:color="000000" w:sz="4" w:space="0"/>
                    <w:right w:val="single" w:color="000000" w:sz="4" w:space="0"/>
                  </w:tcBorders>
                  <w:noWrap w:val="0"/>
                  <w:vAlign w:val="center"/>
                </w:tcPr>
                <w:p w14:paraId="73ED1113">
                  <w:pPr>
                    <w:keepNext w:val="0"/>
                    <w:keepLines w:val="0"/>
                    <w:pageBreakBefore w:val="0"/>
                    <w:widowControl w:val="0"/>
                    <w:kinsoku/>
                    <w:wordWrap/>
                    <w:overflowPunct/>
                    <w:topLinePunct w:val="0"/>
                    <w:autoSpaceDE/>
                    <w:autoSpaceDN/>
                    <w:bidi w:val="0"/>
                    <w:adjustRightInd/>
                    <w:snapToGrid/>
                    <w:spacing w:before="77" w:line="240" w:lineRule="auto"/>
                    <w:ind w:left="0" w:leftChars="0" w:right="0" w:rightChars="0"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pacing w:val="1"/>
                      <w:sz w:val="21"/>
                      <w:szCs w:val="21"/>
                    </w:rPr>
                    <w:t>0</w:t>
                  </w:r>
                  <w:r>
                    <w:rPr>
                      <w:rFonts w:hint="default" w:ascii="Times New Roman" w:hAnsi="Times New Roman" w:eastAsia="宋体" w:cs="Times New Roman"/>
                      <w:color w:val="auto"/>
                      <w:sz w:val="21"/>
                      <w:szCs w:val="21"/>
                    </w:rPr>
                    <w:t>.3×10</w:t>
                  </w:r>
                  <w:r>
                    <w:rPr>
                      <w:rFonts w:hint="eastAsia" w:ascii="Times New Roman" w:hAnsi="Times New Roman" w:eastAsia="宋体" w:cs="Times New Roman"/>
                      <w:color w:val="auto"/>
                      <w:sz w:val="21"/>
                      <w:szCs w:val="21"/>
                      <w:vertAlign w:val="superscript"/>
                      <w:lang w:val="en-US" w:eastAsia="zh-CN"/>
                    </w:rPr>
                    <w:t>-3</w:t>
                  </w:r>
                </w:p>
              </w:tc>
              <w:tc>
                <w:tcPr>
                  <w:tcW w:w="870" w:type="pct"/>
                  <w:vMerge w:val="continue"/>
                  <w:tcBorders>
                    <w:left w:val="single" w:color="000000" w:sz="4" w:space="0"/>
                    <w:right w:val="single" w:color="000000" w:sz="4" w:space="0"/>
                  </w:tcBorders>
                  <w:noWrap w:val="0"/>
                  <w:vAlign w:val="center"/>
                </w:tcPr>
                <w:p w14:paraId="23F9946A">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1B4CF538">
                  <w:pPr>
                    <w:keepNext w:val="0"/>
                    <w:keepLines w:val="0"/>
                    <w:pageBreakBefore w:val="0"/>
                    <w:widowControl w:val="0"/>
                    <w:kinsoku/>
                    <w:wordWrap/>
                    <w:overflowPunct/>
                    <w:topLinePunct w:val="0"/>
                    <w:autoSpaceDE/>
                    <w:autoSpaceDN/>
                    <w:bidi w:val="0"/>
                    <w:adjustRightInd/>
                    <w:snapToGrid/>
                    <w:spacing w:before="77" w:line="240" w:lineRule="auto"/>
                    <w:ind w:left="0" w:leftChars="0" w:right="0" w:rightChars="0" w:firstLine="0" w:firstLineChars="0"/>
                    <w:jc w:val="center"/>
                    <w:textAlignment w:val="auto"/>
                    <w:rPr>
                      <w:rFonts w:hint="eastAsia" w:cs="Times New Roman"/>
                      <w:color w:val="auto"/>
                      <w:spacing w:val="-1"/>
                      <w:sz w:val="21"/>
                      <w:szCs w:val="21"/>
                      <w:lang w:val="en-US" w:eastAsia="zh-CN"/>
                    </w:rPr>
                  </w:pPr>
                  <w:r>
                    <w:rPr>
                      <w:rFonts w:hint="default" w:ascii="Times New Roman" w:hAnsi="Times New Roman" w:eastAsia="宋体" w:cs="Times New Roman"/>
                      <w:color w:val="auto"/>
                      <w:spacing w:val="1"/>
                      <w:sz w:val="21"/>
                      <w:szCs w:val="21"/>
                    </w:rPr>
                    <w:t>0.</w:t>
                  </w:r>
                  <w:r>
                    <w:rPr>
                      <w:rFonts w:hint="default" w:ascii="Times New Roman" w:hAnsi="Times New Roman" w:eastAsia="宋体" w:cs="Times New Roman"/>
                      <w:color w:val="auto"/>
                      <w:sz w:val="21"/>
                      <w:szCs w:val="21"/>
                    </w:rPr>
                    <w:t>05×10</w:t>
                  </w:r>
                  <w:r>
                    <w:rPr>
                      <w:rFonts w:hint="eastAsia" w:ascii="Times New Roman" w:hAnsi="Times New Roman" w:eastAsia="宋体" w:cs="Times New Roman"/>
                      <w:color w:val="auto"/>
                      <w:sz w:val="21"/>
                      <w:szCs w:val="21"/>
                      <w:vertAlign w:val="superscript"/>
                      <w:lang w:val="en-US" w:eastAsia="zh-CN"/>
                    </w:rPr>
                    <w:t>-3</w:t>
                  </w:r>
                </w:p>
              </w:tc>
              <w:tc>
                <w:tcPr>
                  <w:tcW w:w="860" w:type="pct"/>
                  <w:vMerge w:val="continue"/>
                  <w:tcBorders>
                    <w:left w:val="single" w:color="000000" w:sz="4" w:space="0"/>
                    <w:right w:val="single" w:color="000000" w:sz="4" w:space="0"/>
                  </w:tcBorders>
                  <w:noWrap w:val="0"/>
                  <w:vAlign w:val="center"/>
                </w:tcPr>
                <w:p w14:paraId="69B01190">
                  <w:pPr>
                    <w:keepNext w:val="0"/>
                    <w:keepLines w:val="0"/>
                    <w:pageBreakBefore w:val="0"/>
                    <w:widowControl w:val="0"/>
                    <w:kinsoku/>
                    <w:wordWrap/>
                    <w:overflowPunct/>
                    <w:topLinePunct w:val="0"/>
                    <w:autoSpaceDE/>
                    <w:autoSpaceDN/>
                    <w:bidi w:val="0"/>
                    <w:adjustRightInd/>
                    <w:snapToGrid/>
                    <w:spacing w:before="77" w:line="240" w:lineRule="auto"/>
                    <w:ind w:left="0" w:leftChars="0" w:right="0" w:rightChars="0" w:firstLine="0" w:firstLineChars="0"/>
                    <w:jc w:val="center"/>
                    <w:textAlignment w:val="auto"/>
                    <w:rPr>
                      <w:rFonts w:hint="default" w:ascii="Times New Roman" w:hAnsi="Times New Roman" w:eastAsia="宋体" w:cs="Times New Roman"/>
                      <w:color w:val="auto"/>
                      <w:spacing w:val="1"/>
                      <w:sz w:val="21"/>
                      <w:szCs w:val="21"/>
                    </w:rPr>
                  </w:pPr>
                </w:p>
              </w:tc>
              <w:tc>
                <w:tcPr>
                  <w:tcW w:w="836" w:type="pct"/>
                  <w:tcBorders>
                    <w:top w:val="single" w:color="000000" w:sz="4" w:space="0"/>
                    <w:left w:val="single" w:color="000000" w:sz="4" w:space="0"/>
                    <w:bottom w:val="single" w:color="000000" w:sz="4" w:space="0"/>
                    <w:right w:val="single" w:color="000000" w:sz="4" w:space="0"/>
                  </w:tcBorders>
                  <w:noWrap w:val="0"/>
                  <w:vAlign w:val="center"/>
                </w:tcPr>
                <w:p w14:paraId="17CD274F">
                  <w:pPr>
                    <w:keepNext w:val="0"/>
                    <w:keepLines w:val="0"/>
                    <w:pageBreakBefore w:val="0"/>
                    <w:widowControl w:val="0"/>
                    <w:kinsoku/>
                    <w:wordWrap/>
                    <w:overflowPunct/>
                    <w:topLinePunct w:val="0"/>
                    <w:autoSpaceDE/>
                    <w:autoSpaceDN/>
                    <w:bidi w:val="0"/>
                    <w:adjustRightInd/>
                    <w:snapToGrid/>
                    <w:spacing w:before="77" w:line="240" w:lineRule="auto"/>
                    <w:ind w:left="0" w:leftChars="0" w:right="0" w:rightChars="0" w:firstLine="0" w:firstLineChars="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0.</w:t>
                  </w: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5×10</w:t>
                  </w:r>
                  <w:r>
                    <w:rPr>
                      <w:rFonts w:hint="eastAsia" w:ascii="Times New Roman" w:hAnsi="Times New Roman" w:eastAsia="宋体" w:cs="Times New Roman"/>
                      <w:color w:val="auto"/>
                      <w:sz w:val="21"/>
                      <w:szCs w:val="21"/>
                      <w:vertAlign w:val="superscript"/>
                      <w:lang w:val="en-US" w:eastAsia="zh-CN"/>
                    </w:rPr>
                    <w:t>-3</w:t>
                  </w:r>
                </w:p>
              </w:tc>
            </w:tr>
            <w:tr w14:paraId="46198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635" w:type="pct"/>
                  <w:tcBorders>
                    <w:top w:val="single" w:color="000000" w:sz="4" w:space="0"/>
                    <w:left w:val="single" w:color="000000" w:sz="4" w:space="0"/>
                    <w:bottom w:val="single" w:color="000000" w:sz="4" w:space="0"/>
                    <w:right w:val="single" w:color="000000" w:sz="4" w:space="0"/>
                  </w:tcBorders>
                  <w:noWrap w:val="0"/>
                  <w:vAlign w:val="center"/>
                </w:tcPr>
                <w:p w14:paraId="18EF652F">
                  <w:pPr>
                    <w:keepNext w:val="0"/>
                    <w:keepLines w:val="0"/>
                    <w:pageBreakBefore w:val="0"/>
                    <w:widowControl w:val="0"/>
                    <w:kinsoku/>
                    <w:wordWrap/>
                    <w:overflowPunct/>
                    <w:topLinePunct w:val="0"/>
                    <w:autoSpaceDE/>
                    <w:autoSpaceDN/>
                    <w:bidi w:val="0"/>
                    <w:adjustRightInd/>
                    <w:snapToGrid/>
                    <w:spacing w:before="96" w:line="240" w:lineRule="auto"/>
                    <w:ind w:left="0" w:leftChars="0" w:right="0" w:rightChars="0"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pacing w:val="20"/>
                      <w:sz w:val="21"/>
                      <w:szCs w:val="21"/>
                    </w:rPr>
                    <w:t>沥青烟</w:t>
                  </w:r>
                </w:p>
              </w:tc>
              <w:tc>
                <w:tcPr>
                  <w:tcW w:w="947" w:type="pct"/>
                  <w:tcBorders>
                    <w:top w:val="single" w:color="000000" w:sz="4" w:space="0"/>
                    <w:left w:val="single" w:color="000000" w:sz="4" w:space="0"/>
                    <w:bottom w:val="single" w:color="000000" w:sz="4" w:space="0"/>
                    <w:right w:val="single" w:color="000000" w:sz="4" w:space="0"/>
                  </w:tcBorders>
                  <w:noWrap w:val="0"/>
                  <w:vAlign w:val="center"/>
                </w:tcPr>
                <w:p w14:paraId="5603C8CB">
                  <w:pPr>
                    <w:keepNext w:val="0"/>
                    <w:keepLines w:val="0"/>
                    <w:pageBreakBefore w:val="0"/>
                    <w:widowControl w:val="0"/>
                    <w:kinsoku/>
                    <w:wordWrap/>
                    <w:overflowPunct/>
                    <w:topLinePunct w:val="0"/>
                    <w:autoSpaceDE/>
                    <w:autoSpaceDN/>
                    <w:bidi w:val="0"/>
                    <w:adjustRightInd/>
                    <w:snapToGrid/>
                    <w:spacing w:before="96" w:line="240" w:lineRule="auto"/>
                    <w:ind w:left="0" w:leftChars="0" w:right="0" w:rightChars="0"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pacing w:val="20"/>
                      <w:sz w:val="21"/>
                      <w:szCs w:val="21"/>
                    </w:rPr>
                    <w:t>75</w:t>
                  </w:r>
                </w:p>
              </w:tc>
              <w:tc>
                <w:tcPr>
                  <w:tcW w:w="870" w:type="pct"/>
                  <w:vMerge w:val="continue"/>
                  <w:tcBorders>
                    <w:left w:val="single" w:color="000000" w:sz="4" w:space="0"/>
                    <w:right w:val="single" w:color="000000" w:sz="4" w:space="0"/>
                  </w:tcBorders>
                  <w:noWrap w:val="0"/>
                  <w:vAlign w:val="center"/>
                </w:tcPr>
                <w:p w14:paraId="4117CA95">
                  <w:pPr>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7D831A33">
                  <w:pPr>
                    <w:keepNext w:val="0"/>
                    <w:keepLines w:val="0"/>
                    <w:pageBreakBefore w:val="0"/>
                    <w:widowControl w:val="0"/>
                    <w:kinsoku/>
                    <w:wordWrap/>
                    <w:overflowPunct/>
                    <w:topLinePunct w:val="0"/>
                    <w:autoSpaceDE/>
                    <w:autoSpaceDN/>
                    <w:bidi w:val="0"/>
                    <w:adjustRightInd/>
                    <w:snapToGrid/>
                    <w:spacing w:before="96" w:line="240" w:lineRule="auto"/>
                    <w:ind w:left="0" w:leftChars="0" w:right="0" w:rightChars="0" w:firstLine="0" w:firstLineChars="0"/>
                    <w:jc w:val="center"/>
                    <w:textAlignment w:val="auto"/>
                    <w:rPr>
                      <w:rFonts w:hint="eastAsia" w:cs="Times New Roman"/>
                      <w:color w:val="auto"/>
                      <w:spacing w:val="-1"/>
                      <w:sz w:val="21"/>
                      <w:szCs w:val="21"/>
                      <w:lang w:val="en-US" w:eastAsia="zh-CN"/>
                    </w:rPr>
                  </w:pPr>
                  <w:r>
                    <w:rPr>
                      <w:rFonts w:hint="default" w:ascii="Times New Roman" w:hAnsi="Times New Roman" w:eastAsia="宋体" w:cs="Times New Roman"/>
                      <w:color w:val="auto"/>
                      <w:spacing w:val="20"/>
                      <w:sz w:val="21"/>
                      <w:szCs w:val="21"/>
                    </w:rPr>
                    <w:t>0.18</w:t>
                  </w:r>
                </w:p>
              </w:tc>
              <w:tc>
                <w:tcPr>
                  <w:tcW w:w="860" w:type="pct"/>
                  <w:vMerge w:val="continue"/>
                  <w:tcBorders>
                    <w:left w:val="single" w:color="000000" w:sz="4" w:space="0"/>
                    <w:bottom w:val="single" w:color="000000" w:sz="4" w:space="0"/>
                    <w:right w:val="single" w:color="000000" w:sz="4" w:space="0"/>
                  </w:tcBorders>
                  <w:noWrap w:val="0"/>
                  <w:vAlign w:val="center"/>
                </w:tcPr>
                <w:p w14:paraId="3CCFB8A7">
                  <w:pPr>
                    <w:keepNext w:val="0"/>
                    <w:keepLines w:val="0"/>
                    <w:pageBreakBefore w:val="0"/>
                    <w:widowControl w:val="0"/>
                    <w:kinsoku/>
                    <w:wordWrap/>
                    <w:overflowPunct/>
                    <w:topLinePunct w:val="0"/>
                    <w:autoSpaceDE/>
                    <w:autoSpaceDN/>
                    <w:bidi w:val="0"/>
                    <w:adjustRightInd/>
                    <w:snapToGrid/>
                    <w:spacing w:before="96"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rPr>
                  </w:pPr>
                </w:p>
              </w:tc>
              <w:tc>
                <w:tcPr>
                  <w:tcW w:w="836" w:type="pct"/>
                  <w:tcBorders>
                    <w:top w:val="single" w:color="000000" w:sz="4" w:space="0"/>
                    <w:left w:val="single" w:color="000000" w:sz="4" w:space="0"/>
                    <w:bottom w:val="single" w:color="000000" w:sz="4" w:space="0"/>
                    <w:right w:val="single" w:color="000000" w:sz="4" w:space="0"/>
                  </w:tcBorders>
                  <w:noWrap w:val="0"/>
                  <w:vAlign w:val="center"/>
                </w:tcPr>
                <w:p w14:paraId="3C2E6E4C">
                  <w:pPr>
                    <w:keepNext w:val="0"/>
                    <w:keepLines w:val="0"/>
                    <w:pageBreakBefore w:val="0"/>
                    <w:widowControl w:val="0"/>
                    <w:kinsoku/>
                    <w:wordWrap/>
                    <w:overflowPunct/>
                    <w:topLinePunct w:val="0"/>
                    <w:autoSpaceDE/>
                    <w:autoSpaceDN/>
                    <w:bidi w:val="0"/>
                    <w:adjustRightInd/>
                    <w:snapToGrid/>
                    <w:spacing w:before="96"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lang w:val="en-US" w:eastAsia="zh-CN"/>
                    </w:rPr>
                  </w:pPr>
                  <w:r>
                    <w:rPr>
                      <w:rFonts w:hint="eastAsia" w:cs="Times New Roman"/>
                      <w:color w:val="auto"/>
                      <w:spacing w:val="20"/>
                      <w:sz w:val="21"/>
                      <w:szCs w:val="21"/>
                      <w:lang w:val="en-US" w:eastAsia="zh-CN"/>
                    </w:rPr>
                    <w:t>0.3</w:t>
                  </w:r>
                </w:p>
              </w:tc>
            </w:tr>
          </w:tbl>
          <w:p w14:paraId="452CE4B5">
            <w:pPr>
              <w:pStyle w:val="60"/>
              <w:keepNext w:val="0"/>
              <w:keepLines w:val="0"/>
              <w:pageBreakBefore w:val="0"/>
              <w:kinsoku/>
              <w:wordWrap/>
              <w:overflowPunct/>
              <w:topLinePunct w:val="0"/>
              <w:autoSpaceDE/>
              <w:autoSpaceDN/>
              <w:bidi w:val="0"/>
              <w:spacing w:before="0" w:beforeLines="0" w:after="0" w:afterLines="0"/>
              <w:ind w:firstLine="0" w:firstLineChars="0"/>
              <w:jc w:val="center"/>
              <w:textAlignment w:val="auto"/>
              <w:rPr>
                <w:rFonts w:hAnsi="Times New Roman"/>
                <w:b/>
                <w:color w:val="auto"/>
                <w:sz w:val="21"/>
                <w:szCs w:val="21"/>
              </w:rPr>
            </w:pPr>
          </w:p>
          <w:p w14:paraId="289228A8">
            <w:pPr>
              <w:keepNext w:val="0"/>
              <w:keepLines w:val="0"/>
              <w:pageBreakBefore w:val="0"/>
              <w:kinsoku/>
              <w:wordWrap/>
              <w:overflowPunct/>
              <w:topLinePunct w:val="0"/>
              <w:autoSpaceDE/>
              <w:autoSpaceDN/>
              <w:bidi w:val="0"/>
              <w:spacing w:line="360" w:lineRule="auto"/>
              <w:ind w:firstLine="480" w:firstLineChars="200"/>
              <w:textAlignment w:val="auto"/>
              <w:rPr>
                <w:rFonts w:ascii="Times New Roman" w:hAnsi="Times New Roman"/>
                <w:color w:val="auto"/>
                <w:sz w:val="24"/>
              </w:rPr>
            </w:pPr>
            <w:r>
              <w:rPr>
                <w:rFonts w:hint="eastAsia"/>
                <w:color w:val="auto"/>
                <w:sz w:val="24"/>
                <w:szCs w:val="24"/>
                <w:lang w:val="en-US" w:eastAsia="zh-CN"/>
              </w:rPr>
              <w:t>②</w:t>
            </w:r>
            <w:r>
              <w:rPr>
                <w:rFonts w:hint="eastAsia"/>
                <w:bCs/>
                <w:color w:val="auto"/>
                <w:sz w:val="24"/>
                <w:szCs w:val="24"/>
                <w:lang w:eastAsia="zh-CN"/>
              </w:rPr>
              <w:t>导热油锅炉废气</w:t>
            </w:r>
            <w:r>
              <w:rPr>
                <w:rFonts w:hint="eastAsia" w:ascii="Times New Roman" w:hAnsi="Times New Roman"/>
                <w:color w:val="auto"/>
                <w:sz w:val="24"/>
              </w:rPr>
              <w:t>执</w:t>
            </w:r>
            <w:r>
              <w:rPr>
                <w:rFonts w:ascii="Times New Roman" w:hAnsi="Times New Roman"/>
                <w:color w:val="auto"/>
                <w:sz w:val="24"/>
              </w:rPr>
              <w:t>行</w:t>
            </w:r>
            <w:r>
              <w:rPr>
                <w:rFonts w:hint="eastAsia"/>
                <w:color w:val="000000"/>
                <w:kern w:val="0"/>
                <w:sz w:val="24"/>
              </w:rPr>
              <w:t>《</w:t>
            </w:r>
            <w:r>
              <w:rPr>
                <w:color w:val="000000"/>
                <w:kern w:val="0"/>
                <w:sz w:val="24"/>
              </w:rPr>
              <w:t>锅炉大气污染物排放标准》（GB13</w:t>
            </w:r>
            <w:r>
              <w:rPr>
                <w:rFonts w:hint="eastAsia"/>
                <w:color w:val="000000"/>
                <w:kern w:val="0"/>
                <w:sz w:val="24"/>
              </w:rPr>
              <w:t>2</w:t>
            </w:r>
            <w:r>
              <w:rPr>
                <w:color w:val="000000"/>
                <w:kern w:val="0"/>
                <w:sz w:val="24"/>
              </w:rPr>
              <w:t>71-2014）表2新建燃</w:t>
            </w:r>
            <w:r>
              <w:rPr>
                <w:rFonts w:hint="eastAsia"/>
                <w:color w:val="000000"/>
                <w:kern w:val="0"/>
                <w:sz w:val="24"/>
              </w:rPr>
              <w:t>油</w:t>
            </w:r>
            <w:r>
              <w:rPr>
                <w:color w:val="000000"/>
                <w:kern w:val="0"/>
                <w:sz w:val="24"/>
              </w:rPr>
              <w:t>锅炉标准</w:t>
            </w:r>
            <w:r>
              <w:rPr>
                <w:rFonts w:hint="eastAsia"/>
                <w:color w:val="000000"/>
                <w:kern w:val="0"/>
                <w:sz w:val="24"/>
                <w:lang w:eastAsia="zh-CN"/>
              </w:rPr>
              <w:t>，</w:t>
            </w:r>
            <w:r>
              <w:rPr>
                <w:rFonts w:ascii="Times New Roman" w:hAnsi="Times New Roman"/>
                <w:color w:val="auto"/>
                <w:sz w:val="24"/>
              </w:rPr>
              <w:t>见下表。</w:t>
            </w:r>
          </w:p>
          <w:p w14:paraId="72A49BBF">
            <w:pPr>
              <w:pStyle w:val="60"/>
              <w:keepNext w:val="0"/>
              <w:keepLines w:val="0"/>
              <w:pageBreakBefore w:val="0"/>
              <w:kinsoku/>
              <w:wordWrap/>
              <w:overflowPunct/>
              <w:topLinePunct w:val="0"/>
              <w:autoSpaceDE/>
              <w:autoSpaceDN/>
              <w:bidi w:val="0"/>
              <w:spacing w:before="0" w:beforeLines="0" w:after="0" w:afterLines="0"/>
              <w:ind w:firstLine="0" w:firstLineChars="0"/>
              <w:jc w:val="center"/>
              <w:textAlignment w:val="auto"/>
              <w:rPr>
                <w:rFonts w:hAnsi="Times New Roman"/>
                <w:b/>
                <w:color w:val="auto"/>
                <w:sz w:val="21"/>
                <w:szCs w:val="21"/>
              </w:rPr>
            </w:pPr>
            <w:r>
              <w:rPr>
                <w:rFonts w:hAnsi="Times New Roman"/>
                <w:b/>
                <w:color w:val="auto"/>
                <w:sz w:val="21"/>
                <w:szCs w:val="21"/>
              </w:rPr>
              <w:t>表</w:t>
            </w:r>
            <w:r>
              <w:rPr>
                <w:rFonts w:hint="eastAsia"/>
                <w:b/>
                <w:color w:val="auto"/>
                <w:sz w:val="21"/>
                <w:szCs w:val="21"/>
                <w:lang w:val="en-US" w:eastAsia="zh-CN"/>
              </w:rPr>
              <w:t xml:space="preserve">3-10 </w:t>
            </w:r>
            <w:r>
              <w:rPr>
                <w:rFonts w:hAnsi="Times New Roman" w:eastAsia="宋体"/>
                <w:b/>
                <w:color w:val="auto"/>
                <w:sz w:val="21"/>
                <w:szCs w:val="21"/>
              </w:rPr>
              <w:t>锅炉大气污染物排放标准</w:t>
            </w:r>
          </w:p>
          <w:tbl>
            <w:tblPr>
              <w:tblStyle w:val="27"/>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3"/>
              <w:gridCol w:w="910"/>
              <w:gridCol w:w="1034"/>
              <w:gridCol w:w="1076"/>
              <w:gridCol w:w="1006"/>
              <w:gridCol w:w="881"/>
              <w:gridCol w:w="2049"/>
            </w:tblGrid>
            <w:tr w14:paraId="0E98E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80" w:type="pct"/>
                  <w:vMerge w:val="restart"/>
                  <w:tcBorders>
                    <w:top w:val="single" w:color="000000" w:sz="2" w:space="0"/>
                    <w:left w:val="single" w:color="000000" w:sz="2" w:space="0"/>
                    <w:right w:val="single" w:color="000000" w:sz="2" w:space="0"/>
                  </w:tcBorders>
                  <w:noWrap w:val="0"/>
                  <w:vAlign w:val="center"/>
                </w:tcPr>
                <w:p w14:paraId="5138C9E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
                      <w:color w:val="000000"/>
                      <w:sz w:val="21"/>
                      <w:szCs w:val="21"/>
                      <w:lang w:bidi="ar"/>
                    </w:rPr>
                  </w:pPr>
                  <w:r>
                    <w:rPr>
                      <w:rFonts w:hint="eastAsia"/>
                      <w:b/>
                      <w:color w:val="000000"/>
                      <w:sz w:val="21"/>
                      <w:szCs w:val="21"/>
                      <w:lang w:bidi="ar"/>
                    </w:rPr>
                    <w:t>生产装置/工艺</w:t>
                  </w:r>
                </w:p>
              </w:tc>
              <w:tc>
                <w:tcPr>
                  <w:tcW w:w="578" w:type="pct"/>
                  <w:vMerge w:val="restart"/>
                  <w:tcBorders>
                    <w:top w:val="single" w:color="000000" w:sz="2" w:space="0"/>
                    <w:left w:val="single" w:color="000000" w:sz="2" w:space="0"/>
                    <w:right w:val="single" w:color="000000" w:sz="2" w:space="0"/>
                  </w:tcBorders>
                  <w:noWrap w:val="0"/>
                  <w:vAlign w:val="center"/>
                </w:tcPr>
                <w:p w14:paraId="30C3692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lang w:bidi="ar"/>
                    </w:rPr>
                  </w:pPr>
                  <w:r>
                    <w:rPr>
                      <w:rFonts w:hint="eastAsia"/>
                      <w:b/>
                      <w:color w:val="000000"/>
                      <w:sz w:val="21"/>
                      <w:szCs w:val="21"/>
                      <w:lang w:bidi="ar"/>
                    </w:rPr>
                    <w:t>排气筒编号</w:t>
                  </w:r>
                </w:p>
              </w:tc>
              <w:tc>
                <w:tcPr>
                  <w:tcW w:w="657" w:type="pct"/>
                  <w:vMerge w:val="restart"/>
                  <w:tcBorders>
                    <w:top w:val="single" w:color="000000" w:sz="2" w:space="0"/>
                    <w:left w:val="single" w:color="000000" w:sz="2" w:space="0"/>
                    <w:right w:val="single" w:color="000000" w:sz="2" w:space="0"/>
                  </w:tcBorders>
                  <w:noWrap w:val="0"/>
                  <w:vAlign w:val="center"/>
                </w:tcPr>
                <w:p w14:paraId="1A4CCA1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rPr>
                  </w:pPr>
                  <w:r>
                    <w:rPr>
                      <w:b/>
                      <w:color w:val="000000"/>
                      <w:sz w:val="21"/>
                      <w:szCs w:val="21"/>
                      <w:lang w:bidi="ar"/>
                    </w:rPr>
                    <w:t>污染因子</w:t>
                  </w:r>
                </w:p>
              </w:tc>
              <w:tc>
                <w:tcPr>
                  <w:tcW w:w="683" w:type="pct"/>
                  <w:vMerge w:val="restart"/>
                  <w:tcBorders>
                    <w:top w:val="single" w:color="000000" w:sz="2" w:space="0"/>
                    <w:left w:val="single" w:color="000000" w:sz="2" w:space="0"/>
                    <w:right w:val="single" w:color="000000" w:sz="2" w:space="0"/>
                  </w:tcBorders>
                  <w:noWrap w:val="0"/>
                  <w:vAlign w:val="center"/>
                </w:tcPr>
                <w:p w14:paraId="14073C6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lang w:bidi="ar"/>
                    </w:rPr>
                  </w:pPr>
                  <w:r>
                    <w:rPr>
                      <w:b/>
                      <w:color w:val="000000"/>
                      <w:sz w:val="21"/>
                      <w:szCs w:val="21"/>
                      <w:lang w:bidi="ar"/>
                    </w:rPr>
                    <w:t>最高允许排放浓度</w:t>
                  </w:r>
                </w:p>
                <w:p w14:paraId="6A84BBD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rPr>
                  </w:pPr>
                  <w:r>
                    <w:rPr>
                      <w:b/>
                      <w:color w:val="000000"/>
                      <w:sz w:val="21"/>
                      <w:szCs w:val="21"/>
                      <w:lang w:bidi="ar"/>
                    </w:rPr>
                    <w:t>（mg/m</w:t>
                  </w:r>
                  <w:r>
                    <w:rPr>
                      <w:b/>
                      <w:color w:val="000000"/>
                      <w:sz w:val="21"/>
                      <w:szCs w:val="21"/>
                      <w:vertAlign w:val="superscript"/>
                      <w:lang w:bidi="ar"/>
                    </w:rPr>
                    <w:t>3</w:t>
                  </w:r>
                  <w:r>
                    <w:rPr>
                      <w:b/>
                      <w:color w:val="000000"/>
                      <w:sz w:val="21"/>
                      <w:szCs w:val="21"/>
                      <w:lang w:bidi="ar"/>
                    </w:rPr>
                    <w:t>）</w:t>
                  </w:r>
                </w:p>
              </w:tc>
              <w:tc>
                <w:tcPr>
                  <w:tcW w:w="1199" w:type="pct"/>
                  <w:gridSpan w:val="2"/>
                  <w:tcBorders>
                    <w:top w:val="single" w:color="000000" w:sz="2" w:space="0"/>
                    <w:left w:val="single" w:color="000000" w:sz="2" w:space="0"/>
                    <w:bottom w:val="single" w:color="auto" w:sz="4" w:space="0"/>
                    <w:right w:val="single" w:color="000000" w:sz="2" w:space="0"/>
                  </w:tcBorders>
                  <w:noWrap w:val="0"/>
                  <w:vAlign w:val="center"/>
                </w:tcPr>
                <w:p w14:paraId="2A747E6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rPr>
                  </w:pPr>
                  <w:r>
                    <w:rPr>
                      <w:b/>
                      <w:color w:val="000000"/>
                      <w:sz w:val="21"/>
                      <w:szCs w:val="21"/>
                    </w:rPr>
                    <w:t>最高允许排放速率（kg/h）</w:t>
                  </w:r>
                </w:p>
              </w:tc>
              <w:tc>
                <w:tcPr>
                  <w:tcW w:w="1301" w:type="pct"/>
                  <w:vMerge w:val="restart"/>
                  <w:tcBorders>
                    <w:top w:val="single" w:color="000000" w:sz="2" w:space="0"/>
                    <w:left w:val="single" w:color="000000" w:sz="2" w:space="0"/>
                    <w:right w:val="single" w:color="000000" w:sz="2" w:space="0"/>
                  </w:tcBorders>
                  <w:noWrap w:val="0"/>
                  <w:vAlign w:val="center"/>
                </w:tcPr>
                <w:p w14:paraId="528E0D8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rPr>
                  </w:pPr>
                  <w:r>
                    <w:rPr>
                      <w:b/>
                      <w:color w:val="000000"/>
                      <w:sz w:val="21"/>
                      <w:szCs w:val="21"/>
                      <w:lang w:bidi="ar"/>
                    </w:rPr>
                    <w:t>标准</w:t>
                  </w:r>
                </w:p>
              </w:tc>
            </w:tr>
            <w:tr w14:paraId="18E41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80" w:type="pct"/>
                  <w:vMerge w:val="continue"/>
                  <w:tcBorders>
                    <w:left w:val="single" w:color="000000" w:sz="2" w:space="0"/>
                    <w:bottom w:val="single" w:color="000000" w:sz="2" w:space="0"/>
                    <w:right w:val="single" w:color="000000" w:sz="2" w:space="0"/>
                  </w:tcBorders>
                  <w:noWrap w:val="0"/>
                  <w:vAlign w:val="center"/>
                </w:tcPr>
                <w:p w14:paraId="490C752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lang w:bidi="ar"/>
                    </w:rPr>
                  </w:pPr>
                </w:p>
              </w:tc>
              <w:tc>
                <w:tcPr>
                  <w:tcW w:w="578" w:type="pct"/>
                  <w:vMerge w:val="continue"/>
                  <w:tcBorders>
                    <w:left w:val="single" w:color="000000" w:sz="2" w:space="0"/>
                    <w:bottom w:val="single" w:color="000000" w:sz="2" w:space="0"/>
                    <w:right w:val="single" w:color="000000" w:sz="2" w:space="0"/>
                  </w:tcBorders>
                  <w:noWrap w:val="0"/>
                  <w:vAlign w:val="center"/>
                </w:tcPr>
                <w:p w14:paraId="10B6F7C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lang w:bidi="ar"/>
                    </w:rPr>
                  </w:pPr>
                </w:p>
              </w:tc>
              <w:tc>
                <w:tcPr>
                  <w:tcW w:w="657" w:type="pct"/>
                  <w:vMerge w:val="continue"/>
                  <w:tcBorders>
                    <w:left w:val="single" w:color="000000" w:sz="2" w:space="0"/>
                    <w:bottom w:val="single" w:color="000000" w:sz="2" w:space="0"/>
                    <w:right w:val="single" w:color="000000" w:sz="2" w:space="0"/>
                  </w:tcBorders>
                  <w:noWrap w:val="0"/>
                  <w:vAlign w:val="center"/>
                </w:tcPr>
                <w:p w14:paraId="7575558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lang w:bidi="ar"/>
                    </w:rPr>
                  </w:pPr>
                </w:p>
              </w:tc>
              <w:tc>
                <w:tcPr>
                  <w:tcW w:w="683" w:type="pct"/>
                  <w:vMerge w:val="continue"/>
                  <w:tcBorders>
                    <w:left w:val="single" w:color="000000" w:sz="2" w:space="0"/>
                    <w:bottom w:val="single" w:color="auto" w:sz="4" w:space="0"/>
                    <w:right w:val="single" w:color="000000" w:sz="2" w:space="0"/>
                  </w:tcBorders>
                  <w:noWrap w:val="0"/>
                  <w:vAlign w:val="center"/>
                </w:tcPr>
                <w:p w14:paraId="613A346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lang w:bidi="ar"/>
                    </w:rPr>
                  </w:pPr>
                </w:p>
              </w:tc>
              <w:tc>
                <w:tcPr>
                  <w:tcW w:w="639" w:type="pct"/>
                  <w:tcBorders>
                    <w:top w:val="single" w:color="auto" w:sz="4" w:space="0"/>
                    <w:left w:val="single" w:color="000000" w:sz="2" w:space="0"/>
                    <w:bottom w:val="single" w:color="auto" w:sz="4" w:space="0"/>
                    <w:right w:val="single" w:color="000000" w:sz="2" w:space="0"/>
                  </w:tcBorders>
                  <w:noWrap w:val="0"/>
                  <w:vAlign w:val="center"/>
                </w:tcPr>
                <w:p w14:paraId="622A446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lang w:bidi="ar"/>
                    </w:rPr>
                  </w:pPr>
                  <w:r>
                    <w:rPr>
                      <w:b/>
                      <w:color w:val="000000"/>
                      <w:sz w:val="21"/>
                      <w:szCs w:val="21"/>
                      <w:lang w:bidi="ar"/>
                    </w:rPr>
                    <w:t>排气筒高度</w:t>
                  </w:r>
                </w:p>
                <w:p w14:paraId="1EB68E1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lang w:bidi="ar"/>
                    </w:rPr>
                  </w:pPr>
                  <w:r>
                    <w:rPr>
                      <w:b/>
                      <w:color w:val="000000"/>
                      <w:sz w:val="21"/>
                      <w:szCs w:val="21"/>
                      <w:lang w:bidi="ar"/>
                    </w:rPr>
                    <w:t>（m）</w:t>
                  </w:r>
                </w:p>
              </w:tc>
              <w:tc>
                <w:tcPr>
                  <w:tcW w:w="559" w:type="pct"/>
                  <w:tcBorders>
                    <w:top w:val="single" w:color="auto" w:sz="4" w:space="0"/>
                    <w:left w:val="single" w:color="000000" w:sz="2" w:space="0"/>
                    <w:bottom w:val="single" w:color="auto" w:sz="4" w:space="0"/>
                    <w:right w:val="single" w:color="000000" w:sz="2" w:space="0"/>
                  </w:tcBorders>
                  <w:noWrap w:val="0"/>
                  <w:vAlign w:val="center"/>
                </w:tcPr>
                <w:p w14:paraId="151DBBB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rPr>
                  </w:pPr>
                  <w:r>
                    <w:rPr>
                      <w:b/>
                      <w:color w:val="000000"/>
                      <w:sz w:val="21"/>
                      <w:szCs w:val="21"/>
                    </w:rPr>
                    <w:t>二级</w:t>
                  </w:r>
                </w:p>
              </w:tc>
              <w:tc>
                <w:tcPr>
                  <w:tcW w:w="1301" w:type="pct"/>
                  <w:vMerge w:val="continue"/>
                  <w:tcBorders>
                    <w:left w:val="single" w:color="000000" w:sz="2" w:space="0"/>
                    <w:bottom w:val="single" w:color="auto" w:sz="4" w:space="0"/>
                    <w:right w:val="single" w:color="000000" w:sz="2" w:space="0"/>
                  </w:tcBorders>
                  <w:noWrap w:val="0"/>
                  <w:vAlign w:val="center"/>
                </w:tcPr>
                <w:p w14:paraId="3396AC4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color w:val="000000"/>
                      <w:sz w:val="21"/>
                      <w:szCs w:val="21"/>
                      <w:lang w:bidi="ar"/>
                    </w:rPr>
                  </w:pPr>
                </w:p>
              </w:tc>
            </w:tr>
            <w:tr w14:paraId="1F100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80" w:type="pct"/>
                  <w:vMerge w:val="restart"/>
                  <w:tcBorders>
                    <w:top w:val="single" w:color="000000" w:sz="2" w:space="0"/>
                    <w:left w:val="single" w:color="000000" w:sz="2" w:space="0"/>
                    <w:right w:val="single" w:color="000000" w:sz="2" w:space="0"/>
                  </w:tcBorders>
                  <w:noWrap w:val="0"/>
                  <w:vAlign w:val="center"/>
                </w:tcPr>
                <w:p w14:paraId="106D4EF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r>
                    <w:rPr>
                      <w:rFonts w:hint="eastAsia"/>
                      <w:bCs/>
                      <w:color w:val="000000"/>
                      <w:sz w:val="21"/>
                      <w:szCs w:val="21"/>
                      <w:lang w:bidi="ar"/>
                    </w:rPr>
                    <w:t>导热油锅炉</w:t>
                  </w:r>
                </w:p>
              </w:tc>
              <w:tc>
                <w:tcPr>
                  <w:tcW w:w="578" w:type="pct"/>
                  <w:vMerge w:val="restart"/>
                  <w:tcBorders>
                    <w:top w:val="single" w:color="000000" w:sz="2" w:space="0"/>
                    <w:left w:val="single" w:color="000000" w:sz="2" w:space="0"/>
                    <w:right w:val="single" w:color="000000" w:sz="2" w:space="0"/>
                  </w:tcBorders>
                  <w:noWrap w:val="0"/>
                  <w:vAlign w:val="center"/>
                </w:tcPr>
                <w:p w14:paraId="6FB655D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r>
                    <w:rPr>
                      <w:rFonts w:hint="eastAsia"/>
                      <w:bCs/>
                      <w:color w:val="000000"/>
                      <w:sz w:val="21"/>
                      <w:szCs w:val="21"/>
                      <w:lang w:bidi="ar"/>
                    </w:rPr>
                    <w:t>DA002</w:t>
                  </w:r>
                </w:p>
              </w:tc>
              <w:tc>
                <w:tcPr>
                  <w:tcW w:w="657" w:type="pct"/>
                  <w:tcBorders>
                    <w:top w:val="single" w:color="000000" w:sz="2" w:space="0"/>
                    <w:left w:val="single" w:color="000000" w:sz="2" w:space="0"/>
                    <w:bottom w:val="single" w:color="000000" w:sz="2" w:space="0"/>
                    <w:right w:val="single" w:color="000000" w:sz="2" w:space="0"/>
                  </w:tcBorders>
                  <w:noWrap w:val="0"/>
                  <w:vAlign w:val="center"/>
                </w:tcPr>
                <w:p w14:paraId="571316C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r>
                    <w:rPr>
                      <w:rFonts w:hint="eastAsia"/>
                      <w:bCs/>
                      <w:color w:val="000000"/>
                      <w:sz w:val="21"/>
                      <w:szCs w:val="21"/>
                      <w:lang w:bidi="ar"/>
                    </w:rPr>
                    <w:t>NO</w:t>
                  </w:r>
                  <w:r>
                    <w:rPr>
                      <w:rFonts w:hint="eastAsia"/>
                      <w:bCs/>
                      <w:color w:val="000000"/>
                      <w:sz w:val="21"/>
                      <w:szCs w:val="21"/>
                      <w:vertAlign w:val="subscript"/>
                      <w:lang w:bidi="ar"/>
                    </w:rPr>
                    <w:t>X</w:t>
                  </w:r>
                </w:p>
              </w:tc>
              <w:tc>
                <w:tcPr>
                  <w:tcW w:w="683" w:type="pct"/>
                  <w:tcBorders>
                    <w:top w:val="single" w:color="000000" w:sz="2" w:space="0"/>
                    <w:left w:val="single" w:color="000000" w:sz="2" w:space="0"/>
                    <w:bottom w:val="single" w:color="000000" w:sz="2" w:space="0"/>
                    <w:right w:val="single" w:color="000000" w:sz="2" w:space="0"/>
                  </w:tcBorders>
                  <w:noWrap w:val="0"/>
                  <w:vAlign w:val="center"/>
                </w:tcPr>
                <w:p w14:paraId="34FDF0B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000000"/>
                      <w:sz w:val="21"/>
                      <w:szCs w:val="21"/>
                      <w:lang w:bidi="ar"/>
                    </w:rPr>
                  </w:pPr>
                  <w:r>
                    <w:rPr>
                      <w:rFonts w:hint="eastAsia"/>
                      <w:color w:val="000000"/>
                      <w:sz w:val="21"/>
                      <w:szCs w:val="21"/>
                      <w:lang w:bidi="ar"/>
                    </w:rPr>
                    <w:t>30</w:t>
                  </w:r>
                </w:p>
              </w:tc>
              <w:tc>
                <w:tcPr>
                  <w:tcW w:w="639" w:type="pct"/>
                  <w:vMerge w:val="restart"/>
                  <w:tcBorders>
                    <w:top w:val="single" w:color="000000" w:sz="2" w:space="0"/>
                    <w:left w:val="single" w:color="000000" w:sz="2" w:space="0"/>
                    <w:right w:val="single" w:color="000000" w:sz="2" w:space="0"/>
                  </w:tcBorders>
                  <w:noWrap w:val="0"/>
                  <w:vAlign w:val="center"/>
                </w:tcPr>
                <w:p w14:paraId="6863E51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15</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14:paraId="65D1431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000000"/>
                      <w:sz w:val="21"/>
                      <w:szCs w:val="21"/>
                    </w:rPr>
                  </w:pPr>
                  <w:r>
                    <w:rPr>
                      <w:rFonts w:hint="eastAsia"/>
                      <w:color w:val="000000"/>
                      <w:sz w:val="21"/>
                      <w:szCs w:val="21"/>
                    </w:rPr>
                    <w:t>/</w:t>
                  </w:r>
                </w:p>
              </w:tc>
              <w:tc>
                <w:tcPr>
                  <w:tcW w:w="1301" w:type="pct"/>
                  <w:vMerge w:val="restart"/>
                  <w:tcBorders>
                    <w:top w:val="single" w:color="auto" w:sz="4" w:space="0"/>
                    <w:left w:val="single" w:color="000000" w:sz="2" w:space="0"/>
                    <w:right w:val="single" w:color="000000" w:sz="2" w:space="0"/>
                  </w:tcBorders>
                  <w:noWrap w:val="0"/>
                  <w:vAlign w:val="center"/>
                </w:tcPr>
                <w:p w14:paraId="20B3A0E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000000"/>
                      <w:sz w:val="21"/>
                      <w:szCs w:val="21"/>
                      <w:lang w:bidi="ar"/>
                    </w:rPr>
                  </w:pPr>
                  <w:r>
                    <w:rPr>
                      <w:rFonts w:hint="eastAsia"/>
                      <w:color w:val="000000"/>
                      <w:sz w:val="21"/>
                      <w:szCs w:val="21"/>
                      <w:lang w:bidi="ar"/>
                    </w:rPr>
                    <w:t>《</w:t>
                  </w:r>
                  <w:r>
                    <w:rPr>
                      <w:color w:val="000000"/>
                      <w:sz w:val="21"/>
                      <w:szCs w:val="21"/>
                      <w:lang w:bidi="ar"/>
                    </w:rPr>
                    <w:t>锅炉大气污染物排放标准》（GB13</w:t>
                  </w:r>
                  <w:r>
                    <w:rPr>
                      <w:rFonts w:hint="eastAsia"/>
                      <w:color w:val="000000"/>
                      <w:sz w:val="21"/>
                      <w:szCs w:val="21"/>
                      <w:lang w:bidi="ar"/>
                    </w:rPr>
                    <w:t>2</w:t>
                  </w:r>
                  <w:r>
                    <w:rPr>
                      <w:color w:val="000000"/>
                      <w:sz w:val="21"/>
                      <w:szCs w:val="21"/>
                      <w:lang w:bidi="ar"/>
                    </w:rPr>
                    <w:t>71-2014）表 2 新建燃</w:t>
                  </w:r>
                  <w:r>
                    <w:rPr>
                      <w:rFonts w:hint="eastAsia"/>
                      <w:color w:val="000000"/>
                      <w:sz w:val="21"/>
                      <w:szCs w:val="21"/>
                      <w:lang w:bidi="ar"/>
                    </w:rPr>
                    <w:t>油</w:t>
                  </w:r>
                  <w:r>
                    <w:rPr>
                      <w:color w:val="000000"/>
                      <w:sz w:val="21"/>
                      <w:szCs w:val="21"/>
                      <w:lang w:bidi="ar"/>
                    </w:rPr>
                    <w:t>锅炉标准</w:t>
                  </w:r>
                </w:p>
              </w:tc>
            </w:tr>
            <w:tr w14:paraId="78C59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80" w:type="pct"/>
                  <w:vMerge w:val="continue"/>
                  <w:tcBorders>
                    <w:left w:val="single" w:color="000000" w:sz="2" w:space="0"/>
                    <w:right w:val="single" w:color="000000" w:sz="2" w:space="0"/>
                  </w:tcBorders>
                  <w:noWrap w:val="0"/>
                  <w:vAlign w:val="center"/>
                </w:tcPr>
                <w:p w14:paraId="0AA8A4B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p>
              </w:tc>
              <w:tc>
                <w:tcPr>
                  <w:tcW w:w="578" w:type="pct"/>
                  <w:vMerge w:val="continue"/>
                  <w:tcBorders>
                    <w:left w:val="single" w:color="000000" w:sz="2" w:space="0"/>
                    <w:right w:val="single" w:color="000000" w:sz="2" w:space="0"/>
                  </w:tcBorders>
                  <w:noWrap w:val="0"/>
                  <w:vAlign w:val="center"/>
                </w:tcPr>
                <w:p w14:paraId="18E4DE6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p>
              </w:tc>
              <w:tc>
                <w:tcPr>
                  <w:tcW w:w="657" w:type="pct"/>
                  <w:tcBorders>
                    <w:top w:val="single" w:color="000000" w:sz="2" w:space="0"/>
                    <w:left w:val="single" w:color="000000" w:sz="2" w:space="0"/>
                    <w:bottom w:val="single" w:color="000000" w:sz="2" w:space="0"/>
                    <w:right w:val="single" w:color="000000" w:sz="2" w:space="0"/>
                  </w:tcBorders>
                  <w:noWrap w:val="0"/>
                  <w:vAlign w:val="center"/>
                </w:tcPr>
                <w:p w14:paraId="4DA38C0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r>
                    <w:rPr>
                      <w:rFonts w:hint="eastAsia"/>
                      <w:bCs/>
                      <w:color w:val="000000"/>
                      <w:sz w:val="21"/>
                      <w:szCs w:val="21"/>
                      <w:lang w:bidi="ar"/>
                    </w:rPr>
                    <w:t>颗粒物</w:t>
                  </w:r>
                </w:p>
              </w:tc>
              <w:tc>
                <w:tcPr>
                  <w:tcW w:w="683" w:type="pct"/>
                  <w:tcBorders>
                    <w:top w:val="single" w:color="000000" w:sz="2" w:space="0"/>
                    <w:left w:val="single" w:color="000000" w:sz="2" w:space="0"/>
                    <w:bottom w:val="single" w:color="000000" w:sz="2" w:space="0"/>
                    <w:right w:val="single" w:color="000000" w:sz="2" w:space="0"/>
                  </w:tcBorders>
                  <w:noWrap w:val="0"/>
                  <w:vAlign w:val="center"/>
                </w:tcPr>
                <w:p w14:paraId="0E4C22D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000000"/>
                      <w:sz w:val="21"/>
                      <w:szCs w:val="21"/>
                      <w:lang w:bidi="ar"/>
                    </w:rPr>
                  </w:pPr>
                  <w:r>
                    <w:rPr>
                      <w:rFonts w:hint="eastAsia"/>
                      <w:color w:val="000000"/>
                      <w:sz w:val="21"/>
                      <w:szCs w:val="21"/>
                      <w:lang w:bidi="ar"/>
                    </w:rPr>
                    <w:t>200</w:t>
                  </w:r>
                </w:p>
              </w:tc>
              <w:tc>
                <w:tcPr>
                  <w:tcW w:w="639" w:type="pct"/>
                  <w:vMerge w:val="continue"/>
                  <w:tcBorders>
                    <w:left w:val="single" w:color="000000" w:sz="2" w:space="0"/>
                    <w:right w:val="single" w:color="000000" w:sz="2" w:space="0"/>
                  </w:tcBorders>
                  <w:noWrap w:val="0"/>
                  <w:vAlign w:val="center"/>
                </w:tcPr>
                <w:p w14:paraId="6886616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sz w:val="21"/>
                      <w:szCs w:val="21"/>
                    </w:rPr>
                  </w:pPr>
                </w:p>
              </w:tc>
              <w:tc>
                <w:tcPr>
                  <w:tcW w:w="559" w:type="pct"/>
                  <w:tcBorders>
                    <w:top w:val="single" w:color="000000" w:sz="2" w:space="0"/>
                    <w:left w:val="single" w:color="000000" w:sz="2" w:space="0"/>
                    <w:bottom w:val="single" w:color="000000" w:sz="2" w:space="0"/>
                    <w:right w:val="single" w:color="000000" w:sz="2" w:space="0"/>
                  </w:tcBorders>
                  <w:noWrap w:val="0"/>
                  <w:vAlign w:val="center"/>
                </w:tcPr>
                <w:p w14:paraId="2BEFDD7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color w:val="000000"/>
                      <w:sz w:val="21"/>
                      <w:szCs w:val="21"/>
                    </w:rPr>
                  </w:pPr>
                  <w:r>
                    <w:rPr>
                      <w:rFonts w:hint="eastAsia"/>
                      <w:color w:val="000000"/>
                      <w:sz w:val="21"/>
                      <w:szCs w:val="21"/>
                    </w:rPr>
                    <w:t>/</w:t>
                  </w:r>
                </w:p>
              </w:tc>
              <w:tc>
                <w:tcPr>
                  <w:tcW w:w="1301" w:type="pct"/>
                  <w:vMerge w:val="continue"/>
                  <w:tcBorders>
                    <w:left w:val="single" w:color="000000" w:sz="2" w:space="0"/>
                    <w:right w:val="single" w:color="000000" w:sz="2" w:space="0"/>
                  </w:tcBorders>
                  <w:noWrap w:val="0"/>
                  <w:vAlign w:val="center"/>
                </w:tcPr>
                <w:p w14:paraId="5DED183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000000"/>
                      <w:sz w:val="21"/>
                      <w:szCs w:val="21"/>
                      <w:lang w:bidi="ar"/>
                    </w:rPr>
                  </w:pPr>
                </w:p>
              </w:tc>
            </w:tr>
            <w:tr w14:paraId="510CD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80" w:type="pct"/>
                  <w:vMerge w:val="continue"/>
                  <w:tcBorders>
                    <w:left w:val="single" w:color="000000" w:sz="2" w:space="0"/>
                    <w:right w:val="single" w:color="000000" w:sz="2" w:space="0"/>
                  </w:tcBorders>
                  <w:noWrap w:val="0"/>
                  <w:vAlign w:val="center"/>
                </w:tcPr>
                <w:p w14:paraId="110D702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p>
              </w:tc>
              <w:tc>
                <w:tcPr>
                  <w:tcW w:w="578" w:type="pct"/>
                  <w:vMerge w:val="continue"/>
                  <w:tcBorders>
                    <w:left w:val="single" w:color="000000" w:sz="2" w:space="0"/>
                    <w:right w:val="single" w:color="000000" w:sz="2" w:space="0"/>
                  </w:tcBorders>
                  <w:noWrap w:val="0"/>
                  <w:vAlign w:val="center"/>
                </w:tcPr>
                <w:p w14:paraId="398EEDA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p>
              </w:tc>
              <w:tc>
                <w:tcPr>
                  <w:tcW w:w="657" w:type="pct"/>
                  <w:tcBorders>
                    <w:top w:val="single" w:color="000000" w:sz="2" w:space="0"/>
                    <w:left w:val="single" w:color="000000" w:sz="2" w:space="0"/>
                    <w:bottom w:val="single" w:color="000000" w:sz="2" w:space="0"/>
                    <w:right w:val="single" w:color="000000" w:sz="2" w:space="0"/>
                  </w:tcBorders>
                  <w:noWrap w:val="0"/>
                  <w:vAlign w:val="center"/>
                </w:tcPr>
                <w:p w14:paraId="34DBED1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Cs/>
                      <w:color w:val="000000"/>
                      <w:sz w:val="21"/>
                      <w:szCs w:val="21"/>
                      <w:lang w:bidi="ar"/>
                    </w:rPr>
                  </w:pPr>
                  <w:r>
                    <w:rPr>
                      <w:rFonts w:hint="eastAsia"/>
                      <w:bCs/>
                      <w:color w:val="000000"/>
                      <w:sz w:val="21"/>
                      <w:szCs w:val="21"/>
                      <w:lang w:bidi="ar"/>
                    </w:rPr>
                    <w:t>SO</w:t>
                  </w:r>
                  <w:r>
                    <w:rPr>
                      <w:rFonts w:hint="eastAsia"/>
                      <w:bCs/>
                      <w:color w:val="000000"/>
                      <w:sz w:val="21"/>
                      <w:szCs w:val="21"/>
                      <w:vertAlign w:val="subscript"/>
                      <w:lang w:bidi="ar"/>
                    </w:rPr>
                    <w:t>2</w:t>
                  </w:r>
                </w:p>
              </w:tc>
              <w:tc>
                <w:tcPr>
                  <w:tcW w:w="683" w:type="pct"/>
                  <w:tcBorders>
                    <w:top w:val="single" w:color="000000" w:sz="2" w:space="0"/>
                    <w:left w:val="single" w:color="000000" w:sz="2" w:space="0"/>
                    <w:bottom w:val="single" w:color="000000" w:sz="2" w:space="0"/>
                    <w:right w:val="single" w:color="000000" w:sz="2" w:space="0"/>
                  </w:tcBorders>
                  <w:noWrap w:val="0"/>
                  <w:vAlign w:val="center"/>
                </w:tcPr>
                <w:p w14:paraId="05A5904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000000"/>
                      <w:sz w:val="21"/>
                      <w:szCs w:val="21"/>
                      <w:lang w:bidi="ar"/>
                    </w:rPr>
                  </w:pPr>
                  <w:r>
                    <w:rPr>
                      <w:rFonts w:hint="eastAsia"/>
                      <w:color w:val="000000"/>
                      <w:sz w:val="21"/>
                      <w:szCs w:val="21"/>
                      <w:lang w:bidi="ar"/>
                    </w:rPr>
                    <w:t>250</w:t>
                  </w:r>
                </w:p>
              </w:tc>
              <w:tc>
                <w:tcPr>
                  <w:tcW w:w="639" w:type="pct"/>
                  <w:vMerge w:val="continue"/>
                  <w:tcBorders>
                    <w:left w:val="single" w:color="000000" w:sz="2" w:space="0"/>
                    <w:right w:val="single" w:color="000000" w:sz="2" w:space="0"/>
                  </w:tcBorders>
                  <w:noWrap w:val="0"/>
                  <w:vAlign w:val="center"/>
                </w:tcPr>
                <w:p w14:paraId="0E5A7D2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sz w:val="21"/>
                      <w:szCs w:val="21"/>
                    </w:rPr>
                  </w:pPr>
                </w:p>
              </w:tc>
              <w:tc>
                <w:tcPr>
                  <w:tcW w:w="559" w:type="pct"/>
                  <w:tcBorders>
                    <w:top w:val="single" w:color="000000" w:sz="2" w:space="0"/>
                    <w:left w:val="single" w:color="000000" w:sz="2" w:space="0"/>
                    <w:bottom w:val="single" w:color="000000" w:sz="2" w:space="0"/>
                    <w:right w:val="single" w:color="000000" w:sz="2" w:space="0"/>
                  </w:tcBorders>
                  <w:noWrap w:val="0"/>
                  <w:vAlign w:val="center"/>
                </w:tcPr>
                <w:p w14:paraId="29045B7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color w:val="000000"/>
                      <w:sz w:val="21"/>
                      <w:szCs w:val="21"/>
                    </w:rPr>
                  </w:pPr>
                  <w:r>
                    <w:rPr>
                      <w:rFonts w:hint="eastAsia"/>
                      <w:color w:val="000000"/>
                      <w:sz w:val="21"/>
                      <w:szCs w:val="21"/>
                    </w:rPr>
                    <w:t>/</w:t>
                  </w:r>
                </w:p>
              </w:tc>
              <w:tc>
                <w:tcPr>
                  <w:tcW w:w="1301" w:type="pct"/>
                  <w:vMerge w:val="continue"/>
                  <w:tcBorders>
                    <w:left w:val="single" w:color="000000" w:sz="2" w:space="0"/>
                    <w:right w:val="single" w:color="000000" w:sz="2" w:space="0"/>
                  </w:tcBorders>
                  <w:noWrap w:val="0"/>
                  <w:vAlign w:val="center"/>
                </w:tcPr>
                <w:p w14:paraId="7B2D4B2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000000"/>
                      <w:sz w:val="21"/>
                      <w:szCs w:val="21"/>
                      <w:lang w:bidi="ar"/>
                    </w:rPr>
                  </w:pPr>
                </w:p>
              </w:tc>
            </w:tr>
            <w:tr w14:paraId="719A4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80" w:type="pct"/>
                  <w:vMerge w:val="continue"/>
                  <w:tcBorders>
                    <w:left w:val="single" w:color="000000" w:sz="2" w:space="0"/>
                    <w:bottom w:val="single" w:color="000000" w:sz="2" w:space="0"/>
                    <w:right w:val="single" w:color="000000" w:sz="2" w:space="0"/>
                  </w:tcBorders>
                  <w:noWrap w:val="0"/>
                  <w:vAlign w:val="center"/>
                </w:tcPr>
                <w:p w14:paraId="780A230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p>
              </w:tc>
              <w:tc>
                <w:tcPr>
                  <w:tcW w:w="578" w:type="pct"/>
                  <w:vMerge w:val="continue"/>
                  <w:tcBorders>
                    <w:left w:val="single" w:color="000000" w:sz="2" w:space="0"/>
                    <w:bottom w:val="single" w:color="000000" w:sz="2" w:space="0"/>
                    <w:right w:val="single" w:color="000000" w:sz="2" w:space="0"/>
                  </w:tcBorders>
                  <w:noWrap w:val="0"/>
                  <w:vAlign w:val="center"/>
                </w:tcPr>
                <w:p w14:paraId="5BED418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p>
              </w:tc>
              <w:tc>
                <w:tcPr>
                  <w:tcW w:w="657" w:type="pct"/>
                  <w:tcBorders>
                    <w:top w:val="single" w:color="000000" w:sz="2" w:space="0"/>
                    <w:left w:val="single" w:color="000000" w:sz="2" w:space="0"/>
                    <w:bottom w:val="single" w:color="000000" w:sz="2" w:space="0"/>
                    <w:right w:val="single" w:color="000000" w:sz="2" w:space="0"/>
                  </w:tcBorders>
                  <w:noWrap w:val="0"/>
                  <w:vAlign w:val="center"/>
                </w:tcPr>
                <w:p w14:paraId="492CDE5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000000"/>
                      <w:sz w:val="21"/>
                      <w:szCs w:val="21"/>
                      <w:lang w:bidi="ar"/>
                    </w:rPr>
                  </w:pPr>
                  <w:r>
                    <w:rPr>
                      <w:rFonts w:hint="eastAsia"/>
                      <w:bCs/>
                      <w:color w:val="000000"/>
                      <w:sz w:val="21"/>
                      <w:szCs w:val="21"/>
                      <w:lang w:bidi="ar"/>
                    </w:rPr>
                    <w:t>烟气黑度</w:t>
                  </w:r>
                </w:p>
                <w:p w14:paraId="123CFCD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Cs/>
                      <w:color w:val="000000"/>
                      <w:sz w:val="21"/>
                      <w:szCs w:val="21"/>
                      <w:lang w:bidi="ar"/>
                    </w:rPr>
                  </w:pPr>
                  <w:r>
                    <w:rPr>
                      <w:rFonts w:hint="eastAsia"/>
                      <w:bCs/>
                      <w:color w:val="000000"/>
                      <w:sz w:val="21"/>
                      <w:szCs w:val="21"/>
                      <w:lang w:bidi="ar"/>
                    </w:rPr>
                    <w:t>（林格曼黑度）</w:t>
                  </w:r>
                </w:p>
              </w:tc>
              <w:tc>
                <w:tcPr>
                  <w:tcW w:w="683" w:type="pct"/>
                  <w:tcBorders>
                    <w:top w:val="single" w:color="000000" w:sz="2" w:space="0"/>
                    <w:left w:val="single" w:color="000000" w:sz="2" w:space="0"/>
                    <w:bottom w:val="single" w:color="000000" w:sz="2" w:space="0"/>
                    <w:right w:val="single" w:color="000000" w:sz="2" w:space="0"/>
                  </w:tcBorders>
                  <w:noWrap w:val="0"/>
                  <w:vAlign w:val="center"/>
                </w:tcPr>
                <w:p w14:paraId="7D7216D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sz w:val="21"/>
                      <w:szCs w:val="21"/>
                      <w:lang w:bidi="ar"/>
                    </w:rPr>
                  </w:pPr>
                  <w:r>
                    <w:rPr>
                      <w:rFonts w:hint="eastAsia"/>
                      <w:color w:val="000000"/>
                      <w:sz w:val="21"/>
                      <w:szCs w:val="21"/>
                      <w:lang w:bidi="ar"/>
                    </w:rPr>
                    <w:t>≤1</w:t>
                  </w:r>
                </w:p>
              </w:tc>
              <w:tc>
                <w:tcPr>
                  <w:tcW w:w="639" w:type="pct"/>
                  <w:vMerge w:val="continue"/>
                  <w:tcBorders>
                    <w:left w:val="single" w:color="000000" w:sz="2" w:space="0"/>
                    <w:bottom w:val="single" w:color="000000" w:sz="2" w:space="0"/>
                    <w:right w:val="single" w:color="000000" w:sz="2" w:space="0"/>
                  </w:tcBorders>
                  <w:noWrap w:val="0"/>
                  <w:vAlign w:val="center"/>
                </w:tcPr>
                <w:p w14:paraId="2AF1535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color w:val="000000"/>
                      <w:sz w:val="21"/>
                      <w:szCs w:val="21"/>
                    </w:rPr>
                  </w:pPr>
                </w:p>
              </w:tc>
              <w:tc>
                <w:tcPr>
                  <w:tcW w:w="559" w:type="pct"/>
                  <w:tcBorders>
                    <w:top w:val="single" w:color="000000" w:sz="2" w:space="0"/>
                    <w:left w:val="single" w:color="000000" w:sz="2" w:space="0"/>
                    <w:bottom w:val="single" w:color="000000" w:sz="2" w:space="0"/>
                    <w:right w:val="single" w:color="000000" w:sz="2" w:space="0"/>
                  </w:tcBorders>
                  <w:noWrap w:val="0"/>
                  <w:vAlign w:val="center"/>
                </w:tcPr>
                <w:p w14:paraId="4A6AC75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color w:val="000000"/>
                      <w:sz w:val="21"/>
                      <w:szCs w:val="21"/>
                    </w:rPr>
                  </w:pPr>
                  <w:r>
                    <w:rPr>
                      <w:rFonts w:hint="eastAsia"/>
                      <w:color w:val="000000"/>
                      <w:sz w:val="21"/>
                      <w:szCs w:val="21"/>
                    </w:rPr>
                    <w:t>/</w:t>
                  </w:r>
                </w:p>
              </w:tc>
              <w:tc>
                <w:tcPr>
                  <w:tcW w:w="1301" w:type="pct"/>
                  <w:vMerge w:val="continue"/>
                  <w:tcBorders>
                    <w:left w:val="single" w:color="000000" w:sz="2" w:space="0"/>
                    <w:bottom w:val="single" w:color="000000" w:sz="2" w:space="0"/>
                    <w:right w:val="single" w:color="000000" w:sz="2" w:space="0"/>
                  </w:tcBorders>
                  <w:noWrap w:val="0"/>
                  <w:vAlign w:val="center"/>
                </w:tcPr>
                <w:p w14:paraId="3010DDA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color w:val="000000"/>
                      <w:sz w:val="21"/>
                      <w:szCs w:val="21"/>
                      <w:lang w:bidi="ar"/>
                    </w:rPr>
                  </w:pPr>
                </w:p>
              </w:tc>
            </w:tr>
          </w:tbl>
          <w:p w14:paraId="258EFF4C">
            <w:pPr>
              <w:pStyle w:val="60"/>
              <w:keepNext w:val="0"/>
              <w:keepLines w:val="0"/>
              <w:pageBreakBefore w:val="0"/>
              <w:kinsoku/>
              <w:wordWrap/>
              <w:overflowPunct/>
              <w:topLinePunct w:val="0"/>
              <w:autoSpaceDE/>
              <w:autoSpaceDN/>
              <w:bidi w:val="0"/>
              <w:spacing w:before="0" w:beforeLines="0" w:after="0" w:afterLines="0"/>
              <w:ind w:firstLine="0" w:firstLineChars="0"/>
              <w:jc w:val="center"/>
              <w:textAlignment w:val="auto"/>
              <w:rPr>
                <w:rFonts w:hAnsi="Times New Roman"/>
                <w:b/>
                <w:color w:val="auto"/>
                <w:sz w:val="21"/>
                <w:szCs w:val="21"/>
              </w:rPr>
            </w:pPr>
          </w:p>
          <w:p w14:paraId="14712E76">
            <w:pPr>
              <w:keepNext w:val="0"/>
              <w:keepLines w:val="0"/>
              <w:pageBreakBefore w:val="0"/>
              <w:widowControl w:val="0"/>
              <w:kinsoku/>
              <w:wordWrap/>
              <w:overflowPunct/>
              <w:topLinePunct w:val="0"/>
              <w:autoSpaceDE/>
              <w:autoSpaceDN/>
              <w:bidi w:val="0"/>
              <w:adjustRightInd/>
              <w:snapToGrid/>
              <w:spacing w:line="360" w:lineRule="auto"/>
              <w:ind w:left="0" w:right="0" w:firstLine="476"/>
              <w:textAlignment w:val="auto"/>
              <w:rPr>
                <w:rFonts w:ascii="宋体" w:hAnsi="宋体" w:eastAsia="宋体" w:cs="宋体"/>
                <w:color w:val="auto"/>
                <w:sz w:val="24"/>
                <w:szCs w:val="24"/>
              </w:rPr>
            </w:pPr>
            <w:r>
              <w:rPr>
                <w:rFonts w:ascii="宋体" w:hAnsi="宋体" w:eastAsia="宋体" w:cs="宋体"/>
                <w:color w:val="auto"/>
                <w:spacing w:val="-5"/>
                <w:sz w:val="24"/>
                <w:szCs w:val="24"/>
              </w:rPr>
              <w:t>③</w:t>
            </w:r>
            <w:r>
              <w:rPr>
                <w:rFonts w:hint="eastAsia" w:ascii="宋体" w:hAnsi="宋体" w:eastAsia="宋体" w:cs="宋体"/>
                <w:color w:val="auto"/>
                <w:spacing w:val="-5"/>
                <w:sz w:val="24"/>
                <w:szCs w:val="24"/>
                <w:lang w:val="en-US" w:eastAsia="zh-CN"/>
              </w:rPr>
              <w:t>矿粉筒仓</w:t>
            </w:r>
            <w:r>
              <w:rPr>
                <w:rFonts w:ascii="宋体" w:hAnsi="宋体" w:eastAsia="宋体" w:cs="宋体"/>
                <w:color w:val="auto"/>
                <w:spacing w:val="-5"/>
                <w:sz w:val="24"/>
                <w:szCs w:val="24"/>
              </w:rPr>
              <w:t xml:space="preserve">排气筒中的颗粒物最高允许排放浓度执行 </w:t>
            </w:r>
            <w:r>
              <w:rPr>
                <w:rFonts w:ascii="Times New Roman" w:hAnsi="Times New Roman" w:eastAsia="Times New Roman" w:cs="Times New Roman"/>
                <w:color w:val="auto"/>
                <w:spacing w:val="-5"/>
                <w:sz w:val="24"/>
                <w:szCs w:val="24"/>
              </w:rPr>
              <w:t>G</w:t>
            </w:r>
            <w:r>
              <w:rPr>
                <w:rFonts w:ascii="Times New Roman" w:hAnsi="Times New Roman" w:eastAsia="Times New Roman" w:cs="Times New Roman"/>
                <w:color w:val="auto"/>
                <w:spacing w:val="-3"/>
                <w:sz w:val="24"/>
                <w:szCs w:val="24"/>
              </w:rPr>
              <w:t>B</w:t>
            </w:r>
            <w:r>
              <w:rPr>
                <w:rFonts w:ascii="Times New Roman" w:hAnsi="Times New Roman" w:eastAsia="Times New Roman" w:cs="Times New Roman"/>
                <w:color w:val="auto"/>
                <w:spacing w:val="-5"/>
                <w:sz w:val="24"/>
                <w:szCs w:val="24"/>
              </w:rPr>
              <w:t xml:space="preserve">4915-2013 </w:t>
            </w:r>
            <w:r>
              <w:rPr>
                <w:rFonts w:ascii="宋体" w:hAnsi="宋体" w:eastAsia="宋体" w:cs="宋体"/>
                <w:color w:val="auto"/>
                <w:spacing w:val="-5"/>
                <w:sz w:val="24"/>
                <w:szCs w:val="24"/>
              </w:rPr>
              <w:t>《水</w:t>
            </w:r>
            <w:r>
              <w:rPr>
                <w:rFonts w:ascii="宋体" w:hAnsi="宋体" w:eastAsia="宋体" w:cs="宋体"/>
                <w:color w:val="auto"/>
                <w:spacing w:val="-10"/>
                <w:sz w:val="24"/>
                <w:szCs w:val="24"/>
              </w:rPr>
              <w:t>泥工</w:t>
            </w:r>
            <w:r>
              <w:rPr>
                <w:rFonts w:ascii="宋体" w:hAnsi="宋体" w:eastAsia="宋体" w:cs="宋体"/>
                <w:color w:val="auto"/>
                <w:spacing w:val="-6"/>
                <w:sz w:val="24"/>
                <w:szCs w:val="24"/>
              </w:rPr>
              <w:t>业</w:t>
            </w:r>
            <w:r>
              <w:rPr>
                <w:rFonts w:ascii="宋体" w:hAnsi="宋体" w:eastAsia="宋体" w:cs="宋体"/>
                <w:color w:val="auto"/>
                <w:spacing w:val="-5"/>
                <w:sz w:val="24"/>
                <w:szCs w:val="24"/>
              </w:rPr>
              <w:t>大气污染物排放标准》表</w:t>
            </w:r>
            <w:r>
              <w:rPr>
                <w:rFonts w:ascii="Times New Roman" w:hAnsi="Times New Roman" w:eastAsia="Times New Roman" w:cs="Times New Roman"/>
                <w:color w:val="auto"/>
                <w:spacing w:val="-5"/>
                <w:sz w:val="24"/>
                <w:szCs w:val="24"/>
              </w:rPr>
              <w:t>1</w:t>
            </w:r>
            <w:r>
              <w:rPr>
                <w:rFonts w:ascii="宋体" w:hAnsi="宋体" w:eastAsia="宋体" w:cs="宋体"/>
                <w:color w:val="auto"/>
                <w:spacing w:val="-5"/>
                <w:sz w:val="24"/>
                <w:szCs w:val="24"/>
              </w:rPr>
              <w:t>中规定的限值：现有与新建企业水泥制品生产</w:t>
            </w:r>
            <w:r>
              <w:rPr>
                <w:rFonts w:ascii="宋体" w:hAnsi="宋体" w:eastAsia="宋体" w:cs="宋体"/>
                <w:color w:val="auto"/>
                <w:spacing w:val="-2"/>
                <w:sz w:val="24"/>
                <w:szCs w:val="24"/>
              </w:rPr>
              <w:t>中水泥仓及其它通风生产设备颗粒物最高允许排放浓度</w:t>
            </w:r>
            <w:r>
              <w:rPr>
                <w:rFonts w:ascii="Times New Roman" w:hAnsi="Times New Roman" w:eastAsia="Times New Roman" w:cs="Times New Roman"/>
                <w:color w:val="auto"/>
                <w:spacing w:val="-2"/>
                <w:sz w:val="24"/>
                <w:szCs w:val="24"/>
              </w:rPr>
              <w:t>≤20m</w:t>
            </w:r>
            <w:r>
              <w:rPr>
                <w:rFonts w:ascii="Times New Roman" w:hAnsi="Times New Roman" w:eastAsia="Times New Roman" w:cs="Times New Roman"/>
                <w:color w:val="auto"/>
                <w:sz w:val="24"/>
                <w:szCs w:val="24"/>
              </w:rPr>
              <w:t>g</w:t>
            </w:r>
            <w:r>
              <w:rPr>
                <w:rFonts w:ascii="Times New Roman" w:hAnsi="Times New Roman" w:eastAsia="Times New Roman" w:cs="Times New Roman"/>
                <w:color w:val="auto"/>
                <w:spacing w:val="-2"/>
                <w:sz w:val="24"/>
                <w:szCs w:val="24"/>
              </w:rPr>
              <w:t>/</w:t>
            </w:r>
            <w:r>
              <w:rPr>
                <w:rFonts w:ascii="Times New Roman" w:hAnsi="Times New Roman" w:eastAsia="Times New Roman" w:cs="Times New Roman"/>
                <w:color w:val="auto"/>
                <w:sz w:val="24"/>
                <w:szCs w:val="24"/>
              </w:rPr>
              <w:t>m</w:t>
            </w:r>
            <w:r>
              <w:rPr>
                <w:rFonts w:ascii="Times New Roman" w:hAnsi="Times New Roman" w:eastAsia="Times New Roman" w:cs="Times New Roman"/>
                <w:color w:val="auto"/>
                <w:spacing w:val="-2"/>
                <w:position w:val="10"/>
                <w:sz w:val="16"/>
                <w:szCs w:val="16"/>
              </w:rPr>
              <w:t>3</w:t>
            </w:r>
            <w:r>
              <w:rPr>
                <w:rFonts w:ascii="宋体" w:hAnsi="宋体" w:eastAsia="宋体" w:cs="宋体"/>
                <w:color w:val="auto"/>
                <w:spacing w:val="-2"/>
                <w:sz w:val="24"/>
                <w:szCs w:val="24"/>
              </w:rPr>
              <w:t>；排气筒不得低</w:t>
            </w:r>
            <w:r>
              <w:rPr>
                <w:rFonts w:ascii="宋体" w:hAnsi="宋体" w:eastAsia="宋体" w:cs="宋体"/>
                <w:color w:val="auto"/>
                <w:spacing w:val="-9"/>
                <w:sz w:val="24"/>
                <w:szCs w:val="24"/>
              </w:rPr>
              <w:t>于</w:t>
            </w:r>
            <w:r>
              <w:rPr>
                <w:rFonts w:ascii="Times New Roman" w:hAnsi="Times New Roman" w:eastAsia="Times New Roman" w:cs="Times New Roman"/>
                <w:color w:val="auto"/>
                <w:spacing w:val="-9"/>
                <w:sz w:val="24"/>
                <w:szCs w:val="24"/>
              </w:rPr>
              <w:t>15m</w:t>
            </w:r>
            <w:r>
              <w:rPr>
                <w:rFonts w:ascii="宋体" w:hAnsi="宋体" w:eastAsia="宋体" w:cs="宋体"/>
                <w:color w:val="auto"/>
                <w:spacing w:val="-9"/>
                <w:sz w:val="24"/>
                <w:szCs w:val="24"/>
              </w:rPr>
              <w:t>，还应高于本体建筑物</w:t>
            </w:r>
            <w:r>
              <w:rPr>
                <w:rFonts w:ascii="Times New Roman" w:hAnsi="Times New Roman" w:eastAsia="Times New Roman" w:cs="Times New Roman"/>
                <w:color w:val="auto"/>
                <w:spacing w:val="-9"/>
                <w:sz w:val="24"/>
                <w:szCs w:val="24"/>
              </w:rPr>
              <w:t>3</w:t>
            </w:r>
            <w:r>
              <w:rPr>
                <w:rFonts w:ascii="Times New Roman" w:hAnsi="Times New Roman" w:eastAsia="Times New Roman" w:cs="Times New Roman"/>
                <w:color w:val="auto"/>
                <w:spacing w:val="-5"/>
                <w:sz w:val="24"/>
                <w:szCs w:val="24"/>
              </w:rPr>
              <w:t>m</w:t>
            </w:r>
            <w:r>
              <w:rPr>
                <w:rFonts w:ascii="宋体" w:hAnsi="宋体" w:eastAsia="宋体" w:cs="宋体"/>
                <w:color w:val="auto"/>
                <w:spacing w:val="-9"/>
                <w:sz w:val="24"/>
                <w:szCs w:val="24"/>
              </w:rPr>
              <w:t>以上。标准见</w:t>
            </w:r>
            <w:r>
              <w:rPr>
                <w:rFonts w:hint="eastAsia" w:ascii="宋体" w:hAnsi="宋体" w:eastAsia="宋体" w:cs="宋体"/>
                <w:color w:val="auto"/>
                <w:spacing w:val="-9"/>
                <w:sz w:val="24"/>
                <w:szCs w:val="24"/>
                <w:lang w:val="en-US" w:eastAsia="zh-CN"/>
              </w:rPr>
              <w:t>下</w:t>
            </w:r>
            <w:r>
              <w:rPr>
                <w:rFonts w:ascii="宋体" w:hAnsi="宋体" w:eastAsia="宋体" w:cs="宋体"/>
                <w:color w:val="auto"/>
                <w:spacing w:val="-9"/>
                <w:sz w:val="24"/>
                <w:szCs w:val="24"/>
              </w:rPr>
              <w:t>表所示。</w:t>
            </w:r>
          </w:p>
          <w:p w14:paraId="5E176A27">
            <w:pPr>
              <w:spacing w:line="240" w:lineRule="auto"/>
              <w:ind w:firstLine="422" w:firstLineChars="20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表3-</w:t>
            </w:r>
            <w:r>
              <w:rPr>
                <w:rFonts w:hint="eastAsia" w:cs="Times New Roman"/>
                <w:b/>
                <w:bCs/>
                <w:color w:val="auto"/>
                <w:kern w:val="0"/>
                <w:sz w:val="21"/>
                <w:szCs w:val="21"/>
                <w:lang w:val="en-US" w:eastAsia="zh-CN"/>
              </w:rPr>
              <w:t>11</w:t>
            </w:r>
            <w:r>
              <w:rPr>
                <w:rFonts w:hint="default" w:ascii="Times New Roman" w:hAnsi="Times New Roman" w:eastAsia="宋体" w:cs="Times New Roman"/>
                <w:b/>
                <w:bCs/>
                <w:color w:val="auto"/>
                <w:kern w:val="0"/>
                <w:sz w:val="21"/>
                <w:szCs w:val="21"/>
              </w:rPr>
              <w:t xml:space="preserve">  水泥工业有组织大气污染物排放标准</w:t>
            </w:r>
          </w:p>
          <w:tbl>
            <w:tblPr>
              <w:tblStyle w:val="51"/>
              <w:tblW w:w="784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9"/>
              <w:gridCol w:w="4184"/>
              <w:gridCol w:w="1409"/>
              <w:gridCol w:w="1133"/>
            </w:tblGrid>
            <w:tr w14:paraId="722B8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3" w:type="pct"/>
                  <w:vMerge w:val="restart"/>
                  <w:tcBorders>
                    <w:right w:val="single" w:color="000000" w:sz="8" w:space="0"/>
                  </w:tcBorders>
                  <w:vAlign w:val="center"/>
                </w:tcPr>
                <w:p w14:paraId="2452FA89">
                  <w:pPr>
                    <w:keepNext w:val="0"/>
                    <w:keepLines w:val="0"/>
                    <w:pageBreakBefore w:val="0"/>
                    <w:widowControl w:val="0"/>
                    <w:kinsoku/>
                    <w:wordWrap/>
                    <w:overflowPunct/>
                    <w:topLinePunct w:val="0"/>
                    <w:autoSpaceDE/>
                    <w:autoSpaceDN/>
                    <w:bidi w:val="0"/>
                    <w:adjustRightInd/>
                    <w:snapToGrid/>
                    <w:spacing w:line="221" w:lineRule="auto"/>
                    <w:ind w:left="0" w:right="0" w:firstLine="0" w:firstLineChars="0"/>
                    <w:jc w:val="center"/>
                    <w:textAlignment w:val="auto"/>
                    <w:rPr>
                      <w:rFonts w:ascii="宋体" w:hAnsi="宋体" w:eastAsia="宋体" w:cs="宋体"/>
                      <w:color w:val="auto"/>
                      <w:spacing w:val="-1"/>
                      <w:sz w:val="21"/>
                      <w:szCs w:val="21"/>
                    </w:rPr>
                  </w:pPr>
                  <w:r>
                    <w:rPr>
                      <w:rFonts w:ascii="宋体" w:hAnsi="宋体" w:eastAsia="宋体" w:cs="宋体"/>
                      <w:color w:val="auto"/>
                      <w:spacing w:val="-2"/>
                      <w:sz w:val="21"/>
                      <w:szCs w:val="21"/>
                    </w:rPr>
                    <w:t>污染</w:t>
                  </w:r>
                  <w:r>
                    <w:rPr>
                      <w:rFonts w:ascii="宋体" w:hAnsi="宋体" w:eastAsia="宋体" w:cs="宋体"/>
                      <w:color w:val="auto"/>
                      <w:spacing w:val="-1"/>
                      <w:sz w:val="21"/>
                      <w:szCs w:val="21"/>
                    </w:rPr>
                    <w:t>源</w:t>
                  </w:r>
                </w:p>
              </w:tc>
              <w:tc>
                <w:tcPr>
                  <w:tcW w:w="4286" w:type="pct"/>
                  <w:gridSpan w:val="3"/>
                  <w:tcBorders>
                    <w:right w:val="single" w:color="000000" w:sz="8" w:space="0"/>
                  </w:tcBorders>
                  <w:vAlign w:val="center"/>
                </w:tcPr>
                <w:p w14:paraId="57279BF0">
                  <w:pPr>
                    <w:keepNext w:val="0"/>
                    <w:keepLines w:val="0"/>
                    <w:pageBreakBefore w:val="0"/>
                    <w:widowControl w:val="0"/>
                    <w:kinsoku/>
                    <w:wordWrap/>
                    <w:overflowPunct/>
                    <w:topLinePunct w:val="0"/>
                    <w:autoSpaceDE/>
                    <w:autoSpaceDN/>
                    <w:bidi w:val="0"/>
                    <w:adjustRightInd/>
                    <w:snapToGrid/>
                    <w:spacing w:line="221" w:lineRule="auto"/>
                    <w:ind w:left="0" w:right="0" w:firstLine="0" w:firstLineChars="0"/>
                    <w:jc w:val="center"/>
                    <w:textAlignment w:val="auto"/>
                    <w:rPr>
                      <w:rFonts w:ascii="宋体" w:hAnsi="宋体" w:eastAsia="宋体" w:cs="宋体"/>
                      <w:color w:val="auto"/>
                      <w:spacing w:val="-1"/>
                      <w:sz w:val="21"/>
                      <w:szCs w:val="21"/>
                    </w:rPr>
                  </w:pPr>
                  <w:r>
                    <w:rPr>
                      <w:rFonts w:ascii="宋体" w:hAnsi="宋体" w:eastAsia="宋体" w:cs="宋体"/>
                      <w:color w:val="auto"/>
                      <w:spacing w:val="-1"/>
                      <w:sz w:val="21"/>
                      <w:szCs w:val="21"/>
                    </w:rPr>
                    <w:t>有组织排放监</w:t>
                  </w:r>
                  <w:r>
                    <w:rPr>
                      <w:rFonts w:ascii="宋体" w:hAnsi="宋体" w:eastAsia="宋体" w:cs="宋体"/>
                      <w:color w:val="auto"/>
                      <w:sz w:val="21"/>
                      <w:szCs w:val="21"/>
                    </w:rPr>
                    <w:t>控浓度限值</w:t>
                  </w:r>
                </w:p>
              </w:tc>
            </w:tr>
            <w:tr w14:paraId="7AA8D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3" w:type="pct"/>
                  <w:vMerge w:val="continue"/>
                  <w:tcBorders>
                    <w:right w:val="single" w:color="000000" w:sz="8" w:space="0"/>
                  </w:tcBorders>
                  <w:vAlign w:val="center"/>
                </w:tcPr>
                <w:p w14:paraId="30442D00">
                  <w:pPr>
                    <w:keepNext w:val="0"/>
                    <w:keepLines w:val="0"/>
                    <w:pageBreakBefore w:val="0"/>
                    <w:widowControl w:val="0"/>
                    <w:kinsoku/>
                    <w:wordWrap/>
                    <w:overflowPunct/>
                    <w:topLinePunct w:val="0"/>
                    <w:autoSpaceDE/>
                    <w:autoSpaceDN/>
                    <w:bidi w:val="0"/>
                    <w:adjustRightInd/>
                    <w:snapToGrid/>
                    <w:spacing w:line="221" w:lineRule="auto"/>
                    <w:ind w:left="0" w:right="0" w:firstLine="0" w:firstLineChars="0"/>
                    <w:jc w:val="center"/>
                    <w:textAlignment w:val="auto"/>
                    <w:rPr>
                      <w:rFonts w:ascii="宋体" w:hAnsi="宋体" w:eastAsia="宋体" w:cs="宋体"/>
                      <w:color w:val="auto"/>
                      <w:spacing w:val="-1"/>
                      <w:sz w:val="21"/>
                      <w:szCs w:val="21"/>
                    </w:rPr>
                  </w:pPr>
                </w:p>
              </w:tc>
              <w:tc>
                <w:tcPr>
                  <w:tcW w:w="2666" w:type="pct"/>
                  <w:vAlign w:val="center"/>
                </w:tcPr>
                <w:p w14:paraId="091F5EBE">
                  <w:pPr>
                    <w:keepNext w:val="0"/>
                    <w:keepLines w:val="0"/>
                    <w:pageBreakBefore w:val="0"/>
                    <w:widowControl w:val="0"/>
                    <w:kinsoku/>
                    <w:wordWrap/>
                    <w:overflowPunct/>
                    <w:topLinePunct w:val="0"/>
                    <w:autoSpaceDE/>
                    <w:autoSpaceDN/>
                    <w:bidi w:val="0"/>
                    <w:adjustRightInd/>
                    <w:snapToGrid/>
                    <w:spacing w:line="221" w:lineRule="auto"/>
                    <w:ind w:left="0" w:right="0" w:firstLine="0" w:firstLineChars="0"/>
                    <w:jc w:val="center"/>
                    <w:textAlignment w:val="auto"/>
                    <w:rPr>
                      <w:rFonts w:hint="eastAsia" w:ascii="宋体" w:hAnsi="宋体" w:eastAsia="宋体" w:cs="宋体"/>
                      <w:color w:val="auto"/>
                      <w:sz w:val="21"/>
                      <w:szCs w:val="21"/>
                      <w:lang w:val="en-US" w:eastAsia="zh-CN"/>
                    </w:rPr>
                  </w:pPr>
                  <w:r>
                    <w:rPr>
                      <w:rFonts w:ascii="宋体" w:hAnsi="宋体" w:eastAsia="宋体" w:cs="宋体"/>
                      <w:color w:val="auto"/>
                      <w:spacing w:val="-1"/>
                      <w:sz w:val="21"/>
                      <w:szCs w:val="21"/>
                    </w:rPr>
                    <w:t>排气筒高度</w:t>
                  </w:r>
                  <w:r>
                    <w:rPr>
                      <w:rFonts w:hint="eastAsia" w:ascii="宋体" w:hAnsi="宋体" w:eastAsia="宋体" w:cs="宋体"/>
                      <w:color w:val="auto"/>
                      <w:spacing w:val="-1"/>
                      <w:sz w:val="21"/>
                      <w:szCs w:val="21"/>
                      <w:lang w:val="en-US" w:eastAsia="zh-CN"/>
                    </w:rPr>
                    <w:t>要求</w:t>
                  </w:r>
                </w:p>
              </w:tc>
              <w:tc>
                <w:tcPr>
                  <w:tcW w:w="898" w:type="pct"/>
                  <w:tcBorders>
                    <w:right w:val="single" w:color="000000" w:sz="8" w:space="0"/>
                  </w:tcBorders>
                  <w:vAlign w:val="center"/>
                </w:tcPr>
                <w:p w14:paraId="052E3A8A">
                  <w:pPr>
                    <w:keepNext w:val="0"/>
                    <w:keepLines w:val="0"/>
                    <w:pageBreakBefore w:val="0"/>
                    <w:widowControl w:val="0"/>
                    <w:kinsoku/>
                    <w:wordWrap/>
                    <w:overflowPunct/>
                    <w:topLinePunct w:val="0"/>
                    <w:autoSpaceDE/>
                    <w:autoSpaceDN/>
                    <w:bidi w:val="0"/>
                    <w:adjustRightInd/>
                    <w:snapToGrid/>
                    <w:spacing w:line="221" w:lineRule="auto"/>
                    <w:ind w:left="0" w:right="0" w:firstLine="0" w:firstLineChars="0"/>
                    <w:jc w:val="center"/>
                    <w:textAlignment w:val="auto"/>
                    <w:rPr>
                      <w:rFonts w:hint="default" w:ascii="宋体" w:hAnsi="宋体" w:eastAsia="宋体" w:cs="宋体"/>
                      <w:color w:val="auto"/>
                      <w:spacing w:val="-1"/>
                      <w:sz w:val="21"/>
                      <w:szCs w:val="21"/>
                      <w:lang w:val="en-US" w:eastAsia="zh-CN"/>
                    </w:rPr>
                  </w:pPr>
                  <w:r>
                    <w:rPr>
                      <w:rFonts w:hint="eastAsia" w:ascii="宋体" w:hAnsi="宋体" w:eastAsia="宋体" w:cs="宋体"/>
                      <w:color w:val="auto"/>
                      <w:spacing w:val="-1"/>
                      <w:sz w:val="21"/>
                      <w:szCs w:val="21"/>
                      <w:lang w:val="en-US" w:eastAsia="zh-CN"/>
                    </w:rPr>
                    <w:t>该项目高度</w:t>
                  </w:r>
                </w:p>
              </w:tc>
              <w:tc>
                <w:tcPr>
                  <w:tcW w:w="722" w:type="pct"/>
                  <w:tcBorders>
                    <w:right w:val="single" w:color="000000" w:sz="8" w:space="0"/>
                  </w:tcBorders>
                  <w:vAlign w:val="center"/>
                </w:tcPr>
                <w:p w14:paraId="42FBA344">
                  <w:pPr>
                    <w:keepNext w:val="0"/>
                    <w:keepLines w:val="0"/>
                    <w:pageBreakBefore w:val="0"/>
                    <w:widowControl w:val="0"/>
                    <w:kinsoku/>
                    <w:wordWrap/>
                    <w:overflowPunct/>
                    <w:topLinePunct w:val="0"/>
                    <w:autoSpaceDE/>
                    <w:autoSpaceDN/>
                    <w:bidi w:val="0"/>
                    <w:adjustRightInd/>
                    <w:snapToGrid/>
                    <w:spacing w:line="221" w:lineRule="auto"/>
                    <w:ind w:left="0" w:right="0" w:firstLine="0" w:firstLineChars="0"/>
                    <w:jc w:val="center"/>
                    <w:textAlignment w:val="auto"/>
                    <w:rPr>
                      <w:rFonts w:ascii="宋体" w:hAnsi="宋体" w:eastAsia="宋体" w:cs="宋体"/>
                      <w:color w:val="auto"/>
                      <w:sz w:val="21"/>
                      <w:szCs w:val="21"/>
                    </w:rPr>
                  </w:pPr>
                  <w:r>
                    <w:rPr>
                      <w:rFonts w:ascii="宋体" w:hAnsi="宋体" w:eastAsia="宋体" w:cs="宋体"/>
                      <w:color w:val="auto"/>
                      <w:spacing w:val="-2"/>
                      <w:sz w:val="21"/>
                      <w:szCs w:val="21"/>
                    </w:rPr>
                    <w:t>浓度</w:t>
                  </w:r>
                  <w:r>
                    <w:rPr>
                      <w:rFonts w:ascii="宋体" w:hAnsi="宋体" w:eastAsia="宋体" w:cs="宋体"/>
                      <w:color w:val="auto"/>
                      <w:spacing w:val="-1"/>
                      <w:sz w:val="21"/>
                      <w:szCs w:val="21"/>
                    </w:rPr>
                    <w:t>限值</w:t>
                  </w:r>
                </w:p>
              </w:tc>
            </w:tr>
            <w:tr w14:paraId="31B15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13" w:type="pct"/>
                  <w:vAlign w:val="center"/>
                </w:tcPr>
                <w:p w14:paraId="7FCBB1FF">
                  <w:pPr>
                    <w:keepNext w:val="0"/>
                    <w:keepLines w:val="0"/>
                    <w:pageBreakBefore w:val="0"/>
                    <w:widowControl w:val="0"/>
                    <w:kinsoku/>
                    <w:wordWrap/>
                    <w:overflowPunct/>
                    <w:topLinePunct w:val="0"/>
                    <w:autoSpaceDE/>
                    <w:autoSpaceDN/>
                    <w:bidi w:val="0"/>
                    <w:adjustRightInd/>
                    <w:snapToGrid/>
                    <w:spacing w:line="227" w:lineRule="auto"/>
                    <w:ind w:left="0" w:right="0" w:firstLine="0" w:firstLineChars="0"/>
                    <w:jc w:val="center"/>
                    <w:textAlignment w:val="auto"/>
                    <w:rPr>
                      <w:rFonts w:ascii="宋体" w:hAnsi="宋体" w:eastAsia="宋体" w:cs="宋体"/>
                      <w:color w:val="auto"/>
                      <w:spacing w:val="-10"/>
                      <w:sz w:val="21"/>
                      <w:szCs w:val="21"/>
                    </w:rPr>
                  </w:pPr>
                  <w:r>
                    <w:rPr>
                      <w:rFonts w:ascii="宋体" w:hAnsi="宋体" w:eastAsia="宋体" w:cs="宋体"/>
                      <w:color w:val="auto"/>
                      <w:spacing w:val="-1"/>
                      <w:sz w:val="21"/>
                      <w:szCs w:val="21"/>
                    </w:rPr>
                    <w:t>颗粒物</w:t>
                  </w:r>
                </w:p>
              </w:tc>
              <w:tc>
                <w:tcPr>
                  <w:tcW w:w="2666" w:type="pct"/>
                  <w:vAlign w:val="center"/>
                </w:tcPr>
                <w:p w14:paraId="60891E95">
                  <w:pPr>
                    <w:keepNext w:val="0"/>
                    <w:keepLines w:val="0"/>
                    <w:pageBreakBefore w:val="0"/>
                    <w:widowControl w:val="0"/>
                    <w:kinsoku/>
                    <w:wordWrap/>
                    <w:overflowPunct/>
                    <w:topLinePunct w:val="0"/>
                    <w:autoSpaceDE/>
                    <w:autoSpaceDN/>
                    <w:bidi w:val="0"/>
                    <w:adjustRightInd/>
                    <w:snapToGrid/>
                    <w:spacing w:line="221" w:lineRule="auto"/>
                    <w:ind w:left="0" w:right="0" w:firstLine="0" w:firstLineChars="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不低于15</w:t>
                  </w:r>
                  <w:r>
                    <w:rPr>
                      <w:rFonts w:hint="default" w:ascii="Times New Roman" w:hAnsi="Times New Roman" w:eastAsia="宋体" w:cs="Times New Roman"/>
                      <w:color w:val="auto"/>
                      <w:spacing w:val="-1"/>
                      <w:sz w:val="21"/>
                      <w:szCs w:val="21"/>
                      <w:lang w:val="en-US" w:eastAsia="zh-CN"/>
                    </w:rPr>
                    <w:t>m</w:t>
                  </w:r>
                  <w:r>
                    <w:rPr>
                      <w:rFonts w:hint="default" w:ascii="Times New Roman" w:hAnsi="Times New Roman" w:eastAsia="宋体" w:cs="Times New Roman"/>
                      <w:color w:val="auto"/>
                      <w:spacing w:val="-1"/>
                      <w:sz w:val="21"/>
                      <w:szCs w:val="21"/>
                    </w:rPr>
                    <w:t>， 还应高于本体建筑物3m以上</w:t>
                  </w:r>
                </w:p>
              </w:tc>
              <w:tc>
                <w:tcPr>
                  <w:tcW w:w="898" w:type="pct"/>
                  <w:tcBorders>
                    <w:right w:val="single" w:color="000000" w:sz="8" w:space="0"/>
                  </w:tcBorders>
                  <w:vAlign w:val="center"/>
                </w:tcPr>
                <w:p w14:paraId="7404B51E">
                  <w:pPr>
                    <w:keepNext w:val="0"/>
                    <w:keepLines w:val="0"/>
                    <w:pageBreakBefore w:val="0"/>
                    <w:widowControl w:val="0"/>
                    <w:kinsoku/>
                    <w:wordWrap/>
                    <w:overflowPunct/>
                    <w:topLinePunct w:val="0"/>
                    <w:autoSpaceDE/>
                    <w:autoSpaceDN/>
                    <w:bidi w:val="0"/>
                    <w:adjustRightInd/>
                    <w:snapToGrid/>
                    <w:spacing w:line="221" w:lineRule="auto"/>
                    <w:ind w:left="0" w:right="0" w:firstLine="0" w:firstLineChars="0"/>
                    <w:jc w:val="center"/>
                    <w:textAlignment w:val="auto"/>
                    <w:rPr>
                      <w:rFonts w:hint="default" w:ascii="Times New Roman" w:hAnsi="Times New Roman" w:eastAsia="宋体" w:cs="Times New Roman"/>
                      <w:color w:val="auto"/>
                      <w:spacing w:val="-1"/>
                      <w:sz w:val="21"/>
                      <w:szCs w:val="21"/>
                      <w:lang w:val="en-US" w:eastAsia="zh-CN"/>
                    </w:rPr>
                  </w:pPr>
                  <w:r>
                    <w:rPr>
                      <w:rFonts w:hint="eastAsia" w:cs="Times New Roman"/>
                      <w:color w:val="auto"/>
                      <w:spacing w:val="-1"/>
                      <w:sz w:val="21"/>
                      <w:szCs w:val="21"/>
                      <w:lang w:val="en-US" w:eastAsia="zh-CN"/>
                    </w:rPr>
                    <w:t>30</w:t>
                  </w:r>
                  <w:r>
                    <w:rPr>
                      <w:rFonts w:hint="default" w:ascii="Times New Roman" w:hAnsi="Times New Roman" w:eastAsia="宋体" w:cs="Times New Roman"/>
                      <w:color w:val="auto"/>
                      <w:spacing w:val="-1"/>
                      <w:sz w:val="21"/>
                      <w:szCs w:val="21"/>
                    </w:rPr>
                    <w:t>m</w:t>
                  </w:r>
                </w:p>
              </w:tc>
              <w:tc>
                <w:tcPr>
                  <w:tcW w:w="722" w:type="pct"/>
                  <w:tcBorders>
                    <w:right w:val="single" w:color="000000" w:sz="8" w:space="0"/>
                  </w:tcBorders>
                  <w:vAlign w:val="center"/>
                </w:tcPr>
                <w:p w14:paraId="68138CE1">
                  <w:pPr>
                    <w:keepNext w:val="0"/>
                    <w:keepLines w:val="0"/>
                    <w:pageBreakBefore w:val="0"/>
                    <w:widowControl w:val="0"/>
                    <w:kinsoku/>
                    <w:wordWrap/>
                    <w:overflowPunct/>
                    <w:topLinePunct w:val="0"/>
                    <w:autoSpaceDE/>
                    <w:autoSpaceDN/>
                    <w:bidi w:val="0"/>
                    <w:adjustRightInd/>
                    <w:snapToGrid/>
                    <w:spacing w:line="224" w:lineRule="auto"/>
                    <w:ind w:left="0" w:right="0" w:firstLine="0" w:firstLineChars="0"/>
                    <w:jc w:val="center"/>
                    <w:textAlignment w:val="auto"/>
                    <w:rPr>
                      <w:rFonts w:ascii="Times New Roman" w:hAnsi="Times New Roman" w:eastAsia="Times New Roman" w:cs="Times New Roman"/>
                      <w:color w:val="auto"/>
                      <w:sz w:val="13"/>
                      <w:szCs w:val="13"/>
                    </w:rPr>
                  </w:pPr>
                  <w:r>
                    <w:rPr>
                      <w:rFonts w:ascii="Times New Roman" w:hAnsi="Times New Roman" w:eastAsia="Times New Roman" w:cs="Times New Roman"/>
                      <w:color w:val="auto"/>
                      <w:spacing w:val="-1"/>
                      <w:sz w:val="21"/>
                      <w:szCs w:val="21"/>
                    </w:rPr>
                    <w:t>20</w:t>
                  </w:r>
                  <w:r>
                    <w:rPr>
                      <w:rFonts w:ascii="Times New Roman" w:hAnsi="Times New Roman" w:eastAsia="Times New Roman" w:cs="Times New Roman"/>
                      <w:color w:val="auto"/>
                      <w:sz w:val="21"/>
                      <w:szCs w:val="21"/>
                    </w:rPr>
                    <w:t>mg/m</w:t>
                  </w:r>
                  <w:r>
                    <w:rPr>
                      <w:rFonts w:ascii="Times New Roman" w:hAnsi="Times New Roman" w:eastAsia="Times New Roman" w:cs="Times New Roman"/>
                      <w:color w:val="auto"/>
                      <w:position w:val="9"/>
                      <w:sz w:val="13"/>
                      <w:szCs w:val="13"/>
                    </w:rPr>
                    <w:t>3</w:t>
                  </w:r>
                </w:p>
              </w:tc>
            </w:tr>
          </w:tbl>
          <w:p w14:paraId="42EAE276">
            <w:pPr>
              <w:keepNext w:val="0"/>
              <w:keepLines w:val="0"/>
              <w:pageBreakBefore w:val="0"/>
              <w:widowControl w:val="0"/>
              <w:kinsoku/>
              <w:wordWrap/>
              <w:overflowPunct/>
              <w:topLinePunct w:val="0"/>
              <w:autoSpaceDE/>
              <w:autoSpaceDN/>
              <w:bidi w:val="0"/>
              <w:adjustRightInd/>
              <w:snapToGrid/>
              <w:spacing w:line="360" w:lineRule="auto"/>
              <w:ind w:left="0" w:right="0" w:firstLine="476"/>
              <w:textAlignment w:val="auto"/>
              <w:rPr>
                <w:rFonts w:hint="default"/>
                <w:color w:val="auto"/>
                <w:sz w:val="24"/>
                <w:lang w:val="en-US" w:eastAsia="zh-CN"/>
              </w:rPr>
            </w:pPr>
            <w:r>
              <w:rPr>
                <w:rFonts w:hint="eastAsia"/>
                <w:color w:val="auto"/>
                <w:sz w:val="24"/>
                <w:lang w:val="en-US" w:eastAsia="zh-CN"/>
              </w:rPr>
              <w:t>④</w:t>
            </w:r>
            <w:r>
              <w:rPr>
                <w:rFonts w:hint="eastAsia" w:ascii="Times New Roman" w:hAnsi="Times New Roman"/>
                <w:color w:val="auto"/>
                <w:sz w:val="24"/>
                <w:lang w:val="en-US" w:eastAsia="zh-CN"/>
              </w:rPr>
              <w:t>上料粉尘排气筒污染物</w:t>
            </w:r>
            <w:r>
              <w:rPr>
                <w:rFonts w:hint="eastAsia" w:ascii="Times New Roman" w:hAnsi="Times New Roman"/>
                <w:color w:val="auto"/>
                <w:sz w:val="24"/>
              </w:rPr>
              <w:t>参照</w:t>
            </w:r>
            <w:r>
              <w:rPr>
                <w:rFonts w:ascii="Times New Roman" w:hAnsi="Times New Roman"/>
                <w:color w:val="auto"/>
                <w:sz w:val="24"/>
              </w:rPr>
              <w:t>《大气污染物综合排放标准》（GB16297-1996）表2中二级标准</w:t>
            </w:r>
            <w:r>
              <w:rPr>
                <w:rFonts w:hint="eastAsia" w:ascii="Times New Roman" w:hAnsi="Times New Roman"/>
                <w:color w:val="auto"/>
                <w:sz w:val="24"/>
              </w:rPr>
              <w:t>执行</w:t>
            </w:r>
            <w:r>
              <w:rPr>
                <w:rFonts w:ascii="Times New Roman" w:hAnsi="Times New Roman"/>
                <w:color w:val="auto"/>
                <w:sz w:val="24"/>
              </w:rPr>
              <w:t>。</w:t>
            </w:r>
          </w:p>
          <w:p w14:paraId="12E2749A">
            <w:pPr>
              <w:pStyle w:val="60"/>
              <w:keepNext w:val="0"/>
              <w:keepLines w:val="0"/>
              <w:pageBreakBefore w:val="0"/>
              <w:kinsoku/>
              <w:wordWrap/>
              <w:overflowPunct/>
              <w:topLinePunct w:val="0"/>
              <w:autoSpaceDE/>
              <w:autoSpaceDN/>
              <w:bidi w:val="0"/>
              <w:spacing w:before="0" w:beforeLines="0" w:after="0" w:afterLines="0"/>
              <w:ind w:firstLine="0" w:firstLineChars="0"/>
              <w:jc w:val="center"/>
              <w:textAlignment w:val="auto"/>
              <w:rPr>
                <w:rFonts w:hAnsi="Times New Roman"/>
                <w:b/>
                <w:color w:val="auto"/>
                <w:sz w:val="21"/>
                <w:szCs w:val="21"/>
              </w:rPr>
            </w:pPr>
            <w:r>
              <w:rPr>
                <w:rFonts w:hAnsi="Times New Roman"/>
                <w:b/>
                <w:color w:val="auto"/>
                <w:sz w:val="21"/>
                <w:szCs w:val="21"/>
              </w:rPr>
              <w:t>表</w:t>
            </w:r>
            <w:r>
              <w:rPr>
                <w:rFonts w:hint="eastAsia"/>
                <w:b/>
                <w:color w:val="auto"/>
                <w:sz w:val="21"/>
                <w:szCs w:val="21"/>
                <w:lang w:val="en-US" w:eastAsia="zh-CN"/>
              </w:rPr>
              <w:t>3-12</w:t>
            </w:r>
            <w:r>
              <w:rPr>
                <w:rFonts w:hAnsi="Times New Roman"/>
                <w:b/>
                <w:color w:val="auto"/>
                <w:sz w:val="21"/>
                <w:szCs w:val="21"/>
              </w:rPr>
              <w:t xml:space="preserve"> 大气污染物综合排放标准</w:t>
            </w:r>
          </w:p>
          <w:tbl>
            <w:tblPr>
              <w:tblStyle w:val="51"/>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2907"/>
              <w:gridCol w:w="1856"/>
              <w:gridCol w:w="2239"/>
            </w:tblGrid>
            <w:tr w14:paraId="6C678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545" w:type="pct"/>
                  <w:vMerge w:val="restart"/>
                  <w:vAlign w:val="center"/>
                </w:tcPr>
                <w:p w14:paraId="00E155E4">
                  <w:pPr>
                    <w:keepNext w:val="0"/>
                    <w:keepLines w:val="0"/>
                    <w:pageBreakBefore w:val="0"/>
                    <w:widowControl w:val="0"/>
                    <w:kinsoku/>
                    <w:wordWrap/>
                    <w:overflowPunct/>
                    <w:topLinePunct w:val="0"/>
                    <w:autoSpaceDE/>
                    <w:autoSpaceDN/>
                    <w:bidi w:val="0"/>
                    <w:adjustRightInd/>
                    <w:snapToGrid/>
                    <w:spacing w:before="96" w:line="240" w:lineRule="auto"/>
                    <w:ind w:left="0" w:right="0" w:firstLine="0" w:firstLineChars="0"/>
                    <w:jc w:val="center"/>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pacing w:val="20"/>
                      <w:sz w:val="21"/>
                      <w:szCs w:val="21"/>
                    </w:rPr>
                    <w:t>污染物</w:t>
                  </w:r>
                </w:p>
              </w:tc>
              <w:tc>
                <w:tcPr>
                  <w:tcW w:w="1849" w:type="pct"/>
                  <w:vMerge w:val="restart"/>
                  <w:tcBorders>
                    <w:bottom w:val="nil"/>
                  </w:tcBorders>
                  <w:vAlign w:val="center"/>
                </w:tcPr>
                <w:p w14:paraId="1AAE9F75">
                  <w:pPr>
                    <w:keepNext w:val="0"/>
                    <w:keepLines w:val="0"/>
                    <w:pageBreakBefore w:val="0"/>
                    <w:widowControl w:val="0"/>
                    <w:kinsoku/>
                    <w:wordWrap/>
                    <w:overflowPunct/>
                    <w:topLinePunct w:val="0"/>
                    <w:autoSpaceDE/>
                    <w:autoSpaceDN/>
                    <w:bidi w:val="0"/>
                    <w:adjustRightInd/>
                    <w:snapToGrid/>
                    <w:spacing w:before="96" w:line="240" w:lineRule="auto"/>
                    <w:ind w:left="0" w:right="0" w:firstLine="0" w:firstLineChars="0"/>
                    <w:jc w:val="center"/>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pacing w:val="20"/>
                      <w:sz w:val="21"/>
                      <w:szCs w:val="21"/>
                    </w:rPr>
                    <w:t>最高允许排放浓度(mg/m</w:t>
                  </w:r>
                  <w:r>
                    <w:rPr>
                      <w:rFonts w:hint="eastAsia" w:ascii="Times New Roman" w:hAnsi="Times New Roman" w:eastAsia="宋体" w:cs="Times New Roman"/>
                      <w:color w:val="auto"/>
                      <w:spacing w:val="20"/>
                      <w:sz w:val="21"/>
                      <w:szCs w:val="21"/>
                      <w:vertAlign w:val="superscript"/>
                      <w:lang w:val="en-US" w:eastAsia="zh-CN"/>
                    </w:rPr>
                    <w:t>3</w:t>
                  </w:r>
                  <w:r>
                    <w:rPr>
                      <w:rFonts w:hint="default" w:ascii="Times New Roman" w:hAnsi="Times New Roman" w:eastAsia="宋体" w:cs="Times New Roman"/>
                      <w:color w:val="auto"/>
                      <w:spacing w:val="20"/>
                      <w:sz w:val="21"/>
                      <w:szCs w:val="21"/>
                    </w:rPr>
                    <w:t xml:space="preserve"> )</w:t>
                  </w:r>
                </w:p>
              </w:tc>
              <w:tc>
                <w:tcPr>
                  <w:tcW w:w="2605" w:type="pct"/>
                  <w:gridSpan w:val="2"/>
                  <w:vAlign w:val="center"/>
                </w:tcPr>
                <w:p w14:paraId="0299B504">
                  <w:pPr>
                    <w:keepNext w:val="0"/>
                    <w:keepLines w:val="0"/>
                    <w:pageBreakBefore w:val="0"/>
                    <w:widowControl w:val="0"/>
                    <w:kinsoku/>
                    <w:wordWrap/>
                    <w:overflowPunct/>
                    <w:topLinePunct w:val="0"/>
                    <w:autoSpaceDE/>
                    <w:autoSpaceDN/>
                    <w:bidi w:val="0"/>
                    <w:adjustRightInd/>
                    <w:snapToGrid/>
                    <w:spacing w:before="96" w:line="240" w:lineRule="auto"/>
                    <w:ind w:left="0" w:right="0" w:firstLine="0" w:firstLineChars="0"/>
                    <w:jc w:val="center"/>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pacing w:val="20"/>
                      <w:sz w:val="21"/>
                      <w:szCs w:val="21"/>
                    </w:rPr>
                    <w:t>最高允许排放速率(kg/h)</w:t>
                  </w:r>
                </w:p>
              </w:tc>
            </w:tr>
            <w:tr w14:paraId="34914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5" w:type="pct"/>
                  <w:vMerge w:val="continue"/>
                  <w:vAlign w:val="center"/>
                </w:tcPr>
                <w:p w14:paraId="2AC417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849" w:type="pct"/>
                  <w:vMerge w:val="continue"/>
                  <w:tcBorders>
                    <w:top w:val="nil"/>
                  </w:tcBorders>
                  <w:vAlign w:val="center"/>
                </w:tcPr>
                <w:p w14:paraId="76B5F8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80" w:type="pct"/>
                  <w:vAlign w:val="center"/>
                </w:tcPr>
                <w:p w14:paraId="0651113A">
                  <w:pPr>
                    <w:keepNext w:val="0"/>
                    <w:keepLines w:val="0"/>
                    <w:pageBreakBefore w:val="0"/>
                    <w:widowControl w:val="0"/>
                    <w:kinsoku/>
                    <w:wordWrap/>
                    <w:overflowPunct/>
                    <w:topLinePunct w:val="0"/>
                    <w:autoSpaceDE/>
                    <w:autoSpaceDN/>
                    <w:bidi w:val="0"/>
                    <w:adjustRightInd/>
                    <w:snapToGrid/>
                    <w:spacing w:before="96"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0"/>
                      <w:sz w:val="21"/>
                      <w:szCs w:val="21"/>
                    </w:rPr>
                    <w:t>排气筒(</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pacing w:val="20"/>
                      <w:sz w:val="21"/>
                      <w:szCs w:val="21"/>
                    </w:rPr>
                    <w:t>)</w:t>
                  </w:r>
                </w:p>
              </w:tc>
              <w:tc>
                <w:tcPr>
                  <w:tcW w:w="1424" w:type="pct"/>
                  <w:vAlign w:val="center"/>
                </w:tcPr>
                <w:p w14:paraId="3CEA8EF3">
                  <w:pPr>
                    <w:keepNext w:val="0"/>
                    <w:keepLines w:val="0"/>
                    <w:pageBreakBefore w:val="0"/>
                    <w:widowControl w:val="0"/>
                    <w:kinsoku/>
                    <w:wordWrap/>
                    <w:overflowPunct/>
                    <w:topLinePunct w:val="0"/>
                    <w:autoSpaceDE/>
                    <w:autoSpaceDN/>
                    <w:bidi w:val="0"/>
                    <w:adjustRightInd/>
                    <w:snapToGrid/>
                    <w:spacing w:before="95"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二</w:t>
                  </w:r>
                  <w:r>
                    <w:rPr>
                      <w:rFonts w:hint="default" w:ascii="Times New Roman" w:hAnsi="Times New Roman" w:eastAsia="宋体" w:cs="Times New Roman"/>
                      <w:color w:val="auto"/>
                      <w:spacing w:val="-2"/>
                      <w:sz w:val="21"/>
                      <w:szCs w:val="21"/>
                    </w:rPr>
                    <w:t>级</w:t>
                  </w:r>
                </w:p>
              </w:tc>
            </w:tr>
            <w:tr w14:paraId="00513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545" w:type="pct"/>
                  <w:vAlign w:val="center"/>
                </w:tcPr>
                <w:p w14:paraId="2CD099C0">
                  <w:pPr>
                    <w:keepNext w:val="0"/>
                    <w:keepLines w:val="0"/>
                    <w:pageBreakBefore w:val="0"/>
                    <w:widowControl w:val="0"/>
                    <w:kinsoku/>
                    <w:wordWrap/>
                    <w:overflowPunct/>
                    <w:topLinePunct w:val="0"/>
                    <w:autoSpaceDE/>
                    <w:autoSpaceDN/>
                    <w:bidi w:val="0"/>
                    <w:adjustRightInd/>
                    <w:snapToGrid/>
                    <w:spacing w:before="77" w:line="240" w:lineRule="auto"/>
                    <w:ind w:left="0" w:right="0" w:firstLine="0" w:firstLineChars="0"/>
                    <w:jc w:val="center"/>
                    <w:textAlignment w:val="auto"/>
                    <w:rPr>
                      <w:rFonts w:hint="eastAsia" w:ascii="Times New Roman" w:hAnsi="Times New Roman" w:eastAsia="宋体" w:cs="Times New Roman"/>
                      <w:color w:val="auto"/>
                      <w:spacing w:val="1"/>
                      <w:sz w:val="21"/>
                      <w:szCs w:val="21"/>
                      <w:lang w:eastAsia="zh-CN"/>
                    </w:rPr>
                  </w:pPr>
                  <w:r>
                    <w:rPr>
                      <w:rFonts w:hint="eastAsia" w:cs="Times New Roman"/>
                      <w:color w:val="auto"/>
                      <w:sz w:val="21"/>
                      <w:szCs w:val="21"/>
                      <w:lang w:val="en-US" w:eastAsia="zh-CN"/>
                    </w:rPr>
                    <w:t>颗粒物</w:t>
                  </w:r>
                </w:p>
              </w:tc>
              <w:tc>
                <w:tcPr>
                  <w:tcW w:w="1849" w:type="pct"/>
                  <w:vAlign w:val="center"/>
                </w:tcPr>
                <w:p w14:paraId="4ADC6C27">
                  <w:pPr>
                    <w:keepNext w:val="0"/>
                    <w:keepLines w:val="0"/>
                    <w:pageBreakBefore w:val="0"/>
                    <w:widowControl w:val="0"/>
                    <w:kinsoku/>
                    <w:wordWrap/>
                    <w:overflowPunct/>
                    <w:topLinePunct w:val="0"/>
                    <w:autoSpaceDE/>
                    <w:autoSpaceDN/>
                    <w:bidi w:val="0"/>
                    <w:adjustRightInd/>
                    <w:snapToGrid/>
                    <w:spacing w:before="77"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1"/>
                      <w:sz w:val="21"/>
                      <w:szCs w:val="21"/>
                      <w:lang w:val="en-US" w:eastAsia="zh-CN"/>
                    </w:rPr>
                    <w:t>120</w:t>
                  </w:r>
                </w:p>
              </w:tc>
              <w:tc>
                <w:tcPr>
                  <w:tcW w:w="1180" w:type="pct"/>
                  <w:vAlign w:val="center"/>
                </w:tcPr>
                <w:p w14:paraId="5CA5ADB7">
                  <w:pPr>
                    <w:keepNext w:val="0"/>
                    <w:keepLines w:val="0"/>
                    <w:pageBreakBefore w:val="0"/>
                    <w:widowControl w:val="0"/>
                    <w:kinsoku/>
                    <w:wordWrap/>
                    <w:overflowPunct/>
                    <w:topLinePunct w:val="0"/>
                    <w:autoSpaceDE/>
                    <w:autoSpaceDN/>
                    <w:bidi w:val="0"/>
                    <w:adjustRightInd/>
                    <w:snapToGrid/>
                    <w:spacing w:before="61"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6"/>
                      <w:sz w:val="21"/>
                      <w:szCs w:val="21"/>
                    </w:rPr>
                    <w:t>15</w:t>
                  </w:r>
                </w:p>
              </w:tc>
              <w:tc>
                <w:tcPr>
                  <w:tcW w:w="1424" w:type="pct"/>
                  <w:vAlign w:val="center"/>
                </w:tcPr>
                <w:p w14:paraId="592C5361">
                  <w:pPr>
                    <w:keepNext w:val="0"/>
                    <w:keepLines w:val="0"/>
                    <w:pageBreakBefore w:val="0"/>
                    <w:widowControl w:val="0"/>
                    <w:kinsoku/>
                    <w:wordWrap/>
                    <w:overflowPunct/>
                    <w:topLinePunct w:val="0"/>
                    <w:autoSpaceDE/>
                    <w:autoSpaceDN/>
                    <w:bidi w:val="0"/>
                    <w:adjustRightInd/>
                    <w:snapToGrid/>
                    <w:spacing w:before="77"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1"/>
                      <w:sz w:val="21"/>
                      <w:szCs w:val="21"/>
                      <w:lang w:val="en-US" w:eastAsia="zh-CN"/>
                    </w:rPr>
                    <w:t>3.5</w:t>
                  </w:r>
                </w:p>
              </w:tc>
            </w:tr>
          </w:tbl>
          <w:p w14:paraId="449D9057">
            <w:pPr>
              <w:pStyle w:val="60"/>
              <w:spacing w:before="0" w:beforeLines="0" w:after="0" w:afterLines="0" w:line="360" w:lineRule="auto"/>
              <w:ind w:firstLine="496" w:firstLineChars="200"/>
              <w:rPr>
                <w:rFonts w:hAnsi="Times New Roman"/>
                <w:color w:val="auto"/>
              </w:rPr>
            </w:pPr>
            <w:r>
              <w:rPr>
                <w:rFonts w:hint="eastAsia" w:hAnsi="Times New Roman"/>
                <w:color w:val="auto"/>
                <w:lang w:val="en-US" w:eastAsia="zh-CN"/>
              </w:rPr>
              <w:t>⑤</w:t>
            </w:r>
            <w:r>
              <w:rPr>
                <w:rFonts w:hAnsi="Times New Roman"/>
                <w:color w:val="auto"/>
              </w:rPr>
              <w:t>生活区设置一个食堂，</w:t>
            </w:r>
            <w:r>
              <w:rPr>
                <w:rFonts w:hint="eastAsia" w:hAnsi="Times New Roman"/>
                <w:color w:val="auto"/>
              </w:rPr>
              <w:t>食堂</w:t>
            </w:r>
            <w:r>
              <w:rPr>
                <w:rFonts w:hAnsi="Times New Roman"/>
                <w:color w:val="auto"/>
              </w:rPr>
              <w:t>油烟排放执行《饮食业油烟排放标准（试行）》（GB18483-2001），详见下表。</w:t>
            </w:r>
          </w:p>
          <w:p w14:paraId="73CEB890">
            <w:pPr>
              <w:spacing w:line="240" w:lineRule="auto"/>
              <w:ind w:firstLine="422" w:firstLineChars="20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3-1</w:t>
            </w:r>
            <w:r>
              <w:rPr>
                <w:rFonts w:hint="eastAsia" w:cs="Times New Roman"/>
                <w:b/>
                <w:bCs/>
                <w:color w:val="auto"/>
                <w:kern w:val="0"/>
                <w:sz w:val="21"/>
                <w:szCs w:val="21"/>
                <w:lang w:val="en-US" w:eastAsia="zh-CN"/>
              </w:rPr>
              <w:t>3</w:t>
            </w:r>
            <w:r>
              <w:rPr>
                <w:rFonts w:hint="eastAsia" w:ascii="Times New Roman" w:hAnsi="Times New Roman" w:eastAsia="宋体" w:cs="Times New Roman"/>
                <w:b/>
                <w:bCs/>
                <w:color w:val="auto"/>
                <w:kern w:val="0"/>
                <w:sz w:val="21"/>
                <w:szCs w:val="21"/>
              </w:rPr>
              <w:t xml:space="preserve"> 饮食业油烟排放标准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3"/>
              <w:gridCol w:w="4218"/>
            </w:tblGrid>
            <w:tr w14:paraId="7704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317" w:type="pct"/>
                  <w:noWrap w:val="0"/>
                  <w:vAlign w:val="center"/>
                </w:tcPr>
                <w:p w14:paraId="0FE3D7FE">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2682" w:type="pct"/>
                  <w:noWrap w:val="0"/>
                  <w:vAlign w:val="center"/>
                </w:tcPr>
                <w:p w14:paraId="6C72A696">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小型</w:t>
                  </w:r>
                </w:p>
              </w:tc>
            </w:tr>
            <w:tr w14:paraId="36AF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317" w:type="pct"/>
                  <w:noWrap w:val="0"/>
                  <w:vAlign w:val="center"/>
                </w:tcPr>
                <w:p w14:paraId="7DC60B11">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2682" w:type="pct"/>
                  <w:noWrap w:val="0"/>
                  <w:vAlign w:val="center"/>
                </w:tcPr>
                <w:p w14:paraId="3C22F9A5">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14:paraId="6967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7" w:type="pct"/>
                  <w:noWrap w:val="0"/>
                  <w:vAlign w:val="center"/>
                </w:tcPr>
                <w:p w14:paraId="100DAF42">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净化设施最低去除率（％）</w:t>
                  </w:r>
                </w:p>
              </w:tc>
              <w:tc>
                <w:tcPr>
                  <w:tcW w:w="2682" w:type="pct"/>
                  <w:noWrap w:val="0"/>
                  <w:vAlign w:val="center"/>
                </w:tcPr>
                <w:p w14:paraId="45B2B2F5">
                  <w:pPr>
                    <w:pStyle w:val="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bl>
          <w:p w14:paraId="355499D9">
            <w:pPr>
              <w:pStyle w:val="60"/>
              <w:spacing w:before="0" w:beforeLines="0" w:after="0" w:afterLines="0" w:line="360" w:lineRule="auto"/>
              <w:ind w:firstLine="498" w:firstLineChars="200"/>
              <w:rPr>
                <w:rFonts w:hint="default" w:hAnsi="Times New Roman"/>
                <w:b/>
                <w:bCs/>
                <w:color w:val="auto"/>
                <w:lang w:val="en-US" w:eastAsia="zh-CN"/>
              </w:rPr>
            </w:pPr>
            <w:r>
              <w:rPr>
                <w:rFonts w:hint="eastAsia"/>
                <w:b/>
                <w:bCs/>
                <w:color w:val="auto"/>
                <w:lang w:val="en-US" w:eastAsia="zh-CN"/>
              </w:rPr>
              <w:t>无组织废气：</w:t>
            </w:r>
          </w:p>
          <w:p w14:paraId="639AA321">
            <w:pPr>
              <w:snapToGrid w:val="0"/>
              <w:spacing w:line="360" w:lineRule="auto"/>
              <w:ind w:firstLine="480" w:firstLineChars="200"/>
              <w:jc w:val="left"/>
              <w:rPr>
                <w:color w:val="auto"/>
                <w:sz w:val="24"/>
              </w:rPr>
            </w:pPr>
            <w:r>
              <w:rPr>
                <w:rFonts w:hint="eastAsia"/>
                <w:color w:val="auto"/>
                <w:lang w:val="en-US" w:eastAsia="zh-CN"/>
              </w:rPr>
              <w:t>①</w:t>
            </w:r>
            <w:r>
              <w:rPr>
                <w:rFonts w:hint="default" w:ascii="Times New Roman" w:hAnsi="Times New Roman" w:eastAsia="宋体" w:cs="Times New Roman"/>
                <w:color w:val="auto"/>
                <w:kern w:val="2"/>
                <w:sz w:val="24"/>
                <w:szCs w:val="24"/>
                <w:lang w:val="en-US" w:eastAsia="zh-CN" w:bidi="ar-SA"/>
              </w:rPr>
              <w:t>项目运营期生产过程中有</w:t>
            </w:r>
            <w:r>
              <w:rPr>
                <w:rFonts w:hint="eastAsia" w:ascii="Times New Roman" w:hAnsi="Times New Roman" w:eastAsia="宋体" w:cs="Times New Roman"/>
                <w:color w:val="auto"/>
                <w:kern w:val="2"/>
                <w:sz w:val="24"/>
                <w:szCs w:val="24"/>
                <w:lang w:val="en-US" w:eastAsia="zh-CN" w:bidi="ar-SA"/>
              </w:rPr>
              <w:t>柴油的储存</w:t>
            </w:r>
            <w:r>
              <w:rPr>
                <w:rFonts w:hint="default" w:ascii="Times New Roman" w:hAnsi="Times New Roman" w:eastAsia="宋体" w:cs="Times New Roman"/>
                <w:color w:val="auto"/>
                <w:kern w:val="2"/>
                <w:sz w:val="24"/>
                <w:szCs w:val="24"/>
                <w:lang w:val="en-US" w:eastAsia="zh-CN" w:bidi="ar-SA"/>
              </w:rPr>
              <w:t>，无组织非甲烷总烃</w:t>
            </w:r>
            <w:r>
              <w:rPr>
                <w:rFonts w:hint="eastAsia" w:ascii="Times New Roman" w:hAnsi="Times New Roman" w:eastAsia="宋体" w:cs="Times New Roman"/>
                <w:color w:val="auto"/>
                <w:kern w:val="2"/>
                <w:sz w:val="24"/>
                <w:szCs w:val="24"/>
                <w:lang w:val="en-US" w:eastAsia="zh-CN" w:bidi="ar-SA"/>
              </w:rPr>
              <w:t>柴油罐储存区外</w:t>
            </w:r>
            <w:r>
              <w:rPr>
                <w:rFonts w:hint="default" w:ascii="Times New Roman" w:hAnsi="Times New Roman" w:eastAsia="宋体" w:cs="Times New Roman"/>
                <w:color w:val="auto"/>
                <w:kern w:val="2"/>
                <w:sz w:val="24"/>
                <w:szCs w:val="24"/>
                <w:lang w:val="en-US" w:eastAsia="zh-CN" w:bidi="ar-SA"/>
              </w:rPr>
              <w:t>排放执行</w:t>
            </w:r>
            <w:r>
              <w:rPr>
                <w:rFonts w:hint="eastAsia" w:ascii="Times New Roman" w:hAnsi="Times New Roman" w:eastAsia="宋体" w:cs="Times New Roman"/>
                <w:color w:val="auto"/>
                <w:kern w:val="2"/>
                <w:sz w:val="24"/>
                <w:szCs w:val="24"/>
                <w:lang w:val="en-US" w:eastAsia="zh-CN" w:bidi="ar-SA"/>
              </w:rPr>
              <w:t>《挥发性有机物无组织排放控制标准》（GB37822—2019）附录A</w:t>
            </w:r>
            <w:r>
              <w:rPr>
                <w:rFonts w:hint="default" w:ascii="Times New Roman" w:hAnsi="Times New Roman" w:eastAsia="宋体" w:cs="Times New Roman"/>
                <w:color w:val="auto"/>
                <w:kern w:val="2"/>
                <w:sz w:val="24"/>
                <w:szCs w:val="24"/>
                <w:lang w:val="en-US" w:eastAsia="zh-CN" w:bidi="ar-SA"/>
              </w:rPr>
              <w:t>无组织排放监控浓度限值要求，具体标准限值详见表3-</w:t>
            </w:r>
            <w:r>
              <w:rPr>
                <w:rFonts w:hint="eastAsia" w:ascii="Times New Roman" w:hAnsi="Times New Roman" w:eastAsia="宋体" w:cs="Times New Roman"/>
                <w:color w:val="auto"/>
                <w:kern w:val="2"/>
                <w:sz w:val="24"/>
                <w:szCs w:val="24"/>
                <w:lang w:val="en-US" w:eastAsia="zh-CN" w:bidi="ar-SA"/>
              </w:rPr>
              <w:t>1</w:t>
            </w:r>
            <w:r>
              <w:rPr>
                <w:rFonts w:hint="eastAsia" w:cs="Times New Roman"/>
                <w:color w:val="auto"/>
                <w:kern w:val="2"/>
                <w:sz w:val="24"/>
                <w:szCs w:val="24"/>
                <w:lang w:val="en-US" w:eastAsia="zh-CN" w:bidi="ar-SA"/>
              </w:rPr>
              <w:t>4</w:t>
            </w:r>
            <w:r>
              <w:rPr>
                <w:color w:val="auto"/>
                <w:sz w:val="24"/>
              </w:rPr>
              <w:t>。</w:t>
            </w:r>
          </w:p>
          <w:p w14:paraId="2DF368CD">
            <w:pPr>
              <w:keepNext w:val="0"/>
              <w:keepLines w:val="0"/>
              <w:pageBreakBefore w:val="0"/>
              <w:widowControl w:val="0"/>
              <w:tabs>
                <w:tab w:val="left" w:pos="1287"/>
                <w:tab w:val="left" w:pos="3920"/>
              </w:tabs>
              <w:kinsoku/>
              <w:wordWrap/>
              <w:overflowPunct/>
              <w:topLinePunct w:val="0"/>
              <w:autoSpaceDE w:val="0"/>
              <w:autoSpaceDN w:val="0"/>
              <w:bidi w:val="0"/>
              <w:adjustRightInd/>
              <w:snapToGrid/>
              <w:spacing w:line="240" w:lineRule="auto"/>
              <w:ind w:left="0" w:right="0" w:firstLine="0"/>
              <w:jc w:val="center"/>
              <w:textAlignment w:val="auto"/>
              <w:rPr>
                <w:rFonts w:hint="default" w:ascii="Times New Roman" w:hAnsi="Times New Roman" w:eastAsia="宋体" w:cs="Times New Roman"/>
                <w:b/>
                <w:color w:val="auto"/>
                <w:kern w:val="0"/>
                <w:sz w:val="21"/>
                <w:szCs w:val="22"/>
              </w:rPr>
            </w:pPr>
            <w:r>
              <w:rPr>
                <w:rFonts w:hint="default" w:ascii="Times New Roman" w:hAnsi="Times New Roman" w:eastAsia="宋体" w:cs="Times New Roman"/>
                <w:b/>
                <w:color w:val="auto"/>
                <w:kern w:val="0"/>
                <w:sz w:val="21"/>
                <w:szCs w:val="22"/>
              </w:rPr>
              <w:t>表</w:t>
            </w:r>
            <w:r>
              <w:rPr>
                <w:rFonts w:hint="default" w:ascii="Times New Roman" w:hAnsi="Times New Roman" w:eastAsia="宋体" w:cs="Times New Roman"/>
                <w:b/>
                <w:color w:val="auto"/>
                <w:spacing w:val="-52"/>
                <w:kern w:val="0"/>
                <w:sz w:val="21"/>
                <w:szCs w:val="22"/>
              </w:rPr>
              <w:t xml:space="preserve"> </w:t>
            </w:r>
            <w:r>
              <w:rPr>
                <w:rFonts w:hint="default" w:ascii="Times New Roman" w:hAnsi="Times New Roman" w:eastAsia="宋体" w:cs="Times New Roman"/>
                <w:b/>
                <w:color w:val="auto"/>
                <w:kern w:val="0"/>
                <w:sz w:val="21"/>
                <w:szCs w:val="22"/>
              </w:rPr>
              <w:t>3-</w:t>
            </w:r>
            <w:r>
              <w:rPr>
                <w:rFonts w:hint="eastAsia" w:ascii="Times New Roman" w:hAnsi="Times New Roman" w:eastAsia="宋体" w:cs="Times New Roman"/>
                <w:b/>
                <w:color w:val="auto"/>
                <w:kern w:val="0"/>
                <w:sz w:val="21"/>
                <w:szCs w:val="22"/>
                <w:lang w:val="en-US" w:eastAsia="zh-CN"/>
              </w:rPr>
              <w:t>1</w:t>
            </w:r>
            <w:r>
              <w:rPr>
                <w:rFonts w:hint="eastAsia" w:cs="Times New Roman"/>
                <w:b/>
                <w:color w:val="auto"/>
                <w:kern w:val="0"/>
                <w:sz w:val="21"/>
                <w:szCs w:val="22"/>
                <w:lang w:val="en-US" w:eastAsia="zh-CN"/>
              </w:rPr>
              <w:t>4</w:t>
            </w:r>
            <w:r>
              <w:rPr>
                <w:rFonts w:hint="eastAsia" w:ascii="Times New Roman" w:hAnsi="Times New Roman" w:eastAsia="宋体" w:cs="Times New Roman"/>
                <w:b/>
                <w:color w:val="auto"/>
                <w:kern w:val="0"/>
                <w:sz w:val="21"/>
                <w:szCs w:val="22"/>
                <w:lang w:val="en-US" w:eastAsia="zh-CN"/>
              </w:rPr>
              <w:t xml:space="preserve"> 挥发性有机物无组织排放控制标准  </w:t>
            </w:r>
            <w:r>
              <w:rPr>
                <w:rFonts w:hint="default" w:ascii="Times New Roman" w:hAnsi="Times New Roman" w:eastAsia="宋体" w:cs="Times New Roman"/>
                <w:b/>
                <w:color w:val="auto"/>
                <w:kern w:val="0"/>
                <w:sz w:val="21"/>
                <w:szCs w:val="22"/>
              </w:rPr>
              <w:t>单位：mg/m</w:t>
            </w:r>
            <w:r>
              <w:rPr>
                <w:rFonts w:hint="default" w:ascii="Times New Roman" w:hAnsi="Times New Roman" w:eastAsia="宋体" w:cs="Times New Roman"/>
                <w:b/>
                <w:color w:val="auto"/>
                <w:kern w:val="0"/>
                <w:sz w:val="21"/>
                <w:szCs w:val="22"/>
                <w:vertAlign w:val="superscript"/>
              </w:rPr>
              <w:t>3</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9"/>
              <w:gridCol w:w="4310"/>
              <w:gridCol w:w="2612"/>
            </w:tblGrid>
            <w:tr w14:paraId="11708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7" w:type="pct"/>
                  <w:vMerge w:val="restart"/>
                  <w:noWrap w:val="0"/>
                  <w:vAlign w:val="center"/>
                </w:tcPr>
                <w:p w14:paraId="2068601F">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auto"/>
                      <w:sz w:val="21"/>
                      <w:szCs w:val="22"/>
                      <w:lang w:val="en-US" w:eastAsia="zh-CN" w:bidi="ar-SA"/>
                    </w:rPr>
                  </w:pPr>
                  <w:r>
                    <w:rPr>
                      <w:rFonts w:hint="default" w:ascii="Times New Roman" w:hAnsi="Times New Roman" w:eastAsia="宋体" w:cs="Times New Roman"/>
                      <w:b/>
                      <w:bCs/>
                      <w:color w:val="auto"/>
                      <w:sz w:val="21"/>
                      <w:szCs w:val="22"/>
                      <w:lang w:val="en-US" w:eastAsia="zh-CN" w:bidi="ar-SA"/>
                    </w:rPr>
                    <w:t>污染物</w:t>
                  </w:r>
                </w:p>
              </w:tc>
              <w:tc>
                <w:tcPr>
                  <w:tcW w:w="4402" w:type="pct"/>
                  <w:gridSpan w:val="2"/>
                  <w:noWrap w:val="0"/>
                  <w:vAlign w:val="center"/>
                </w:tcPr>
                <w:p w14:paraId="20F8A44A">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eastAsia="宋体" w:cs="Times New Roman"/>
                      <w:b/>
                      <w:bCs/>
                      <w:color w:val="auto"/>
                      <w:sz w:val="21"/>
                      <w:szCs w:val="22"/>
                      <w:lang w:val="en-US" w:eastAsia="zh-CN" w:bidi="ar-SA"/>
                    </w:rPr>
                  </w:pPr>
                  <w:r>
                    <w:rPr>
                      <w:rFonts w:hint="default" w:ascii="Times New Roman" w:hAnsi="Times New Roman" w:eastAsia="宋体" w:cs="Times New Roman"/>
                      <w:b/>
                      <w:bCs/>
                      <w:color w:val="auto"/>
                      <w:sz w:val="21"/>
                      <w:szCs w:val="22"/>
                      <w:lang w:val="en-US" w:eastAsia="zh-CN" w:bidi="ar-SA"/>
                    </w:rPr>
                    <w:t>无组织排放监控浓度限值</w:t>
                  </w:r>
                </w:p>
              </w:tc>
            </w:tr>
            <w:tr w14:paraId="463B2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597" w:type="pct"/>
                  <w:vMerge w:val="continue"/>
                  <w:tcBorders>
                    <w:top w:val="nil"/>
                  </w:tcBorders>
                  <w:noWrap w:val="0"/>
                  <w:vAlign w:val="center"/>
                </w:tcPr>
                <w:p w14:paraId="2EDDBB9D">
                  <w:pPr>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kern w:val="0"/>
                      <w:sz w:val="2"/>
                      <w:szCs w:val="2"/>
                    </w:rPr>
                  </w:pPr>
                </w:p>
              </w:tc>
              <w:tc>
                <w:tcPr>
                  <w:tcW w:w="2741" w:type="pct"/>
                  <w:noWrap w:val="0"/>
                  <w:vAlign w:val="center"/>
                </w:tcPr>
                <w:p w14:paraId="5F323F35">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监控点</w:t>
                  </w:r>
                </w:p>
              </w:tc>
              <w:tc>
                <w:tcPr>
                  <w:tcW w:w="1661" w:type="pct"/>
                  <w:noWrap w:val="0"/>
                  <w:vAlign w:val="center"/>
                </w:tcPr>
                <w:p w14:paraId="281750F4">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排放限值</w:t>
                  </w:r>
                </w:p>
              </w:tc>
            </w:tr>
            <w:tr w14:paraId="006B6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597" w:type="pct"/>
                  <w:vMerge w:val="restart"/>
                  <w:noWrap w:val="0"/>
                  <w:vAlign w:val="center"/>
                </w:tcPr>
                <w:p w14:paraId="4B899722">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sz w:val="21"/>
                      <w:szCs w:val="22"/>
                      <w:lang w:val="en-US" w:eastAsia="zh-CN" w:bidi="ar-SA"/>
                    </w:rPr>
                  </w:pPr>
                  <w:r>
                    <w:rPr>
                      <w:rFonts w:hint="default" w:ascii="Times New Roman" w:hAnsi="Times New Roman" w:eastAsia="宋体" w:cs="Times New Roman"/>
                      <w:color w:val="auto"/>
                      <w:sz w:val="21"/>
                      <w:szCs w:val="22"/>
                      <w:lang w:val="en-US" w:eastAsia="zh-CN" w:bidi="ar-SA"/>
                    </w:rPr>
                    <w:t>非甲烷总烃</w:t>
                  </w:r>
                </w:p>
              </w:tc>
              <w:tc>
                <w:tcPr>
                  <w:tcW w:w="2741" w:type="pct"/>
                  <w:noWrap w:val="0"/>
                  <w:vAlign w:val="center"/>
                </w:tcPr>
                <w:p w14:paraId="3B2015DB">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柴油罐储存区外监控点处1h平均浓度值</w:t>
                  </w:r>
                </w:p>
              </w:tc>
              <w:tc>
                <w:tcPr>
                  <w:tcW w:w="1661" w:type="pct"/>
                  <w:noWrap w:val="0"/>
                  <w:vAlign w:val="center"/>
                </w:tcPr>
                <w:p w14:paraId="5358331C">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10</w:t>
                  </w:r>
                </w:p>
              </w:tc>
            </w:tr>
            <w:tr w14:paraId="0300A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97" w:type="pct"/>
                  <w:vMerge w:val="continue"/>
                  <w:noWrap w:val="0"/>
                  <w:vAlign w:val="center"/>
                </w:tcPr>
                <w:p w14:paraId="1A390172">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eastAsia="宋体" w:cs="Times New Roman"/>
                      <w:color w:val="auto"/>
                      <w:sz w:val="21"/>
                      <w:szCs w:val="22"/>
                      <w:lang w:val="en-US" w:eastAsia="zh-CN" w:bidi="ar-SA"/>
                    </w:rPr>
                  </w:pPr>
                </w:p>
              </w:tc>
              <w:tc>
                <w:tcPr>
                  <w:tcW w:w="2741" w:type="pct"/>
                  <w:noWrap w:val="0"/>
                  <w:vAlign w:val="center"/>
                </w:tcPr>
                <w:p w14:paraId="5786B7C0">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柴油罐储存区外监控点处任意一次浓度值</w:t>
                  </w:r>
                </w:p>
              </w:tc>
              <w:tc>
                <w:tcPr>
                  <w:tcW w:w="1661" w:type="pct"/>
                  <w:noWrap w:val="0"/>
                  <w:vAlign w:val="center"/>
                </w:tcPr>
                <w:p w14:paraId="14BF3197">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hint="default" w:ascii="Times New Roman" w:hAnsi="Times New Roman" w:eastAsia="宋体" w:cs="Times New Roman"/>
                      <w:color w:val="auto"/>
                      <w:sz w:val="21"/>
                      <w:szCs w:val="22"/>
                      <w:lang w:val="en-US" w:eastAsia="zh-CN" w:bidi="ar-SA"/>
                    </w:rPr>
                  </w:pPr>
                  <w:r>
                    <w:rPr>
                      <w:rFonts w:hint="eastAsia" w:ascii="Times New Roman" w:hAnsi="Times New Roman" w:eastAsia="宋体" w:cs="Times New Roman"/>
                      <w:color w:val="auto"/>
                      <w:sz w:val="21"/>
                      <w:szCs w:val="22"/>
                      <w:lang w:val="en-US" w:eastAsia="zh-CN" w:bidi="ar-SA"/>
                    </w:rPr>
                    <w:t>30</w:t>
                  </w:r>
                </w:p>
              </w:tc>
            </w:tr>
          </w:tbl>
          <w:p w14:paraId="412A3984">
            <w:pPr>
              <w:autoSpaceDE w:val="0"/>
              <w:autoSpaceDN w:val="0"/>
              <w:adjustRightInd w:val="0"/>
              <w:spacing w:line="360" w:lineRule="auto"/>
              <w:ind w:firstLine="480" w:firstLineChars="200"/>
              <w:jc w:val="left"/>
              <w:rPr>
                <w:rFonts w:ascii="Times New Roman" w:hAnsi="Times New Roman"/>
                <w:color w:val="auto"/>
                <w:szCs w:val="21"/>
              </w:rPr>
            </w:pPr>
            <w:r>
              <w:rPr>
                <w:rFonts w:hint="eastAsia"/>
                <w:color w:val="auto"/>
                <w:szCs w:val="21"/>
                <w:lang w:val="en-US" w:eastAsia="zh-CN"/>
              </w:rPr>
              <w:t>②</w:t>
            </w:r>
            <w:r>
              <w:rPr>
                <w:rFonts w:ascii="Times New Roman" w:hAnsi="Times New Roman"/>
                <w:color w:val="auto"/>
                <w:szCs w:val="21"/>
              </w:rPr>
              <w:t>项目无组织排放颗粒物</w:t>
            </w:r>
            <w:r>
              <w:rPr>
                <w:rFonts w:hint="eastAsia" w:ascii="Times New Roman" w:hAnsi="Times New Roman"/>
                <w:color w:val="auto"/>
                <w:szCs w:val="21"/>
              </w:rPr>
              <w:t>、</w:t>
            </w:r>
            <w:r>
              <w:rPr>
                <w:rFonts w:ascii="Times New Roman" w:hAnsi="Times New Roman"/>
                <w:bCs/>
                <w:color w:val="auto"/>
                <w:szCs w:val="21"/>
              </w:rPr>
              <w:t>沥青烟、苯并[a]芘</w:t>
            </w:r>
            <w:r>
              <w:rPr>
                <w:rFonts w:hint="eastAsia" w:ascii="Times New Roman" w:hAnsi="Times New Roman"/>
                <w:bCs/>
                <w:color w:val="auto"/>
                <w:szCs w:val="21"/>
              </w:rPr>
              <w:t>、非甲烷总烃</w:t>
            </w:r>
            <w:r>
              <w:rPr>
                <w:rFonts w:ascii="Times New Roman" w:hAnsi="Times New Roman"/>
                <w:bCs/>
                <w:color w:val="auto"/>
                <w:szCs w:val="21"/>
              </w:rPr>
              <w:t>执行《大气污染物综合排放标准》（GB16297-1996），具体见表3-</w:t>
            </w:r>
            <w:r>
              <w:rPr>
                <w:rFonts w:hint="eastAsia" w:ascii="Times New Roman" w:hAnsi="Times New Roman"/>
                <w:bCs/>
                <w:color w:val="auto"/>
                <w:szCs w:val="21"/>
                <w:lang w:val="en-US" w:eastAsia="zh-CN"/>
              </w:rPr>
              <w:t>1</w:t>
            </w:r>
            <w:r>
              <w:rPr>
                <w:rFonts w:hint="eastAsia"/>
                <w:bCs/>
                <w:color w:val="auto"/>
                <w:szCs w:val="21"/>
                <w:lang w:val="en-US" w:eastAsia="zh-CN"/>
              </w:rPr>
              <w:t>5</w:t>
            </w:r>
            <w:r>
              <w:rPr>
                <w:rFonts w:ascii="Times New Roman" w:hAnsi="Times New Roman"/>
                <w:bCs/>
                <w:color w:val="auto"/>
                <w:szCs w:val="21"/>
              </w:rPr>
              <w:t>。</w:t>
            </w:r>
          </w:p>
          <w:p w14:paraId="7F57200E">
            <w:pPr>
              <w:spacing w:line="240" w:lineRule="auto"/>
              <w:ind w:firstLine="422" w:firstLineChars="20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表3-</w:t>
            </w:r>
            <w:r>
              <w:rPr>
                <w:rFonts w:hint="eastAsia" w:cs="Times New Roman"/>
                <w:b/>
                <w:bCs/>
                <w:color w:val="auto"/>
                <w:kern w:val="0"/>
                <w:sz w:val="21"/>
                <w:szCs w:val="21"/>
                <w:lang w:val="en-US" w:eastAsia="zh-CN"/>
              </w:rPr>
              <w:t>15</w:t>
            </w:r>
            <w:r>
              <w:rPr>
                <w:rFonts w:hint="eastAsia" w:ascii="Times New Roman" w:hAnsi="Times New Roman" w:eastAsia="宋体" w:cs="Times New Roman"/>
                <w:b/>
                <w:bCs/>
                <w:color w:val="auto"/>
                <w:kern w:val="0"/>
                <w:sz w:val="21"/>
                <w:szCs w:val="21"/>
              </w:rPr>
              <w:t xml:space="preserve"> 项目运营期无组织废气排放标准</w:t>
            </w:r>
          </w:p>
          <w:tbl>
            <w:tblPr>
              <w:tblStyle w:val="27"/>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3"/>
              <w:gridCol w:w="1111"/>
              <w:gridCol w:w="2445"/>
              <w:gridCol w:w="2335"/>
            </w:tblGrid>
            <w:tr w14:paraId="7A780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1254" w:type="pct"/>
                  <w:tcBorders>
                    <w:top w:val="single" w:color="000000" w:sz="2" w:space="0"/>
                    <w:left w:val="single" w:color="000000" w:sz="2" w:space="0"/>
                    <w:bottom w:val="single" w:color="000000" w:sz="2" w:space="0"/>
                    <w:right w:val="single" w:color="000000" w:sz="2" w:space="0"/>
                  </w:tcBorders>
                  <w:noWrap w:val="0"/>
                  <w:vAlign w:val="center"/>
                </w:tcPr>
                <w:p w14:paraId="16A868B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lang w:bidi="ar"/>
                    </w:rPr>
                    <w:t>控制点位</w:t>
                  </w:r>
                </w:p>
              </w:tc>
              <w:tc>
                <w:tcPr>
                  <w:tcW w:w="706" w:type="pct"/>
                  <w:tcBorders>
                    <w:top w:val="single" w:color="000000" w:sz="2" w:space="0"/>
                    <w:left w:val="single" w:color="000000" w:sz="2" w:space="0"/>
                    <w:bottom w:val="single" w:color="000000" w:sz="2" w:space="0"/>
                    <w:right w:val="single" w:color="000000" w:sz="2" w:space="0"/>
                  </w:tcBorders>
                  <w:noWrap w:val="0"/>
                  <w:vAlign w:val="center"/>
                </w:tcPr>
                <w:p w14:paraId="0AE4CD8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lang w:bidi="ar"/>
                    </w:rPr>
                    <w:t>控制因子</w:t>
                  </w:r>
                </w:p>
              </w:tc>
              <w:tc>
                <w:tcPr>
                  <w:tcW w:w="1554" w:type="pct"/>
                  <w:tcBorders>
                    <w:top w:val="single" w:color="000000" w:sz="2" w:space="0"/>
                    <w:left w:val="single" w:color="000000" w:sz="2" w:space="0"/>
                    <w:bottom w:val="single" w:color="000000" w:sz="2" w:space="0"/>
                    <w:right w:val="single" w:color="auto" w:sz="4" w:space="0"/>
                  </w:tcBorders>
                  <w:noWrap w:val="0"/>
                  <w:vAlign w:val="center"/>
                </w:tcPr>
                <w:p w14:paraId="6DE8BB2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标准值</w:t>
                  </w:r>
                </w:p>
              </w:tc>
              <w:tc>
                <w:tcPr>
                  <w:tcW w:w="1484" w:type="pct"/>
                  <w:tcBorders>
                    <w:top w:val="single" w:color="000000" w:sz="2" w:space="0"/>
                    <w:left w:val="single" w:color="auto" w:sz="4" w:space="0"/>
                    <w:bottom w:val="single" w:color="000000" w:sz="2" w:space="0"/>
                    <w:right w:val="single" w:color="000000" w:sz="2" w:space="0"/>
                  </w:tcBorders>
                  <w:noWrap w:val="0"/>
                  <w:vAlign w:val="center"/>
                </w:tcPr>
                <w:p w14:paraId="441401C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标准名称</w:t>
                  </w:r>
                </w:p>
              </w:tc>
            </w:tr>
            <w:tr w14:paraId="627D1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254" w:type="pct"/>
                  <w:vMerge w:val="restart"/>
                  <w:tcBorders>
                    <w:top w:val="single" w:color="auto" w:sz="4" w:space="0"/>
                    <w:left w:val="single" w:color="000000" w:sz="2" w:space="0"/>
                    <w:right w:val="single" w:color="000000" w:sz="2" w:space="0"/>
                  </w:tcBorders>
                  <w:noWrap w:val="0"/>
                  <w:vAlign w:val="center"/>
                </w:tcPr>
                <w:p w14:paraId="5C41E1DF">
                  <w:pPr>
                    <w:keepNext w:val="0"/>
                    <w:keepLines w:val="0"/>
                    <w:pageBreakBefore w:val="0"/>
                    <w:widowControl w:val="0"/>
                    <w:kinsoku/>
                    <w:wordWrap/>
                    <w:overflowPunct/>
                    <w:topLinePunct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周界外浓度最高点</w:t>
                  </w:r>
                </w:p>
              </w:tc>
              <w:tc>
                <w:tcPr>
                  <w:tcW w:w="706" w:type="pct"/>
                  <w:tcBorders>
                    <w:top w:val="single" w:color="auto" w:sz="4" w:space="0"/>
                    <w:left w:val="single" w:color="000000" w:sz="2" w:space="0"/>
                    <w:bottom w:val="single" w:color="auto" w:sz="4" w:space="0"/>
                    <w:right w:val="single" w:color="000000" w:sz="2" w:space="0"/>
                  </w:tcBorders>
                  <w:noWrap w:val="0"/>
                  <w:vAlign w:val="center"/>
                </w:tcPr>
                <w:p w14:paraId="5A80320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颗粒物</w:t>
                  </w:r>
                </w:p>
              </w:tc>
              <w:tc>
                <w:tcPr>
                  <w:tcW w:w="1554" w:type="pct"/>
                  <w:tcBorders>
                    <w:top w:val="single" w:color="auto" w:sz="4" w:space="0"/>
                    <w:left w:val="single" w:color="000000" w:sz="2" w:space="0"/>
                    <w:bottom w:val="single" w:color="auto" w:sz="4" w:space="0"/>
                    <w:right w:val="single" w:color="auto" w:sz="4" w:space="0"/>
                  </w:tcBorders>
                  <w:noWrap w:val="0"/>
                  <w:vAlign w:val="center"/>
                </w:tcPr>
                <w:p w14:paraId="40B73E6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hint="eastAsia" w:ascii="Times New Roman" w:hAnsi="Times New Roman"/>
                      <w:color w:val="auto"/>
                      <w:sz w:val="21"/>
                      <w:szCs w:val="21"/>
                      <w:lang w:bidi="ar"/>
                    </w:rPr>
                    <w:t>1.0</w:t>
                  </w:r>
                  <w:r>
                    <w:rPr>
                      <w:rFonts w:ascii="Times New Roman" w:hAnsi="Times New Roman"/>
                      <w:color w:val="auto"/>
                      <w:sz w:val="21"/>
                      <w:szCs w:val="21"/>
                      <w:lang w:bidi="ar"/>
                    </w:rPr>
                    <w:t>mg/m</w:t>
                  </w:r>
                  <w:r>
                    <w:rPr>
                      <w:rFonts w:ascii="Times New Roman" w:hAnsi="Times New Roman"/>
                      <w:color w:val="auto"/>
                      <w:sz w:val="21"/>
                      <w:szCs w:val="21"/>
                      <w:vertAlign w:val="superscript"/>
                      <w:lang w:bidi="ar"/>
                    </w:rPr>
                    <w:t>3</w:t>
                  </w:r>
                </w:p>
              </w:tc>
              <w:tc>
                <w:tcPr>
                  <w:tcW w:w="1484" w:type="pct"/>
                  <w:vMerge w:val="restart"/>
                  <w:tcBorders>
                    <w:top w:val="single" w:color="auto" w:sz="4" w:space="0"/>
                    <w:left w:val="single" w:color="auto" w:sz="4" w:space="0"/>
                    <w:right w:val="single" w:color="000000" w:sz="2" w:space="0"/>
                  </w:tcBorders>
                  <w:noWrap w:val="0"/>
                  <w:vAlign w:val="center"/>
                </w:tcPr>
                <w:p w14:paraId="587356F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《大气污染物综合排放标准》（GB16297-1996）</w:t>
                  </w:r>
                </w:p>
              </w:tc>
            </w:tr>
            <w:tr w14:paraId="007BB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1254" w:type="pct"/>
                  <w:vMerge w:val="continue"/>
                  <w:tcBorders>
                    <w:left w:val="single" w:color="000000" w:sz="2" w:space="0"/>
                    <w:bottom w:val="single" w:color="auto" w:sz="4" w:space="0"/>
                    <w:right w:val="single" w:color="000000" w:sz="2" w:space="0"/>
                  </w:tcBorders>
                  <w:noWrap w:val="0"/>
                  <w:vAlign w:val="center"/>
                </w:tcPr>
                <w:p w14:paraId="3221174A">
                  <w:pPr>
                    <w:keepNext w:val="0"/>
                    <w:keepLines w:val="0"/>
                    <w:pageBreakBefore w:val="0"/>
                    <w:widowControl w:val="0"/>
                    <w:kinsoku/>
                    <w:wordWrap/>
                    <w:overflowPunct/>
                    <w:topLinePunct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p>
              </w:tc>
              <w:tc>
                <w:tcPr>
                  <w:tcW w:w="706" w:type="pct"/>
                  <w:tcBorders>
                    <w:top w:val="single" w:color="auto" w:sz="4" w:space="0"/>
                    <w:left w:val="single" w:color="000000" w:sz="2" w:space="0"/>
                    <w:bottom w:val="single" w:color="auto" w:sz="4" w:space="0"/>
                    <w:right w:val="single" w:color="000000" w:sz="2" w:space="0"/>
                  </w:tcBorders>
                  <w:noWrap w:val="0"/>
                  <w:vAlign w:val="center"/>
                </w:tcPr>
                <w:p w14:paraId="350235E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bCs/>
                      <w:color w:val="auto"/>
                      <w:sz w:val="21"/>
                      <w:szCs w:val="21"/>
                      <w:lang w:bidi="ar"/>
                    </w:rPr>
                    <w:t>苯并[a]芘</w:t>
                  </w:r>
                </w:p>
              </w:tc>
              <w:tc>
                <w:tcPr>
                  <w:tcW w:w="1554" w:type="pct"/>
                  <w:tcBorders>
                    <w:top w:val="single" w:color="auto" w:sz="4" w:space="0"/>
                    <w:left w:val="single" w:color="000000" w:sz="2" w:space="0"/>
                    <w:bottom w:val="single" w:color="auto" w:sz="4" w:space="0"/>
                    <w:right w:val="single" w:color="auto" w:sz="4" w:space="0"/>
                  </w:tcBorders>
                  <w:noWrap w:val="0"/>
                  <w:vAlign w:val="center"/>
                </w:tcPr>
                <w:p w14:paraId="6757680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0.008ug/m</w:t>
                  </w:r>
                  <w:r>
                    <w:rPr>
                      <w:rFonts w:ascii="Times New Roman" w:hAnsi="Times New Roman"/>
                      <w:color w:val="auto"/>
                      <w:sz w:val="21"/>
                      <w:szCs w:val="21"/>
                      <w:vertAlign w:val="superscript"/>
                      <w:lang w:bidi="ar"/>
                    </w:rPr>
                    <w:t>3</w:t>
                  </w:r>
                </w:p>
              </w:tc>
              <w:tc>
                <w:tcPr>
                  <w:tcW w:w="1484" w:type="pct"/>
                  <w:vMerge w:val="continue"/>
                  <w:tcBorders>
                    <w:left w:val="single" w:color="auto" w:sz="4" w:space="0"/>
                    <w:right w:val="single" w:color="000000" w:sz="2" w:space="0"/>
                  </w:tcBorders>
                  <w:noWrap w:val="0"/>
                  <w:vAlign w:val="center"/>
                </w:tcPr>
                <w:p w14:paraId="3F33555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p>
              </w:tc>
            </w:tr>
            <w:tr w14:paraId="2134D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1254" w:type="pct"/>
                  <w:tcBorders>
                    <w:top w:val="single" w:color="auto" w:sz="4" w:space="0"/>
                    <w:left w:val="single" w:color="000000" w:sz="2" w:space="0"/>
                    <w:bottom w:val="single" w:color="auto" w:sz="4" w:space="0"/>
                    <w:right w:val="single" w:color="000000" w:sz="2" w:space="0"/>
                  </w:tcBorders>
                  <w:noWrap w:val="0"/>
                  <w:vAlign w:val="center"/>
                </w:tcPr>
                <w:p w14:paraId="56860E5E">
                  <w:pPr>
                    <w:keepNext w:val="0"/>
                    <w:keepLines w:val="0"/>
                    <w:pageBreakBefore w:val="0"/>
                    <w:widowControl w:val="0"/>
                    <w:kinsoku/>
                    <w:wordWrap/>
                    <w:overflowPunct/>
                    <w:topLinePunct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周界外浓度最高点</w:t>
                  </w:r>
                </w:p>
              </w:tc>
              <w:tc>
                <w:tcPr>
                  <w:tcW w:w="706" w:type="pct"/>
                  <w:tcBorders>
                    <w:top w:val="single" w:color="auto" w:sz="4" w:space="0"/>
                    <w:left w:val="single" w:color="000000" w:sz="2" w:space="0"/>
                    <w:bottom w:val="single" w:color="auto" w:sz="4" w:space="0"/>
                    <w:right w:val="single" w:color="000000" w:sz="2" w:space="0"/>
                  </w:tcBorders>
                  <w:noWrap w:val="0"/>
                  <w:vAlign w:val="center"/>
                </w:tcPr>
                <w:p w14:paraId="701BE6F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bCs/>
                      <w:color w:val="auto"/>
                      <w:sz w:val="21"/>
                      <w:szCs w:val="21"/>
                      <w:lang w:bidi="ar"/>
                    </w:rPr>
                  </w:pPr>
                  <w:r>
                    <w:rPr>
                      <w:rFonts w:ascii="Times New Roman" w:hAnsi="Times New Roman"/>
                      <w:bCs/>
                      <w:color w:val="auto"/>
                      <w:sz w:val="21"/>
                      <w:szCs w:val="21"/>
                      <w:lang w:bidi="ar"/>
                    </w:rPr>
                    <w:t>非甲烷总烃</w:t>
                  </w:r>
                </w:p>
              </w:tc>
              <w:tc>
                <w:tcPr>
                  <w:tcW w:w="1554" w:type="pct"/>
                  <w:tcBorders>
                    <w:top w:val="single" w:color="auto" w:sz="4" w:space="0"/>
                    <w:left w:val="single" w:color="000000" w:sz="2" w:space="0"/>
                    <w:bottom w:val="single" w:color="auto" w:sz="4" w:space="0"/>
                    <w:right w:val="single" w:color="auto" w:sz="4" w:space="0"/>
                  </w:tcBorders>
                  <w:noWrap w:val="0"/>
                  <w:vAlign w:val="center"/>
                </w:tcPr>
                <w:p w14:paraId="399B06B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4.0mg/m</w:t>
                  </w:r>
                  <w:r>
                    <w:rPr>
                      <w:rFonts w:ascii="Times New Roman" w:hAnsi="Times New Roman"/>
                      <w:color w:val="auto"/>
                      <w:sz w:val="21"/>
                      <w:szCs w:val="21"/>
                      <w:vertAlign w:val="superscript"/>
                      <w:lang w:bidi="ar"/>
                    </w:rPr>
                    <w:t>3</w:t>
                  </w:r>
                </w:p>
              </w:tc>
              <w:tc>
                <w:tcPr>
                  <w:tcW w:w="1484" w:type="pct"/>
                  <w:vMerge w:val="continue"/>
                  <w:tcBorders>
                    <w:left w:val="single" w:color="auto" w:sz="4" w:space="0"/>
                    <w:right w:val="single" w:color="000000" w:sz="2" w:space="0"/>
                  </w:tcBorders>
                  <w:noWrap w:val="0"/>
                  <w:vAlign w:val="center"/>
                </w:tcPr>
                <w:p w14:paraId="1C36274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p>
              </w:tc>
            </w:tr>
            <w:tr w14:paraId="299FE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1254" w:type="pct"/>
                  <w:tcBorders>
                    <w:top w:val="single" w:color="auto" w:sz="4" w:space="0"/>
                    <w:left w:val="single" w:color="000000" w:sz="2" w:space="0"/>
                    <w:bottom w:val="single" w:color="auto" w:sz="4" w:space="0"/>
                    <w:right w:val="single" w:color="000000" w:sz="2" w:space="0"/>
                  </w:tcBorders>
                  <w:noWrap w:val="0"/>
                  <w:vAlign w:val="center"/>
                </w:tcPr>
                <w:p w14:paraId="0912C412">
                  <w:pPr>
                    <w:keepNext w:val="0"/>
                    <w:keepLines w:val="0"/>
                    <w:pageBreakBefore w:val="0"/>
                    <w:widowControl w:val="0"/>
                    <w:kinsoku/>
                    <w:wordWrap/>
                    <w:overflowPunct/>
                    <w:topLinePunct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w:t>
                  </w:r>
                </w:p>
              </w:tc>
              <w:tc>
                <w:tcPr>
                  <w:tcW w:w="706" w:type="pct"/>
                  <w:tcBorders>
                    <w:top w:val="single" w:color="auto" w:sz="4" w:space="0"/>
                    <w:left w:val="single" w:color="000000" w:sz="2" w:space="0"/>
                    <w:bottom w:val="single" w:color="auto" w:sz="4" w:space="0"/>
                    <w:right w:val="single" w:color="000000" w:sz="2" w:space="0"/>
                  </w:tcBorders>
                  <w:noWrap w:val="0"/>
                  <w:vAlign w:val="center"/>
                </w:tcPr>
                <w:p w14:paraId="6D9660B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bCs/>
                      <w:color w:val="auto"/>
                      <w:sz w:val="21"/>
                      <w:szCs w:val="21"/>
                      <w:lang w:bidi="ar"/>
                    </w:rPr>
                    <w:t>沥青烟</w:t>
                  </w:r>
                </w:p>
              </w:tc>
              <w:tc>
                <w:tcPr>
                  <w:tcW w:w="1554" w:type="pct"/>
                  <w:tcBorders>
                    <w:top w:val="single" w:color="auto" w:sz="4" w:space="0"/>
                    <w:left w:val="single" w:color="000000" w:sz="2" w:space="0"/>
                    <w:bottom w:val="single" w:color="000000" w:sz="2" w:space="0"/>
                    <w:right w:val="single" w:color="auto" w:sz="4" w:space="0"/>
                  </w:tcBorders>
                  <w:noWrap w:val="0"/>
                  <w:vAlign w:val="center"/>
                </w:tcPr>
                <w:p w14:paraId="0A733D8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生产设备不得有明显的无组织排放</w:t>
                  </w:r>
                  <w:r>
                    <w:rPr>
                      <w:rFonts w:hint="eastAsia" w:ascii="Times New Roman" w:hAnsi="Times New Roman"/>
                      <w:color w:val="auto"/>
                      <w:sz w:val="21"/>
                      <w:szCs w:val="21"/>
                      <w:lang w:bidi="ar"/>
                    </w:rPr>
                    <w:t>存在</w:t>
                  </w:r>
                </w:p>
              </w:tc>
              <w:tc>
                <w:tcPr>
                  <w:tcW w:w="1484" w:type="pct"/>
                  <w:vMerge w:val="continue"/>
                  <w:tcBorders>
                    <w:left w:val="single" w:color="auto" w:sz="4" w:space="0"/>
                    <w:bottom w:val="single" w:color="000000" w:sz="2" w:space="0"/>
                    <w:right w:val="single" w:color="000000" w:sz="2" w:space="0"/>
                  </w:tcBorders>
                  <w:noWrap w:val="0"/>
                  <w:vAlign w:val="center"/>
                </w:tcPr>
                <w:p w14:paraId="4B47539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color w:val="auto"/>
                      <w:sz w:val="21"/>
                      <w:szCs w:val="21"/>
                      <w:lang w:bidi="ar"/>
                    </w:rPr>
                  </w:pPr>
                </w:p>
              </w:tc>
            </w:tr>
          </w:tbl>
          <w:p w14:paraId="6BE41774">
            <w:pPr>
              <w:pStyle w:val="60"/>
              <w:spacing w:before="0" w:beforeLines="0" w:after="0" w:afterLines="0" w:line="360" w:lineRule="auto"/>
              <w:ind w:firstLine="496" w:firstLineChars="200"/>
              <w:rPr>
                <w:rFonts w:hint="eastAsia" w:hAnsi="Times New Roman"/>
                <w:color w:val="auto"/>
              </w:rPr>
            </w:pPr>
            <w:r>
              <w:rPr>
                <w:rFonts w:hint="eastAsia"/>
                <w:color w:val="auto"/>
                <w:lang w:val="en-US" w:eastAsia="zh-CN"/>
              </w:rPr>
              <w:t>③</w:t>
            </w:r>
            <w:r>
              <w:rPr>
                <w:rFonts w:hint="eastAsia" w:hAnsi="Times New Roman"/>
                <w:color w:val="auto"/>
              </w:rPr>
              <w:t>项目臭气污染物执行</w:t>
            </w:r>
            <w:r>
              <w:rPr>
                <w:rFonts w:hint="eastAsia"/>
                <w:color w:val="auto"/>
              </w:rPr>
              <w:t>《恶臭污染物排放标准》（GB14554-93）中的二级标准。</w:t>
            </w:r>
          </w:p>
          <w:p w14:paraId="73030602">
            <w:pPr>
              <w:spacing w:line="240" w:lineRule="auto"/>
              <w:ind w:firstLine="422" w:firstLineChars="20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表</w:t>
            </w:r>
            <w:r>
              <w:rPr>
                <w:rFonts w:hint="eastAsia" w:ascii="Times New Roman" w:hAnsi="Times New Roman" w:eastAsia="宋体" w:cs="Times New Roman"/>
                <w:b/>
                <w:bCs/>
                <w:color w:val="auto"/>
                <w:kern w:val="0"/>
                <w:sz w:val="21"/>
                <w:szCs w:val="21"/>
                <w:lang w:val="en-US" w:eastAsia="zh-CN"/>
              </w:rPr>
              <w:t>3-1</w:t>
            </w:r>
            <w:r>
              <w:rPr>
                <w:rFonts w:hint="eastAsia" w:cs="Times New Roman"/>
                <w:b/>
                <w:bCs/>
                <w:color w:val="auto"/>
                <w:kern w:val="0"/>
                <w:sz w:val="21"/>
                <w:szCs w:val="21"/>
                <w:lang w:val="en-US" w:eastAsia="zh-CN"/>
              </w:rPr>
              <w:t>6</w:t>
            </w:r>
            <w:r>
              <w:rPr>
                <w:rFonts w:hint="eastAsia" w:ascii="Times New Roman" w:hAnsi="Times New Roman" w:eastAsia="宋体" w:cs="Times New Roman"/>
                <w:b/>
                <w:bCs/>
                <w:color w:val="auto"/>
                <w:kern w:val="0"/>
                <w:sz w:val="21"/>
                <w:szCs w:val="21"/>
              </w:rPr>
              <w:t xml:space="preserve"> 恶臭污染物厂界标准值（无组织）</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0"/>
              <w:gridCol w:w="2580"/>
              <w:gridCol w:w="2580"/>
            </w:tblGrid>
            <w:tr w14:paraId="68F2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580" w:type="dxa"/>
                  <w:noWrap w:val="0"/>
                  <w:vAlign w:val="top"/>
                </w:tcPr>
                <w:p w14:paraId="71DE9086">
                  <w:pPr>
                    <w:pStyle w:val="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580" w:type="dxa"/>
                  <w:noWrap w:val="0"/>
                  <w:vAlign w:val="top"/>
                </w:tcPr>
                <w:p w14:paraId="17DB05E4">
                  <w:pPr>
                    <w:pStyle w:val="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2580" w:type="dxa"/>
                  <w:noWrap w:val="0"/>
                  <w:vAlign w:val="top"/>
                </w:tcPr>
                <w:p w14:paraId="0AF0BF8B">
                  <w:pPr>
                    <w:pStyle w:val="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w:t>
                  </w:r>
                </w:p>
              </w:tc>
            </w:tr>
            <w:tr w14:paraId="7FFD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580" w:type="dxa"/>
                  <w:noWrap w:val="0"/>
                  <w:vAlign w:val="top"/>
                </w:tcPr>
                <w:p w14:paraId="3D552D86">
                  <w:pPr>
                    <w:pStyle w:val="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580" w:type="dxa"/>
                  <w:noWrap w:val="0"/>
                  <w:vAlign w:val="top"/>
                </w:tcPr>
                <w:p w14:paraId="7F3716E8">
                  <w:pPr>
                    <w:pStyle w:val="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臭气浓度（无量纲）</w:t>
                  </w:r>
                </w:p>
              </w:tc>
              <w:tc>
                <w:tcPr>
                  <w:tcW w:w="2580" w:type="dxa"/>
                  <w:noWrap w:val="0"/>
                  <w:vAlign w:val="top"/>
                </w:tcPr>
                <w:p w14:paraId="29783DBA">
                  <w:pPr>
                    <w:pStyle w:val="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bl>
          <w:p w14:paraId="2FB656E4">
            <w:pPr>
              <w:widowControl w:val="0"/>
              <w:numPr>
                <w:ilvl w:val="0"/>
                <w:numId w:val="0"/>
              </w:numPr>
              <w:spacing w:line="360" w:lineRule="auto"/>
              <w:ind w:leftChars="0" w:firstLine="482" w:firstLineChars="200"/>
              <w:jc w:val="both"/>
              <w:rPr>
                <w:rFonts w:hint="eastAsia"/>
                <w:b/>
                <w:bCs/>
                <w:color w:val="auto"/>
                <w:highlight w:val="none"/>
                <w:lang w:val="en-US" w:eastAsia="zh-CN"/>
              </w:rPr>
            </w:pPr>
            <w:r>
              <w:rPr>
                <w:rFonts w:hint="eastAsia"/>
                <w:b/>
                <w:bCs/>
                <w:color w:val="auto"/>
                <w:highlight w:val="none"/>
                <w:lang w:val="en-US" w:eastAsia="zh-CN"/>
              </w:rPr>
              <w:t>3、噪声</w:t>
            </w:r>
          </w:p>
          <w:p w14:paraId="5A70B12F">
            <w:pPr>
              <w:widowControl w:val="0"/>
              <w:numPr>
                <w:ilvl w:val="0"/>
                <w:numId w:val="0"/>
              </w:numPr>
              <w:spacing w:line="360" w:lineRule="auto"/>
              <w:ind w:firstLine="482" w:firstLineChars="200"/>
              <w:jc w:val="both"/>
              <w:rPr>
                <w:rFonts w:hint="default"/>
                <w:b/>
                <w:bCs/>
                <w:color w:val="auto"/>
                <w:highlight w:val="none"/>
                <w:lang w:val="en-US" w:eastAsia="zh-CN"/>
              </w:rPr>
            </w:pPr>
            <w:r>
              <w:rPr>
                <w:rFonts w:hint="eastAsia"/>
                <w:b/>
                <w:bCs/>
                <w:color w:val="auto"/>
                <w:highlight w:val="none"/>
                <w:lang w:val="en-US" w:eastAsia="zh-CN"/>
              </w:rPr>
              <w:t>（1）</w:t>
            </w:r>
            <w:r>
              <w:rPr>
                <w:rFonts w:hint="default"/>
                <w:b/>
                <w:bCs/>
                <w:color w:val="auto"/>
                <w:highlight w:val="none"/>
                <w:lang w:val="en-US" w:eastAsia="zh-CN"/>
              </w:rPr>
              <w:t>施工期</w:t>
            </w:r>
          </w:p>
          <w:p w14:paraId="7D5F208B">
            <w:pPr>
              <w:widowControl w:val="0"/>
              <w:numPr>
                <w:ilvl w:val="0"/>
                <w:numId w:val="0"/>
              </w:numPr>
              <w:spacing w:line="360" w:lineRule="auto"/>
              <w:ind w:firstLine="480" w:firstLineChars="200"/>
              <w:jc w:val="both"/>
              <w:rPr>
                <w:rFonts w:hint="default"/>
                <w:color w:val="auto"/>
                <w:highlight w:val="none"/>
                <w:lang w:val="en-US" w:eastAsia="zh-CN"/>
              </w:rPr>
            </w:pPr>
            <w:r>
              <w:rPr>
                <w:rFonts w:hint="default"/>
                <w:color w:val="auto"/>
                <w:highlight w:val="none"/>
                <w:lang w:val="en-US" w:eastAsia="zh-CN"/>
              </w:rPr>
              <w:t>施工噪声执行《建筑施工场界环境噪声排放标准》（GB12523-2011），噪声排放限值见下表。</w:t>
            </w:r>
          </w:p>
          <w:p w14:paraId="0ED2F7AD">
            <w:pPr>
              <w:numPr>
                <w:ilvl w:val="0"/>
                <w:numId w:val="0"/>
              </w:numPr>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表3-1</w:t>
            </w:r>
            <w:r>
              <w:rPr>
                <w:rFonts w:hint="eastAsia"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 xml:space="preserve"> 建筑施工场界环境噪声排放标准限值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4"/>
              <w:gridCol w:w="1901"/>
              <w:gridCol w:w="1759"/>
            </w:tblGrid>
            <w:tr w14:paraId="5DB0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92" w:type="dxa"/>
                  <w:noWrap w:val="0"/>
                  <w:vAlign w:val="center"/>
                </w:tcPr>
                <w:p w14:paraId="0FA51E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标准</w:t>
                  </w:r>
                </w:p>
              </w:tc>
              <w:tc>
                <w:tcPr>
                  <w:tcW w:w="1896" w:type="dxa"/>
                  <w:noWrap w:val="0"/>
                  <w:vAlign w:val="center"/>
                </w:tcPr>
                <w:p w14:paraId="1D3FB1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昼间</w:t>
                  </w:r>
                </w:p>
              </w:tc>
              <w:tc>
                <w:tcPr>
                  <w:tcW w:w="1754" w:type="dxa"/>
                  <w:noWrap w:val="0"/>
                  <w:vAlign w:val="center"/>
                </w:tcPr>
                <w:p w14:paraId="0EF1FE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夜间</w:t>
                  </w:r>
                </w:p>
              </w:tc>
            </w:tr>
            <w:tr w14:paraId="52BF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92" w:type="dxa"/>
                  <w:noWrap w:val="0"/>
                  <w:vAlign w:val="center"/>
                </w:tcPr>
                <w:p w14:paraId="1DBED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《建筑施工场界环境噪声排放标准》（GB12523-2011）中标准</w:t>
                  </w:r>
                </w:p>
              </w:tc>
              <w:tc>
                <w:tcPr>
                  <w:tcW w:w="1896" w:type="dxa"/>
                  <w:noWrap w:val="0"/>
                  <w:vAlign w:val="center"/>
                </w:tcPr>
                <w:p w14:paraId="01712D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70</w:t>
                  </w:r>
                </w:p>
              </w:tc>
              <w:tc>
                <w:tcPr>
                  <w:tcW w:w="1754" w:type="dxa"/>
                  <w:noWrap w:val="0"/>
                  <w:vAlign w:val="center"/>
                </w:tcPr>
                <w:p w14:paraId="00042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55</w:t>
                  </w:r>
                </w:p>
              </w:tc>
            </w:tr>
          </w:tbl>
          <w:p w14:paraId="6EA557F9">
            <w:pPr>
              <w:widowControl w:val="0"/>
              <w:numPr>
                <w:ilvl w:val="0"/>
                <w:numId w:val="0"/>
              </w:numPr>
              <w:spacing w:line="360" w:lineRule="auto"/>
              <w:ind w:firstLine="482" w:firstLineChars="200"/>
              <w:jc w:val="both"/>
              <w:rPr>
                <w:rFonts w:hint="default"/>
                <w:b/>
                <w:bCs/>
                <w:color w:val="auto"/>
                <w:highlight w:val="none"/>
                <w:lang w:val="en-US" w:eastAsia="zh-CN"/>
              </w:rPr>
            </w:pPr>
            <w:r>
              <w:rPr>
                <w:rFonts w:hint="eastAsia"/>
                <w:b/>
                <w:bCs/>
                <w:color w:val="auto"/>
                <w:highlight w:val="none"/>
                <w:lang w:val="en-US" w:eastAsia="zh-CN"/>
              </w:rPr>
              <w:t>（2）</w:t>
            </w:r>
            <w:r>
              <w:rPr>
                <w:rFonts w:hint="default"/>
                <w:b/>
                <w:bCs/>
                <w:color w:val="auto"/>
                <w:highlight w:val="none"/>
                <w:lang w:val="en-US" w:eastAsia="zh-CN"/>
              </w:rPr>
              <w:t>运营期</w:t>
            </w:r>
          </w:p>
          <w:p w14:paraId="1CDEC188">
            <w:pPr>
              <w:widowControl w:val="0"/>
              <w:numPr>
                <w:ilvl w:val="0"/>
                <w:numId w:val="0"/>
              </w:numPr>
              <w:spacing w:line="360" w:lineRule="auto"/>
              <w:ind w:firstLine="480" w:firstLineChars="200"/>
              <w:jc w:val="both"/>
              <w:rPr>
                <w:rFonts w:hint="default"/>
                <w:color w:val="auto"/>
                <w:highlight w:val="none"/>
                <w:lang w:val="en-US" w:eastAsia="zh-CN"/>
              </w:rPr>
            </w:pPr>
            <w:r>
              <w:rPr>
                <w:rFonts w:hint="default"/>
                <w:color w:val="auto"/>
                <w:highlight w:val="none"/>
                <w:lang w:val="en-US" w:eastAsia="zh-CN"/>
              </w:rPr>
              <w:t>项目区域声环境功能为</w:t>
            </w:r>
            <w:r>
              <w:rPr>
                <w:rFonts w:hint="eastAsia"/>
                <w:color w:val="auto"/>
                <w:highlight w:val="none"/>
                <w:lang w:val="en-US" w:eastAsia="zh-CN"/>
              </w:rPr>
              <w:t>3</w:t>
            </w:r>
            <w:r>
              <w:rPr>
                <w:rFonts w:hint="default"/>
                <w:color w:val="auto"/>
                <w:highlight w:val="none"/>
                <w:lang w:val="en-US" w:eastAsia="zh-CN"/>
              </w:rPr>
              <w:t>类区，项目厂界噪声执行《工业企业厂界环境噪声排放标准》（GB12348-2008）表1中</w:t>
            </w:r>
            <w:r>
              <w:rPr>
                <w:rFonts w:hint="eastAsia"/>
                <w:color w:val="auto"/>
                <w:highlight w:val="none"/>
                <w:lang w:val="en-US" w:eastAsia="zh-CN"/>
              </w:rPr>
              <w:t>3</w:t>
            </w:r>
            <w:r>
              <w:rPr>
                <w:rFonts w:hint="default"/>
                <w:color w:val="auto"/>
                <w:highlight w:val="none"/>
                <w:lang w:val="en-US" w:eastAsia="zh-CN"/>
              </w:rPr>
              <w:t>类标准，具体标准值详见</w:t>
            </w:r>
            <w:r>
              <w:rPr>
                <w:rFonts w:hint="eastAsia"/>
                <w:color w:val="auto"/>
                <w:highlight w:val="none"/>
                <w:lang w:val="en-US" w:eastAsia="zh-CN"/>
              </w:rPr>
              <w:t>下</w:t>
            </w:r>
            <w:r>
              <w:rPr>
                <w:rFonts w:hint="default"/>
                <w:color w:val="auto"/>
                <w:highlight w:val="none"/>
                <w:lang w:val="en-US" w:eastAsia="zh-CN"/>
              </w:rPr>
              <w:t>表。</w:t>
            </w:r>
          </w:p>
          <w:p w14:paraId="2B665D7F">
            <w:pPr>
              <w:numPr>
                <w:ilvl w:val="0"/>
                <w:numId w:val="0"/>
              </w:num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表3-1</w:t>
            </w:r>
            <w:r>
              <w:rPr>
                <w:rFonts w:hint="eastAsia" w:cs="Times New Roman"/>
                <w:b/>
                <w:bCs/>
                <w:color w:val="auto"/>
                <w:sz w:val="21"/>
                <w:szCs w:val="21"/>
                <w:highlight w:val="none"/>
                <w:lang w:val="en-US" w:eastAsia="zh-CN"/>
              </w:rPr>
              <w:t xml:space="preserve">8 </w:t>
            </w:r>
            <w:r>
              <w:rPr>
                <w:rFonts w:hint="eastAsia" w:ascii="Times New Roman" w:hAnsi="Times New Roman" w:eastAsia="宋体" w:cs="Times New Roman"/>
                <w:b/>
                <w:bCs/>
                <w:color w:val="auto"/>
                <w:sz w:val="21"/>
                <w:szCs w:val="21"/>
                <w:highlight w:val="none"/>
                <w:lang w:val="en-US" w:eastAsia="zh-CN"/>
              </w:rPr>
              <w:t>环境噪声排放限值  单位：dB（A）</w:t>
            </w:r>
          </w:p>
          <w:tbl>
            <w:tblPr>
              <w:tblStyle w:val="27"/>
              <w:tblW w:w="7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8"/>
              <w:gridCol w:w="1500"/>
              <w:gridCol w:w="1586"/>
            </w:tblGrid>
            <w:tr w14:paraId="6B67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38" w:type="dxa"/>
                  <w:noWrap w:val="0"/>
                  <w:vAlign w:val="center"/>
                </w:tcPr>
                <w:p w14:paraId="7DC529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标准</w:t>
                  </w:r>
                </w:p>
              </w:tc>
              <w:tc>
                <w:tcPr>
                  <w:tcW w:w="1500" w:type="dxa"/>
                  <w:noWrap w:val="0"/>
                  <w:vAlign w:val="center"/>
                </w:tcPr>
                <w:p w14:paraId="722BBD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昼间</w:t>
                  </w:r>
                </w:p>
              </w:tc>
              <w:tc>
                <w:tcPr>
                  <w:tcW w:w="1586" w:type="dxa"/>
                  <w:noWrap w:val="0"/>
                  <w:vAlign w:val="center"/>
                </w:tcPr>
                <w:p w14:paraId="64F425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夜间</w:t>
                  </w:r>
                </w:p>
              </w:tc>
            </w:tr>
            <w:tr w14:paraId="6330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38" w:type="dxa"/>
                  <w:noWrap w:val="0"/>
                  <w:vAlign w:val="center"/>
                </w:tcPr>
                <w:p w14:paraId="734D0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《工业企业厂界环境噪声排放标</w:t>
                  </w:r>
                  <w:r>
                    <w:rPr>
                      <w:rFonts w:hint="eastAsia"/>
                      <w:color w:val="auto"/>
                      <w:sz w:val="21"/>
                      <w:szCs w:val="21"/>
                      <w:highlight w:val="none"/>
                      <w:lang w:val="en-US" w:eastAsia="zh-CN"/>
                    </w:rPr>
                    <w:t>准</w:t>
                  </w:r>
                  <w:r>
                    <w:rPr>
                      <w:color w:val="auto"/>
                      <w:sz w:val="21"/>
                      <w:szCs w:val="21"/>
                      <w:highlight w:val="none"/>
                    </w:rPr>
                    <w:t>》（GB212348-2008）</w:t>
                  </w:r>
                  <w:r>
                    <w:rPr>
                      <w:rFonts w:hint="eastAsia"/>
                      <w:color w:val="auto"/>
                      <w:sz w:val="21"/>
                      <w:szCs w:val="21"/>
                      <w:highlight w:val="none"/>
                      <w:lang w:val="en-US" w:eastAsia="zh-CN"/>
                    </w:rPr>
                    <w:t>2</w:t>
                  </w:r>
                  <w:r>
                    <w:rPr>
                      <w:color w:val="auto"/>
                      <w:sz w:val="21"/>
                      <w:szCs w:val="21"/>
                      <w:highlight w:val="none"/>
                    </w:rPr>
                    <w:t>类标准</w:t>
                  </w:r>
                </w:p>
              </w:tc>
              <w:tc>
                <w:tcPr>
                  <w:tcW w:w="1500" w:type="dxa"/>
                  <w:noWrap w:val="0"/>
                  <w:vAlign w:val="center"/>
                </w:tcPr>
                <w:p w14:paraId="2C3401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65</w:t>
                  </w:r>
                </w:p>
              </w:tc>
              <w:tc>
                <w:tcPr>
                  <w:tcW w:w="1586" w:type="dxa"/>
                  <w:noWrap w:val="0"/>
                  <w:vAlign w:val="center"/>
                </w:tcPr>
                <w:p w14:paraId="41BE91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r>
          </w:tbl>
          <w:p w14:paraId="7146C60D">
            <w:pPr>
              <w:widowControl w:val="0"/>
              <w:numPr>
                <w:ilvl w:val="0"/>
                <w:numId w:val="0"/>
              </w:numPr>
              <w:spacing w:line="360" w:lineRule="auto"/>
              <w:ind w:leftChars="0" w:firstLine="482" w:firstLineChars="200"/>
              <w:jc w:val="both"/>
              <w:rPr>
                <w:rFonts w:hint="eastAsia"/>
                <w:b/>
                <w:bCs/>
                <w:color w:val="auto"/>
                <w:highlight w:val="none"/>
                <w:lang w:val="en-US" w:eastAsia="zh-CN"/>
              </w:rPr>
            </w:pPr>
            <w:r>
              <w:rPr>
                <w:rFonts w:hint="eastAsia"/>
                <w:b/>
                <w:bCs/>
                <w:color w:val="auto"/>
                <w:highlight w:val="none"/>
                <w:lang w:val="en-US" w:eastAsia="zh-CN"/>
              </w:rPr>
              <w:t>4、固体废物</w:t>
            </w:r>
          </w:p>
          <w:p w14:paraId="4B20D3AA">
            <w:pPr>
              <w:widowControl w:val="0"/>
              <w:numPr>
                <w:ilvl w:val="0"/>
                <w:numId w:val="0"/>
              </w:numPr>
              <w:spacing w:line="360" w:lineRule="auto"/>
              <w:ind w:firstLine="480" w:firstLineChars="200"/>
              <w:jc w:val="both"/>
              <w:rPr>
                <w:rFonts w:hint="eastAsia"/>
                <w:color w:val="auto"/>
                <w:highlight w:val="none"/>
                <w:lang w:val="en-US" w:eastAsia="zh-CN"/>
              </w:rPr>
            </w:pPr>
            <w:r>
              <w:rPr>
                <w:rFonts w:hint="default"/>
                <w:color w:val="auto"/>
                <w:highlight w:val="none"/>
                <w:lang w:val="en-US" w:eastAsia="zh-CN"/>
              </w:rPr>
              <w:t>项目产生的一般固体废物贮存、处置过程执行《一般工业固体废物贮存和填埋污染控制标准》（GB18599-2020）相关规定</w:t>
            </w:r>
            <w:r>
              <w:rPr>
                <w:rFonts w:hint="eastAsia"/>
                <w:color w:val="auto"/>
                <w:highlight w:val="none"/>
                <w:lang w:val="en-US" w:eastAsia="zh-CN"/>
              </w:rPr>
              <w:t>；</w:t>
            </w:r>
          </w:p>
          <w:p w14:paraId="588064D3">
            <w:pPr>
              <w:widowControl w:val="0"/>
              <w:numPr>
                <w:ilvl w:val="0"/>
                <w:numId w:val="0"/>
              </w:numPr>
              <w:spacing w:line="360" w:lineRule="auto"/>
              <w:ind w:firstLine="480" w:firstLineChars="200"/>
              <w:jc w:val="both"/>
              <w:rPr>
                <w:rFonts w:hint="default"/>
                <w:color w:val="auto"/>
                <w:highlight w:val="none"/>
                <w:lang w:val="en-US" w:eastAsia="zh-CN"/>
              </w:rPr>
            </w:pPr>
            <w:r>
              <w:rPr>
                <w:rFonts w:hint="default"/>
                <w:color w:val="auto"/>
                <w:highlight w:val="none"/>
                <w:lang w:val="en-US" w:eastAsia="zh-CN"/>
              </w:rPr>
              <w:t>项目产生的</w:t>
            </w:r>
            <w:r>
              <w:rPr>
                <w:rFonts w:hint="eastAsia"/>
                <w:color w:val="auto"/>
                <w:highlight w:val="none"/>
                <w:lang w:val="en-US" w:eastAsia="zh-CN"/>
              </w:rPr>
              <w:t>危险废物贮存、处置过程执行《危险废物贮存污染控制标准》（GB18597-2023）、《危险废物污染防治技术政策》和《危险废物转移联单管理办法》中的有关规定。</w:t>
            </w:r>
          </w:p>
        </w:tc>
      </w:tr>
      <w:tr w14:paraId="5F5AA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32" w:type="dxa"/>
            <w:vAlign w:val="center"/>
          </w:tcPr>
          <w:p w14:paraId="0289495E">
            <w:pPr>
              <w:ind w:firstLine="0" w:firstLineChars="0"/>
              <w:rPr>
                <w:color w:val="auto"/>
                <w:highlight w:val="none"/>
              </w:rPr>
            </w:pPr>
            <w:r>
              <w:rPr>
                <w:rFonts w:hint="eastAsia"/>
                <w:color w:val="auto"/>
                <w:highlight w:val="none"/>
              </w:rPr>
              <w:t>总量控制指标</w:t>
            </w:r>
          </w:p>
        </w:tc>
        <w:tc>
          <w:tcPr>
            <w:tcW w:w="8090" w:type="dxa"/>
            <w:vAlign w:val="center"/>
          </w:tcPr>
          <w:p w14:paraId="2FDB9C8A">
            <w:pPr>
              <w:ind w:left="0" w:leftChars="0" w:firstLine="480" w:firstLineChars="200"/>
              <w:jc w:val="both"/>
              <w:rPr>
                <w:rFonts w:hint="eastAsia"/>
                <w:b w:val="0"/>
                <w:bCs w:val="0"/>
                <w:color w:val="auto"/>
                <w:highlight w:val="none"/>
                <w:lang w:val="en-US" w:eastAsia="zh-CN"/>
              </w:rPr>
            </w:pPr>
            <w:r>
              <w:rPr>
                <w:rFonts w:hint="eastAsia"/>
                <w:b w:val="0"/>
                <w:bCs w:val="0"/>
                <w:color w:val="auto"/>
                <w:highlight w:val="none"/>
                <w:lang w:val="en-US" w:eastAsia="zh-CN"/>
              </w:rPr>
              <w:t>根据本项目的具体情况，结合国家污染物排放总量控制原则，提出污染物总量控制指标如下：</w:t>
            </w:r>
          </w:p>
          <w:p w14:paraId="7301039E">
            <w:pPr>
              <w:ind w:left="0" w:leftChars="0" w:firstLine="482" w:firstLineChars="200"/>
              <w:jc w:val="both"/>
              <w:rPr>
                <w:rFonts w:hint="eastAsia"/>
                <w:b/>
                <w:bCs/>
                <w:color w:val="auto"/>
                <w:highlight w:val="none"/>
                <w:lang w:val="en-US" w:eastAsia="zh-CN"/>
              </w:rPr>
            </w:pPr>
            <w:r>
              <w:rPr>
                <w:rFonts w:hint="eastAsia"/>
                <w:b/>
                <w:bCs/>
                <w:color w:val="auto"/>
                <w:highlight w:val="none"/>
                <w:lang w:val="en-US" w:eastAsia="zh-CN"/>
              </w:rPr>
              <w:t>1、废气</w:t>
            </w:r>
          </w:p>
          <w:p w14:paraId="3D4ADA59">
            <w:pPr>
              <w:snapToGrid w:val="0"/>
              <w:spacing w:line="360" w:lineRule="auto"/>
              <w:ind w:firstLine="480" w:firstLineChars="200"/>
              <w:rPr>
                <w:rFonts w:hAnsi="宋体"/>
                <w:color w:val="C00000"/>
                <w:sz w:val="24"/>
              </w:rPr>
            </w:pPr>
            <w:r>
              <w:rPr>
                <w:rFonts w:ascii="Times New Roman" w:hAnsi="Times New Roman"/>
                <w:color w:val="auto"/>
                <w:kern w:val="0"/>
                <w:szCs w:val="21"/>
              </w:rPr>
              <w:t>根据大气专项分析，</w:t>
            </w:r>
            <w:r>
              <w:rPr>
                <w:rFonts w:hint="eastAsia" w:hAnsi="宋体"/>
                <w:color w:val="auto"/>
                <w:sz w:val="24"/>
                <w:szCs w:val="24"/>
              </w:rPr>
              <w:t>项目建议运营期废气排放总量控制指标为</w:t>
            </w:r>
            <w:r>
              <w:rPr>
                <w:rFonts w:hint="eastAsia" w:hAnsi="宋体"/>
                <w:color w:val="auto"/>
                <w:sz w:val="24"/>
                <w:szCs w:val="24"/>
                <w:lang w:val="en-US" w:eastAsia="zh-CN"/>
              </w:rPr>
              <w:t>有组织</w:t>
            </w:r>
            <w:r>
              <w:rPr>
                <w:rFonts w:hint="eastAsia" w:hAnsi="宋体"/>
                <w:color w:val="auto"/>
                <w:sz w:val="24"/>
                <w:szCs w:val="24"/>
              </w:rPr>
              <w:t>废气：</w:t>
            </w:r>
            <w:r>
              <w:rPr>
                <w:rFonts w:ascii="Times New Roman" w:hAnsi="Times New Roman" w:eastAsia="宋体" w:cs="Times New Roman"/>
                <w:color w:val="auto"/>
                <w:kern w:val="0"/>
                <w:sz w:val="24"/>
                <w:szCs w:val="24"/>
              </w:rPr>
              <w:t>SO</w:t>
            </w:r>
            <w:r>
              <w:rPr>
                <w:rFonts w:ascii="Times New Roman" w:hAnsi="Times New Roman" w:eastAsia="宋体" w:cs="Times New Roman"/>
                <w:color w:val="auto"/>
                <w:kern w:val="0"/>
                <w:sz w:val="24"/>
                <w:szCs w:val="24"/>
                <w:vertAlign w:val="subscript"/>
              </w:rPr>
              <w:t>2</w:t>
            </w:r>
            <w:r>
              <w:rPr>
                <w:rFonts w:hint="eastAsia" w:ascii="Times New Roman" w:hAnsi="Times New Roman" w:eastAsia="宋体" w:cs="Times New Roman"/>
                <w:color w:val="auto"/>
                <w:kern w:val="0"/>
                <w:sz w:val="24"/>
                <w:szCs w:val="24"/>
              </w:rPr>
              <w:t xml:space="preserve"> </w:t>
            </w:r>
            <w:r>
              <w:rPr>
                <w:rFonts w:hint="eastAsia" w:ascii="Times New Roman" w:hAnsi="Times New Roman" w:eastAsia="宋体" w:cs="Times New Roman"/>
                <w:color w:val="auto"/>
                <w:kern w:val="0"/>
                <w:sz w:val="24"/>
                <w:szCs w:val="24"/>
                <w:lang w:val="en-US" w:eastAsia="zh-CN"/>
              </w:rPr>
              <w:t>0.0833</w:t>
            </w:r>
            <w:r>
              <w:rPr>
                <w:rFonts w:hint="eastAsia" w:ascii="Times New Roman" w:hAnsi="Times New Roman" w:eastAsia="宋体" w:cs="Times New Roman"/>
                <w:color w:val="auto"/>
                <w:kern w:val="0"/>
                <w:sz w:val="24"/>
                <w:szCs w:val="24"/>
              </w:rPr>
              <w:t>t/a，</w:t>
            </w:r>
            <w:r>
              <w:rPr>
                <w:rFonts w:ascii="Times New Roman" w:hAnsi="Times New Roman" w:eastAsia="宋体" w:cs="Times New Roman"/>
                <w:color w:val="auto"/>
                <w:kern w:val="0"/>
                <w:sz w:val="24"/>
                <w:szCs w:val="24"/>
              </w:rPr>
              <w:t>NO</w:t>
            </w:r>
            <w:r>
              <w:rPr>
                <w:rFonts w:ascii="Times New Roman" w:hAnsi="Times New Roman" w:eastAsia="宋体" w:cs="Times New Roman"/>
                <w:color w:val="auto"/>
                <w:kern w:val="0"/>
                <w:sz w:val="24"/>
                <w:szCs w:val="24"/>
                <w:vertAlign w:val="subscript"/>
              </w:rPr>
              <w:t>X</w:t>
            </w:r>
            <w:r>
              <w:rPr>
                <w:rFonts w:hint="eastAsia" w:ascii="Times New Roman" w:hAnsi="Times New Roman" w:eastAsia="宋体" w:cs="Times New Roman"/>
                <w:color w:val="auto"/>
                <w:kern w:val="0"/>
                <w:sz w:val="24"/>
                <w:szCs w:val="24"/>
              </w:rPr>
              <w:t xml:space="preserve"> </w:t>
            </w:r>
            <w:r>
              <w:rPr>
                <w:rFonts w:hint="eastAsia" w:ascii="Times New Roman" w:hAnsi="Times New Roman" w:eastAsia="宋体" w:cs="Times New Roman"/>
                <w:color w:val="auto"/>
                <w:kern w:val="0"/>
                <w:sz w:val="24"/>
                <w:szCs w:val="24"/>
                <w:lang w:val="en-US" w:eastAsia="zh-CN"/>
              </w:rPr>
              <w:t>2.6668</w:t>
            </w:r>
            <w:r>
              <w:rPr>
                <w:rFonts w:hint="eastAsia" w:ascii="Times New Roman" w:hAnsi="Times New Roman" w:eastAsia="宋体" w:cs="Times New Roman"/>
                <w:color w:val="auto"/>
                <w:kern w:val="0"/>
                <w:sz w:val="24"/>
                <w:szCs w:val="24"/>
              </w:rPr>
              <w:t>t/a，</w:t>
            </w:r>
            <w:r>
              <w:rPr>
                <w:rFonts w:ascii="Times New Roman" w:hAnsi="Times New Roman" w:eastAsia="宋体" w:cs="Times New Roman"/>
                <w:color w:val="auto"/>
                <w:kern w:val="0"/>
                <w:sz w:val="24"/>
                <w:szCs w:val="24"/>
              </w:rPr>
              <w:t>颗粒物</w:t>
            </w:r>
            <w:r>
              <w:rPr>
                <w:rFonts w:hint="eastAsia"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3.3851</w:t>
            </w:r>
            <w:r>
              <w:rPr>
                <w:rFonts w:hint="eastAsia" w:ascii="Times New Roman" w:hAnsi="Times New Roman" w:eastAsia="宋体" w:cs="Times New Roman"/>
                <w:color w:val="auto"/>
                <w:kern w:val="0"/>
                <w:sz w:val="24"/>
                <w:szCs w:val="24"/>
              </w:rPr>
              <w:t>t/a，</w:t>
            </w:r>
            <w:r>
              <w:rPr>
                <w:rFonts w:ascii="Times New Roman" w:hAnsi="Times New Roman" w:eastAsia="宋体" w:cs="Times New Roman"/>
                <w:color w:val="auto"/>
                <w:kern w:val="0"/>
                <w:sz w:val="24"/>
                <w:szCs w:val="24"/>
              </w:rPr>
              <w:t>苯并[a]芘</w:t>
            </w:r>
            <w:r>
              <w:rPr>
                <w:rFonts w:hint="eastAsia" w:cs="Times New Roman"/>
                <w:color w:val="auto"/>
                <w:kern w:val="0"/>
                <w:sz w:val="24"/>
                <w:szCs w:val="24"/>
                <w:lang w:val="en-US" w:eastAsia="zh-CN"/>
              </w:rPr>
              <w:t>5.1</w:t>
            </w:r>
            <w:r>
              <w:rPr>
                <w:rFonts w:hint="default" w:ascii="Times New Roman" w:hAnsi="Times New Roman" w:eastAsia="宋体" w:cs="Times New Roman"/>
                <w:color w:val="auto"/>
                <w:kern w:val="0"/>
                <w:sz w:val="24"/>
                <w:szCs w:val="24"/>
              </w:rPr>
              <w:t>×10</w:t>
            </w:r>
            <w:r>
              <w:rPr>
                <w:rFonts w:hint="default" w:ascii="Times New Roman" w:hAnsi="Times New Roman" w:eastAsia="宋体" w:cs="Times New Roman"/>
                <w:color w:val="auto"/>
                <w:kern w:val="0"/>
                <w:sz w:val="24"/>
                <w:szCs w:val="24"/>
                <w:vertAlign w:val="superscript"/>
              </w:rPr>
              <w:t>-</w:t>
            </w:r>
            <w:r>
              <w:rPr>
                <w:rFonts w:hint="eastAsia" w:ascii="Times New Roman" w:hAnsi="Times New Roman" w:eastAsia="宋体" w:cs="Times New Roman"/>
                <w:color w:val="auto"/>
                <w:kern w:val="0"/>
                <w:sz w:val="24"/>
                <w:szCs w:val="24"/>
                <w:vertAlign w:val="superscript"/>
                <w:lang w:val="en-US" w:eastAsia="zh-CN"/>
              </w:rPr>
              <w:t>5</w:t>
            </w:r>
            <w:r>
              <w:rPr>
                <w:rFonts w:hint="eastAsia" w:ascii="Times New Roman" w:hAnsi="Times New Roman" w:eastAsia="宋体" w:cs="Times New Roman"/>
                <w:color w:val="auto"/>
                <w:kern w:val="0"/>
                <w:sz w:val="24"/>
                <w:szCs w:val="24"/>
              </w:rPr>
              <w:t>t/a</w:t>
            </w:r>
            <w:r>
              <w:rPr>
                <w:rFonts w:hint="eastAsia" w:cs="Times New Roman"/>
                <w:color w:val="auto"/>
                <w:kern w:val="0"/>
                <w:sz w:val="24"/>
                <w:szCs w:val="24"/>
                <w:lang w:eastAsia="zh-CN"/>
              </w:rPr>
              <w:t>，</w:t>
            </w:r>
            <w:r>
              <w:rPr>
                <w:rFonts w:hint="eastAsia" w:cs="Times New Roman"/>
                <w:color w:val="auto"/>
                <w:kern w:val="0"/>
                <w:sz w:val="24"/>
                <w:szCs w:val="24"/>
                <w:lang w:val="en-US" w:eastAsia="zh-CN"/>
              </w:rPr>
              <w:t>沥青烟</w:t>
            </w:r>
            <w:r>
              <w:rPr>
                <w:rFonts w:hint="default" w:ascii="Times New Roman" w:hAnsi="Times New Roman" w:cs="Times New Roman"/>
                <w:color w:val="auto"/>
                <w:kern w:val="0"/>
                <w:sz w:val="24"/>
                <w:szCs w:val="24"/>
              </w:rPr>
              <w:t>0.0</w:t>
            </w:r>
            <w:r>
              <w:rPr>
                <w:rFonts w:hint="eastAsia" w:cs="Times New Roman"/>
                <w:color w:val="auto"/>
                <w:kern w:val="0"/>
                <w:sz w:val="24"/>
                <w:szCs w:val="24"/>
                <w:lang w:val="en-US" w:eastAsia="zh-CN"/>
              </w:rPr>
              <w:t>23</w:t>
            </w:r>
            <w:r>
              <w:rPr>
                <w:rFonts w:hint="eastAsia" w:ascii="Times New Roman" w:hAnsi="Times New Roman" w:eastAsia="宋体" w:cs="Times New Roman"/>
                <w:color w:val="auto"/>
                <w:kern w:val="0"/>
                <w:sz w:val="24"/>
                <w:szCs w:val="24"/>
              </w:rPr>
              <w:t>t/a。</w:t>
            </w:r>
            <w:r>
              <w:rPr>
                <w:rFonts w:hint="eastAsia" w:hAnsi="宋体"/>
                <w:color w:val="auto"/>
                <w:sz w:val="24"/>
                <w:szCs w:val="24"/>
                <w:lang w:val="en-US" w:eastAsia="zh-CN"/>
              </w:rPr>
              <w:t>无组织</w:t>
            </w:r>
            <w:r>
              <w:rPr>
                <w:rFonts w:hint="eastAsia" w:hAnsi="宋体"/>
                <w:color w:val="auto"/>
                <w:sz w:val="24"/>
                <w:szCs w:val="24"/>
              </w:rPr>
              <w:t>废气：</w:t>
            </w:r>
            <w:r>
              <w:rPr>
                <w:rFonts w:ascii="Times New Roman" w:hAnsi="Times New Roman" w:eastAsia="宋体" w:cs="Times New Roman"/>
                <w:color w:val="auto"/>
                <w:kern w:val="0"/>
                <w:sz w:val="24"/>
                <w:szCs w:val="24"/>
              </w:rPr>
              <w:t>颗粒物</w:t>
            </w:r>
            <w:r>
              <w:rPr>
                <w:rFonts w:hint="eastAsia" w:ascii="Times New Roman" w:hAnsi="Times New Roman" w:eastAsia="宋体" w:cs="Times New Roman"/>
                <w:color w:val="auto"/>
                <w:kern w:val="0"/>
                <w:sz w:val="24"/>
                <w:szCs w:val="24"/>
              </w:rPr>
              <w:t>：0.</w:t>
            </w:r>
            <w:r>
              <w:rPr>
                <w:rFonts w:hint="eastAsia" w:cs="Times New Roman"/>
                <w:color w:val="auto"/>
                <w:kern w:val="0"/>
                <w:sz w:val="24"/>
                <w:szCs w:val="24"/>
                <w:lang w:val="en-US" w:eastAsia="zh-CN"/>
              </w:rPr>
              <w:t>432</w:t>
            </w:r>
            <w:r>
              <w:rPr>
                <w:rFonts w:hint="eastAsia" w:ascii="Times New Roman" w:hAnsi="Times New Roman" w:eastAsia="宋体" w:cs="Times New Roman"/>
                <w:color w:val="auto"/>
                <w:kern w:val="0"/>
                <w:sz w:val="24"/>
                <w:szCs w:val="24"/>
              </w:rPr>
              <w:t>t/a，</w:t>
            </w:r>
            <w:r>
              <w:rPr>
                <w:rFonts w:ascii="Times New Roman" w:hAnsi="Times New Roman" w:eastAsia="宋体" w:cs="Times New Roman"/>
                <w:color w:val="auto"/>
                <w:kern w:val="0"/>
                <w:sz w:val="24"/>
                <w:szCs w:val="24"/>
              </w:rPr>
              <w:t>苯并[a]芘</w:t>
            </w:r>
            <w:r>
              <w:rPr>
                <w:rFonts w:hint="eastAsia" w:cs="Times New Roman"/>
                <w:color w:val="auto"/>
                <w:kern w:val="0"/>
                <w:sz w:val="24"/>
                <w:szCs w:val="24"/>
                <w:lang w:val="en-US" w:eastAsia="zh-CN"/>
              </w:rPr>
              <w:t>1.29</w:t>
            </w:r>
            <w:r>
              <w:rPr>
                <w:rFonts w:hint="default" w:ascii="Times New Roman" w:hAnsi="Times New Roman" w:eastAsia="宋体" w:cs="Times New Roman"/>
                <w:color w:val="auto"/>
                <w:kern w:val="0"/>
                <w:sz w:val="24"/>
                <w:szCs w:val="24"/>
              </w:rPr>
              <w:t>×10</w:t>
            </w:r>
            <w:r>
              <w:rPr>
                <w:rFonts w:hint="default" w:ascii="Times New Roman" w:hAnsi="Times New Roman" w:eastAsia="宋体" w:cs="Times New Roman"/>
                <w:color w:val="auto"/>
                <w:kern w:val="0"/>
                <w:sz w:val="24"/>
                <w:szCs w:val="24"/>
                <w:vertAlign w:val="superscript"/>
              </w:rPr>
              <w:t>-</w:t>
            </w:r>
            <w:r>
              <w:rPr>
                <w:rFonts w:hint="eastAsia" w:cs="Times New Roman"/>
                <w:color w:val="auto"/>
                <w:kern w:val="0"/>
                <w:sz w:val="24"/>
                <w:szCs w:val="24"/>
                <w:vertAlign w:val="superscript"/>
                <w:lang w:val="en-US" w:eastAsia="zh-CN"/>
              </w:rPr>
              <w:t>5</w:t>
            </w:r>
            <w:r>
              <w:rPr>
                <w:rFonts w:hint="eastAsia" w:ascii="Times New Roman" w:hAnsi="Times New Roman" w:eastAsia="宋体" w:cs="Times New Roman"/>
                <w:color w:val="auto"/>
                <w:kern w:val="0"/>
                <w:sz w:val="24"/>
                <w:szCs w:val="24"/>
              </w:rPr>
              <w:t>t/a</w:t>
            </w:r>
            <w:r>
              <w:rPr>
                <w:rFonts w:hint="eastAsia" w:cs="Times New Roman"/>
                <w:color w:val="auto"/>
                <w:kern w:val="0"/>
                <w:sz w:val="24"/>
                <w:szCs w:val="24"/>
                <w:lang w:eastAsia="zh-CN"/>
              </w:rPr>
              <w:t>，</w:t>
            </w:r>
            <w:r>
              <w:rPr>
                <w:rFonts w:hint="eastAsia" w:cs="Times New Roman"/>
                <w:color w:val="auto"/>
                <w:kern w:val="0"/>
                <w:sz w:val="24"/>
                <w:szCs w:val="24"/>
                <w:lang w:val="en-US" w:eastAsia="zh-CN"/>
              </w:rPr>
              <w:t>沥青烟</w:t>
            </w:r>
            <w:r>
              <w:rPr>
                <w:rFonts w:hint="default" w:ascii="Times New Roman" w:hAnsi="Times New Roman" w:cs="Times New Roman"/>
                <w:color w:val="auto"/>
                <w:kern w:val="0"/>
                <w:sz w:val="24"/>
                <w:szCs w:val="24"/>
              </w:rPr>
              <w:t>0.0</w:t>
            </w:r>
            <w:r>
              <w:rPr>
                <w:rFonts w:hint="eastAsia" w:cs="Times New Roman"/>
                <w:color w:val="auto"/>
                <w:kern w:val="0"/>
                <w:sz w:val="24"/>
                <w:szCs w:val="24"/>
                <w:lang w:val="en-US" w:eastAsia="zh-CN"/>
              </w:rPr>
              <w:t>116</w:t>
            </w:r>
            <w:r>
              <w:rPr>
                <w:rFonts w:hint="eastAsia" w:ascii="Times New Roman" w:hAnsi="Times New Roman" w:eastAsia="宋体" w:cs="Times New Roman"/>
                <w:color w:val="auto"/>
                <w:kern w:val="0"/>
                <w:sz w:val="24"/>
                <w:szCs w:val="24"/>
              </w:rPr>
              <w:t>t/a</w:t>
            </w:r>
            <w:r>
              <w:rPr>
                <w:rFonts w:hint="eastAsia" w:cs="Times New Roman"/>
                <w:color w:val="auto"/>
                <w:kern w:val="0"/>
                <w:sz w:val="24"/>
                <w:szCs w:val="24"/>
                <w:lang w:eastAsia="zh-CN"/>
              </w:rPr>
              <w:t>，</w:t>
            </w:r>
            <w:r>
              <w:rPr>
                <w:rFonts w:hint="eastAsia" w:cs="Times New Roman"/>
                <w:color w:val="auto"/>
                <w:kern w:val="0"/>
                <w:sz w:val="24"/>
                <w:szCs w:val="24"/>
                <w:lang w:val="en-US" w:eastAsia="zh-CN"/>
              </w:rPr>
              <w:t>非甲烷总烃0.132</w:t>
            </w:r>
            <w:r>
              <w:rPr>
                <w:rFonts w:hint="eastAsia" w:ascii="Times New Roman" w:hAnsi="Times New Roman" w:eastAsia="宋体" w:cs="Times New Roman"/>
                <w:color w:val="auto"/>
                <w:kern w:val="0"/>
                <w:sz w:val="24"/>
                <w:szCs w:val="24"/>
              </w:rPr>
              <w:t>t/a。</w:t>
            </w:r>
          </w:p>
          <w:p w14:paraId="031149DB">
            <w:pPr>
              <w:ind w:left="0" w:leftChars="0" w:firstLine="482" w:firstLineChars="200"/>
              <w:jc w:val="both"/>
              <w:rPr>
                <w:rFonts w:hint="eastAsia"/>
                <w:b/>
                <w:bCs/>
                <w:color w:val="auto"/>
                <w:highlight w:val="none"/>
                <w:lang w:val="en-US" w:eastAsia="zh-CN"/>
              </w:rPr>
            </w:pPr>
            <w:r>
              <w:rPr>
                <w:rFonts w:hint="eastAsia"/>
                <w:b/>
                <w:bCs/>
                <w:color w:val="auto"/>
                <w:highlight w:val="none"/>
                <w:lang w:val="en-US" w:eastAsia="zh-CN"/>
              </w:rPr>
              <w:t>2、废水</w:t>
            </w:r>
          </w:p>
          <w:p w14:paraId="60EA2EDC">
            <w:pPr>
              <w:numPr>
                <w:ilvl w:val="0"/>
                <w:numId w:val="0"/>
              </w:numPr>
              <w:ind w:firstLine="480" w:firstLineChars="200"/>
              <w:rPr>
                <w:rFonts w:hint="eastAsia" w:cs="Times New Roman"/>
                <w:color w:val="auto"/>
                <w:sz w:val="24"/>
                <w:szCs w:val="24"/>
                <w:lang w:eastAsia="zh-CN"/>
              </w:rPr>
            </w:pPr>
            <w:r>
              <w:rPr>
                <w:rFonts w:hint="eastAsia" w:cs="Times New Roman"/>
                <w:color w:val="auto"/>
                <w:sz w:val="24"/>
                <w:szCs w:val="24"/>
                <w:lang w:val="en-US" w:eastAsia="zh-CN"/>
              </w:rPr>
              <w:t>项目产生的</w:t>
            </w:r>
            <w:r>
              <w:rPr>
                <w:rFonts w:hint="default" w:ascii="Times New Roman" w:hAnsi="Times New Roman" w:cs="Times New Roman"/>
                <w:color w:val="auto"/>
                <w:sz w:val="24"/>
                <w:szCs w:val="24"/>
              </w:rPr>
              <w:t>初期雨水</w:t>
            </w:r>
            <w:r>
              <w:rPr>
                <w:rFonts w:hint="eastAsia" w:cs="Times New Roman"/>
                <w:color w:val="auto"/>
                <w:sz w:val="24"/>
                <w:szCs w:val="24"/>
                <w:lang w:eastAsia="zh-CN"/>
              </w:rPr>
              <w:t>、</w:t>
            </w:r>
            <w:r>
              <w:rPr>
                <w:rFonts w:hint="eastAsia" w:cs="Times New Roman"/>
                <w:color w:val="auto"/>
                <w:sz w:val="24"/>
                <w:szCs w:val="24"/>
                <w:lang w:val="en-US" w:eastAsia="zh-CN"/>
              </w:rPr>
              <w:t>车辆及设备冲洗废水、</w:t>
            </w:r>
            <w:r>
              <w:rPr>
                <w:rFonts w:hint="eastAsia" w:ascii="Times New Roman" w:hAnsi="Times New Roman" w:cs="Times New Roman"/>
                <w:color w:val="auto"/>
                <w:sz w:val="24"/>
                <w:szCs w:val="24"/>
                <w:lang w:val="en-US" w:eastAsia="zh-CN"/>
              </w:rPr>
              <w:t>场地冲洗废水</w:t>
            </w:r>
            <w:r>
              <w:rPr>
                <w:rFonts w:hint="default" w:ascii="Times New Roman" w:hAnsi="Times New Roman" w:cs="Times New Roman"/>
                <w:color w:val="auto"/>
                <w:sz w:val="24"/>
                <w:szCs w:val="24"/>
              </w:rPr>
              <w:t>排入三级隔油沉淀池处理</w:t>
            </w:r>
            <w:r>
              <w:rPr>
                <w:rFonts w:hint="eastAsia" w:cs="Times New Roman"/>
                <w:color w:val="auto"/>
                <w:sz w:val="24"/>
                <w:szCs w:val="24"/>
                <w:lang w:val="en-US" w:eastAsia="zh-CN"/>
              </w:rPr>
              <w:t>后</w:t>
            </w:r>
            <w:r>
              <w:rPr>
                <w:rFonts w:hint="eastAsia" w:ascii="Times New Roman" w:hAnsi="Times New Roman" w:eastAsia="宋体" w:cs="Times New Roman"/>
                <w:smallCaps w:val="0"/>
                <w:color w:val="auto"/>
                <w:sz w:val="24"/>
                <w:szCs w:val="24"/>
                <w:lang w:val="en-US" w:eastAsia="zh-CN"/>
              </w:rPr>
              <w:t>回</w:t>
            </w:r>
            <w:r>
              <w:rPr>
                <w:rFonts w:hint="default" w:ascii="Times New Roman" w:hAnsi="Times New Roman" w:eastAsia="宋体" w:cs="Times New Roman"/>
                <w:smallCaps w:val="0"/>
                <w:color w:val="auto"/>
                <w:sz w:val="24"/>
                <w:szCs w:val="24"/>
                <w:lang w:val="en-US" w:eastAsia="zh-CN"/>
              </w:rPr>
              <w:t>用于</w:t>
            </w:r>
            <w:r>
              <w:rPr>
                <w:rFonts w:hint="eastAsia" w:ascii="Times New Roman" w:hAnsi="Times New Roman" w:eastAsia="宋体" w:cs="Times New Roman"/>
                <w:smallCaps w:val="0"/>
                <w:color w:val="auto"/>
                <w:sz w:val="24"/>
                <w:szCs w:val="24"/>
                <w:lang w:val="en-US" w:eastAsia="zh-CN"/>
              </w:rPr>
              <w:t>厂区地面</w:t>
            </w:r>
            <w:r>
              <w:rPr>
                <w:rFonts w:hint="default" w:ascii="Times New Roman" w:hAnsi="Times New Roman" w:eastAsia="宋体" w:cs="Times New Roman"/>
                <w:smallCaps w:val="0"/>
                <w:color w:val="auto"/>
                <w:sz w:val="24"/>
                <w:szCs w:val="24"/>
                <w:lang w:val="en-US" w:eastAsia="zh-CN"/>
              </w:rPr>
              <w:t>搅拌工作区地面冲洗</w:t>
            </w:r>
            <w:r>
              <w:rPr>
                <w:rFonts w:hint="eastAsia" w:ascii="Times New Roman" w:hAnsi="Times New Roman" w:eastAsia="宋体" w:cs="Times New Roman"/>
                <w:smallCaps w:val="0"/>
                <w:color w:val="auto"/>
                <w:sz w:val="24"/>
                <w:szCs w:val="24"/>
                <w:lang w:val="en-US" w:eastAsia="zh-CN"/>
              </w:rPr>
              <w:t>及洒水降尘</w:t>
            </w:r>
            <w:r>
              <w:rPr>
                <w:rFonts w:hint="eastAsia" w:eastAsia="宋体" w:cs="Times New Roman"/>
                <w:smallCaps w:val="0"/>
                <w:color w:val="auto"/>
                <w:sz w:val="24"/>
                <w:szCs w:val="24"/>
                <w:lang w:val="en-US" w:eastAsia="zh-CN"/>
              </w:rPr>
              <w:t>。</w:t>
            </w:r>
            <w:r>
              <w:rPr>
                <w:rFonts w:hint="default" w:ascii="Times New Roman" w:hAnsi="Times New Roman" w:eastAsia="宋体" w:cs="Times New Roman"/>
                <w:color w:val="auto"/>
                <w:sz w:val="24"/>
                <w:lang w:val="en-US" w:eastAsia="zh-CN"/>
              </w:rPr>
              <w:t>项</w:t>
            </w:r>
            <w:r>
              <w:rPr>
                <w:rFonts w:hint="default" w:ascii="Times New Roman" w:hAnsi="Times New Roman" w:cs="Times New Roman"/>
                <w:color w:val="auto"/>
                <w:sz w:val="24"/>
              </w:rPr>
              <w:t>目生活区产生的食堂废水先经</w:t>
            </w:r>
            <w:r>
              <w:rPr>
                <w:rFonts w:hint="eastAsia" w:cs="Times New Roman"/>
                <w:color w:val="auto"/>
                <w:sz w:val="24"/>
                <w:lang w:eastAsia="zh-CN"/>
              </w:rPr>
              <w:t>隔油池</w:t>
            </w:r>
            <w:r>
              <w:rPr>
                <w:rFonts w:hint="default" w:ascii="Times New Roman" w:hAnsi="Times New Roman" w:cs="Times New Roman"/>
                <w:color w:val="auto"/>
                <w:sz w:val="24"/>
              </w:rPr>
              <w:t>预处理后同其他生活污水一起排入化粪池进行处理，再排入自建污水处理站处理，</w:t>
            </w:r>
            <w:r>
              <w:rPr>
                <w:rFonts w:hint="default" w:ascii="Times New Roman" w:hAnsi="Times New Roman" w:cs="Times New Roman"/>
                <w:color w:val="auto"/>
                <w:sz w:val="24"/>
                <w:szCs w:val="24"/>
              </w:rPr>
              <w:t>近期</w:t>
            </w:r>
            <w:r>
              <w:rPr>
                <w:rFonts w:hint="eastAsia" w:ascii="Times New Roman" w:hAnsi="Times New Roman" w:cs="Times New Roman"/>
                <w:color w:val="auto"/>
                <w:sz w:val="24"/>
                <w:szCs w:val="24"/>
                <w:lang w:val="en-US" w:eastAsia="zh-CN"/>
              </w:rPr>
              <w:t>用于绿化</w:t>
            </w:r>
            <w:r>
              <w:rPr>
                <w:rFonts w:hint="eastAsia" w:cs="Times New Roman"/>
                <w:color w:val="auto"/>
                <w:sz w:val="24"/>
                <w:szCs w:val="24"/>
                <w:lang w:eastAsia="zh-CN"/>
              </w:rPr>
              <w:t>；</w:t>
            </w:r>
            <w:r>
              <w:rPr>
                <w:rFonts w:hint="default" w:ascii="Times New Roman" w:hAnsi="Times New Roman" w:cs="Times New Roman"/>
                <w:color w:val="auto"/>
                <w:sz w:val="24"/>
                <w:szCs w:val="24"/>
              </w:rPr>
              <w:t>远期在污水管网覆盖项目区域后</w:t>
            </w:r>
            <w:r>
              <w:rPr>
                <w:rFonts w:hint="eastAsia" w:cs="Times New Roman"/>
                <w:color w:val="auto"/>
                <w:sz w:val="24"/>
                <w:szCs w:val="24"/>
                <w:lang w:eastAsia="zh-CN"/>
              </w:rPr>
              <w:t>通过</w:t>
            </w:r>
            <w:r>
              <w:rPr>
                <w:rFonts w:hint="default" w:ascii="Times New Roman" w:hAnsi="Times New Roman" w:cs="Times New Roman"/>
                <w:color w:val="auto"/>
                <w:sz w:val="24"/>
                <w:szCs w:val="24"/>
              </w:rPr>
              <w:t>工业园区污水管网进入</w:t>
            </w:r>
            <w:r>
              <w:rPr>
                <w:rFonts w:hint="default" w:ascii="Times New Roman" w:hAnsi="Times New Roman" w:eastAsia="宋体" w:cs="Times New Roman"/>
                <w:color w:val="auto"/>
                <w:sz w:val="24"/>
                <w:szCs w:val="24"/>
              </w:rPr>
              <w:t>帕底工业</w:t>
            </w:r>
            <w:r>
              <w:rPr>
                <w:rFonts w:hint="default" w:ascii="Times New Roman" w:hAnsi="Times New Roman" w:cs="Times New Roman"/>
                <w:color w:val="auto"/>
                <w:sz w:val="24"/>
                <w:szCs w:val="24"/>
              </w:rPr>
              <w:t>园区污水处理厂处理</w:t>
            </w:r>
            <w:r>
              <w:rPr>
                <w:rFonts w:hint="eastAsia" w:cs="Times New Roman"/>
                <w:color w:val="auto"/>
                <w:sz w:val="24"/>
                <w:szCs w:val="24"/>
                <w:lang w:eastAsia="zh-CN"/>
              </w:rPr>
              <w:t>。</w:t>
            </w:r>
          </w:p>
          <w:p w14:paraId="5C9D702D">
            <w:pPr>
              <w:numPr>
                <w:ilvl w:val="0"/>
                <w:numId w:val="0"/>
              </w:numPr>
              <w:ind w:firstLine="480" w:firstLineChars="200"/>
              <w:rPr>
                <w:rFonts w:hint="eastAsia"/>
                <w:b w:val="0"/>
                <w:bCs w:val="0"/>
                <w:color w:val="auto"/>
                <w:highlight w:val="none"/>
                <w:lang w:val="en-US" w:eastAsia="zh-CN"/>
              </w:rPr>
            </w:pPr>
            <w:r>
              <w:rPr>
                <w:rFonts w:hint="eastAsia"/>
                <w:b w:val="0"/>
                <w:bCs w:val="0"/>
                <w:color w:val="auto"/>
                <w:highlight w:val="none"/>
                <w:lang w:val="en-US" w:eastAsia="zh-CN"/>
              </w:rPr>
              <w:t>因此无需申请总量指标。</w:t>
            </w:r>
          </w:p>
          <w:p w14:paraId="4B492169">
            <w:pPr>
              <w:ind w:left="0" w:leftChars="0" w:firstLine="482" w:firstLineChars="200"/>
              <w:jc w:val="both"/>
              <w:rPr>
                <w:rFonts w:hint="eastAsia"/>
                <w:b/>
                <w:bCs/>
                <w:color w:val="auto"/>
                <w:highlight w:val="none"/>
                <w:lang w:val="en-US" w:eastAsia="zh-CN"/>
              </w:rPr>
            </w:pPr>
            <w:r>
              <w:rPr>
                <w:rFonts w:hint="eastAsia"/>
                <w:b/>
                <w:bCs/>
                <w:color w:val="auto"/>
                <w:highlight w:val="none"/>
                <w:lang w:val="en-US" w:eastAsia="zh-CN"/>
              </w:rPr>
              <w:t>3、固体废物</w:t>
            </w:r>
            <w:r>
              <w:rPr>
                <w:rFonts w:hint="eastAsia"/>
                <w:b/>
                <w:bCs/>
                <w:color w:val="auto"/>
                <w:highlight w:val="none"/>
                <w:lang w:val="en-US" w:eastAsia="zh-CN"/>
              </w:rPr>
              <w:tab/>
            </w:r>
          </w:p>
          <w:p w14:paraId="55092CF5">
            <w:pPr>
              <w:ind w:left="0" w:leftChars="0" w:firstLine="480" w:firstLineChars="200"/>
              <w:jc w:val="both"/>
              <w:rPr>
                <w:rFonts w:hint="default"/>
                <w:color w:val="auto"/>
                <w:highlight w:val="none"/>
                <w:vertAlign w:val="baseline"/>
                <w:lang w:val="en-US" w:eastAsia="zh-CN"/>
              </w:rPr>
            </w:pPr>
            <w:r>
              <w:rPr>
                <w:rFonts w:hint="eastAsia"/>
                <w:b w:val="0"/>
                <w:bCs w:val="0"/>
                <w:color w:val="auto"/>
                <w:highlight w:val="none"/>
                <w:lang w:val="en-US" w:eastAsia="zh-CN"/>
              </w:rPr>
              <w:t>根据工程分析，项目产生的固体废物得到合理处置，处置率达100%，故不设总量控制指标。</w:t>
            </w:r>
          </w:p>
        </w:tc>
      </w:tr>
    </w:tbl>
    <w:p w14:paraId="0FBC59E9">
      <w:pPr>
        <w:pStyle w:val="5"/>
        <w:jc w:val="center"/>
        <w:rPr>
          <w:color w:val="auto"/>
          <w:highlight w:val="none"/>
        </w:rPr>
      </w:pPr>
      <w:r>
        <w:rPr>
          <w:rFonts w:hint="eastAsia"/>
          <w:color w:val="auto"/>
          <w:highlight w:val="none"/>
        </w:rPr>
        <w:br w:type="page"/>
      </w:r>
      <w:bookmarkStart w:id="4" w:name="_Toc11318"/>
      <w:r>
        <w:rPr>
          <w:rFonts w:hint="eastAsia"/>
          <w:color w:val="auto"/>
          <w:highlight w:val="none"/>
        </w:rPr>
        <w:t>四、主要环境影响和保护措施</w:t>
      </w:r>
      <w:bookmarkEnd w:id="4"/>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7"/>
        <w:gridCol w:w="8055"/>
      </w:tblGrid>
      <w:tr w14:paraId="7503A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0" w:hRule="atLeast"/>
          <w:jc w:val="center"/>
        </w:trPr>
        <w:tc>
          <w:tcPr>
            <w:tcW w:w="467" w:type="dxa"/>
            <w:vAlign w:val="center"/>
          </w:tcPr>
          <w:p w14:paraId="3962034D">
            <w:pPr>
              <w:ind w:firstLine="0" w:firstLineChars="0"/>
              <w:jc w:val="center"/>
              <w:rPr>
                <w:color w:val="auto"/>
                <w:highlight w:val="none"/>
              </w:rPr>
            </w:pPr>
            <w:r>
              <w:rPr>
                <w:rFonts w:hint="eastAsia"/>
                <w:color w:val="auto"/>
                <w:highlight w:val="none"/>
              </w:rPr>
              <w:t>施工期环境保护措施</w:t>
            </w:r>
          </w:p>
        </w:tc>
        <w:tc>
          <w:tcPr>
            <w:tcW w:w="8055" w:type="dxa"/>
            <w:vAlign w:val="center"/>
          </w:tcPr>
          <w:p w14:paraId="127F155A">
            <w:pPr>
              <w:adjustRightInd w:val="0"/>
              <w:snapToGrid w:val="0"/>
              <w:spacing w:line="360" w:lineRule="auto"/>
              <w:ind w:firstLine="480" w:firstLineChars="200"/>
              <w:rPr>
                <w:bCs/>
                <w:color w:val="auto"/>
                <w:szCs w:val="21"/>
              </w:rPr>
            </w:pPr>
            <w:r>
              <w:rPr>
                <w:bCs/>
                <w:color w:val="auto"/>
                <w:szCs w:val="21"/>
              </w:rPr>
              <w:t>施工期涉及主体开挖、环保设施的建设及安</w:t>
            </w:r>
            <w:r>
              <w:rPr>
                <w:rFonts w:hint="eastAsia"/>
                <w:bCs/>
                <w:color w:val="auto"/>
                <w:szCs w:val="21"/>
                <w:lang w:val="en-US" w:eastAsia="zh-CN"/>
              </w:rPr>
              <w:t>装</w:t>
            </w:r>
            <w:r>
              <w:rPr>
                <w:bCs/>
                <w:color w:val="auto"/>
                <w:szCs w:val="21"/>
              </w:rPr>
              <w:t>等施工过程产生的噪声、扬尘和固体废物等污染。主要采取洒水降尘、使用低噪声设备、产生的建筑垃圾等固废及时清运处置等污染防治措施，对环境影响较小。</w:t>
            </w:r>
          </w:p>
          <w:p w14:paraId="5DA93693">
            <w:pPr>
              <w:ind w:left="0" w:leftChars="0" w:firstLine="0" w:firstLineChars="0"/>
              <w:rPr>
                <w:rFonts w:hint="eastAsia"/>
                <w:b/>
                <w:bCs/>
                <w:color w:val="auto"/>
                <w:highlight w:val="none"/>
                <w:lang w:val="en-US" w:eastAsia="zh-CN"/>
              </w:rPr>
            </w:pPr>
            <w:r>
              <w:rPr>
                <w:rFonts w:hint="eastAsia"/>
                <w:b/>
                <w:bCs/>
                <w:color w:val="auto"/>
                <w:highlight w:val="none"/>
                <w:lang w:val="en-US" w:eastAsia="zh-CN"/>
              </w:rPr>
              <w:t>（一）大气保护措施</w:t>
            </w:r>
          </w:p>
          <w:p w14:paraId="761E2C74">
            <w:pPr>
              <w:autoSpaceDE w:val="0"/>
              <w:autoSpaceDN w:val="0"/>
              <w:snapToGrid w:val="0"/>
              <w:spacing w:line="360" w:lineRule="auto"/>
              <w:ind w:firstLine="480" w:firstLineChars="200"/>
              <w:rPr>
                <w:rFonts w:ascii="Times New Roman" w:hAnsi="Times New Roman"/>
                <w:color w:val="auto"/>
                <w:szCs w:val="21"/>
              </w:rPr>
            </w:pPr>
            <w:r>
              <w:rPr>
                <w:rFonts w:ascii="Times New Roman" w:hAnsi="Times New Roman"/>
                <w:color w:val="auto"/>
                <w:szCs w:val="21"/>
              </w:rPr>
              <w:t>项目施工期废气主要为施工扬尘、焊接废气、机械及运输车辆尾气。</w:t>
            </w:r>
            <w:r>
              <w:rPr>
                <w:rFonts w:hint="eastAsia"/>
                <w:color w:val="auto"/>
                <w:szCs w:val="21"/>
                <w:lang w:val="en-US" w:eastAsia="zh-CN"/>
              </w:rPr>
              <w:t>根据“大气专项评价”，</w:t>
            </w:r>
            <w:r>
              <w:rPr>
                <w:rFonts w:ascii="Times New Roman" w:hAnsi="Times New Roman"/>
                <w:color w:val="auto"/>
                <w:szCs w:val="21"/>
              </w:rPr>
              <w:t>施工期废气污染防治措施如下：</w:t>
            </w:r>
          </w:p>
          <w:p w14:paraId="689C012D">
            <w:pPr>
              <w:autoSpaceDE w:val="0"/>
              <w:autoSpaceDN w:val="0"/>
              <w:snapToGrid w:val="0"/>
              <w:spacing w:line="360" w:lineRule="auto"/>
              <w:ind w:firstLine="480" w:firstLineChars="200"/>
              <w:rPr>
                <w:rFonts w:ascii="Times New Roman" w:hAnsi="Times New Roman"/>
                <w:color w:val="auto"/>
                <w:szCs w:val="21"/>
              </w:rPr>
            </w:pPr>
            <w:r>
              <w:rPr>
                <w:rFonts w:ascii="Times New Roman" w:hAnsi="Times New Roman"/>
                <w:color w:val="auto"/>
                <w:szCs w:val="21"/>
              </w:rPr>
              <w:t>（1）施工现场内的建筑材料、表土堆存区、施工垃圾必须进行遮盖围挡，必要时应加盖工棚。</w:t>
            </w:r>
          </w:p>
          <w:p w14:paraId="251E590B">
            <w:pPr>
              <w:autoSpaceDE w:val="0"/>
              <w:autoSpaceDN w:val="0"/>
              <w:snapToGrid w:val="0"/>
              <w:spacing w:line="360" w:lineRule="auto"/>
              <w:ind w:firstLine="480" w:firstLineChars="200"/>
              <w:rPr>
                <w:rFonts w:ascii="Times New Roman" w:hAnsi="Times New Roman"/>
                <w:color w:val="auto"/>
                <w:szCs w:val="21"/>
              </w:rPr>
            </w:pPr>
            <w:r>
              <w:rPr>
                <w:rFonts w:ascii="Times New Roman" w:hAnsi="Times New Roman"/>
                <w:color w:val="auto"/>
                <w:szCs w:val="21"/>
              </w:rPr>
              <w:t>（2）开挖作业避开大风天气，对作业面洒水降尘</w:t>
            </w:r>
            <w:r>
              <w:rPr>
                <w:rFonts w:ascii="Times New Roman" w:hAnsi="Times New Roman"/>
                <w:bCs/>
                <w:color w:val="auto"/>
                <w:szCs w:val="21"/>
              </w:rPr>
              <w:t>。</w:t>
            </w:r>
          </w:p>
          <w:p w14:paraId="4D77A535">
            <w:pPr>
              <w:autoSpaceDE w:val="0"/>
              <w:autoSpaceDN w:val="0"/>
              <w:snapToGrid w:val="0"/>
              <w:spacing w:line="360" w:lineRule="auto"/>
              <w:ind w:firstLine="480" w:firstLineChars="200"/>
              <w:rPr>
                <w:rFonts w:ascii="Times New Roman" w:hAnsi="Times New Roman"/>
                <w:color w:val="auto"/>
                <w:szCs w:val="21"/>
              </w:rPr>
            </w:pPr>
            <w:r>
              <w:rPr>
                <w:rFonts w:ascii="Times New Roman" w:hAnsi="Times New Roman"/>
                <w:color w:val="auto"/>
                <w:szCs w:val="21"/>
              </w:rPr>
              <w:t>（3）在项目施工场地内设置雾炮机，每天定时对施工场地洒水4~5次进行降尘。</w:t>
            </w:r>
          </w:p>
          <w:p w14:paraId="7FBB5084">
            <w:pPr>
              <w:autoSpaceDE w:val="0"/>
              <w:autoSpaceDN w:val="0"/>
              <w:snapToGrid w:val="0"/>
              <w:spacing w:line="360" w:lineRule="auto"/>
              <w:ind w:firstLine="480" w:firstLineChars="200"/>
              <w:rPr>
                <w:rFonts w:ascii="Times New Roman" w:hAnsi="Times New Roman"/>
                <w:color w:val="auto"/>
                <w:szCs w:val="21"/>
              </w:rPr>
            </w:pPr>
            <w:r>
              <w:rPr>
                <w:rFonts w:ascii="Times New Roman" w:hAnsi="Times New Roman"/>
                <w:color w:val="auto"/>
                <w:szCs w:val="21"/>
              </w:rPr>
              <w:t>（4）装运建筑材料及建筑垃圾的车辆采用篷布覆盖。</w:t>
            </w:r>
          </w:p>
          <w:p w14:paraId="6F025F36">
            <w:pPr>
              <w:autoSpaceDE w:val="0"/>
              <w:autoSpaceDN w:val="0"/>
              <w:snapToGrid w:val="0"/>
              <w:spacing w:line="360" w:lineRule="auto"/>
              <w:ind w:firstLine="480" w:firstLineChars="200"/>
              <w:rPr>
                <w:rFonts w:ascii="Times New Roman" w:hAnsi="Times New Roman"/>
                <w:color w:val="auto"/>
                <w:szCs w:val="21"/>
              </w:rPr>
            </w:pPr>
            <w:r>
              <w:rPr>
                <w:rFonts w:ascii="Times New Roman" w:hAnsi="Times New Roman"/>
                <w:color w:val="auto"/>
                <w:szCs w:val="21"/>
              </w:rPr>
              <w:t>（5）车辆出施工场地前对轮胎进行冲洗，避免将泥沙带出遗撒在路途中。</w:t>
            </w:r>
          </w:p>
          <w:p w14:paraId="6C940AE2">
            <w:pPr>
              <w:autoSpaceDE w:val="0"/>
              <w:autoSpaceDN w:val="0"/>
              <w:snapToGrid w:val="0"/>
              <w:spacing w:line="360" w:lineRule="auto"/>
              <w:ind w:firstLine="480" w:firstLineChars="200"/>
              <w:rPr>
                <w:rFonts w:hint="default" w:ascii="Times New Roman" w:hAnsi="Times New Roman" w:eastAsia="宋体"/>
                <w:color w:val="auto"/>
                <w:szCs w:val="21"/>
                <w:lang w:val="en-US" w:eastAsia="zh-CN"/>
              </w:rPr>
            </w:pPr>
            <w:r>
              <w:rPr>
                <w:rFonts w:ascii="Times New Roman" w:hAnsi="Times New Roman"/>
                <w:color w:val="auto"/>
                <w:szCs w:val="21"/>
              </w:rPr>
              <w:t>（6）</w:t>
            </w:r>
            <w:r>
              <w:rPr>
                <w:rFonts w:hint="eastAsia"/>
                <w:color w:val="auto"/>
                <w:szCs w:val="21"/>
                <w:lang w:val="en-US" w:eastAsia="zh-CN"/>
              </w:rPr>
              <w:t>施工厂区厂界处设置施工围挡。</w:t>
            </w:r>
          </w:p>
          <w:p w14:paraId="0B39CEEA">
            <w:pPr>
              <w:autoSpaceDE w:val="0"/>
              <w:autoSpaceDN w:val="0"/>
              <w:snapToGrid w:val="0"/>
              <w:spacing w:line="360" w:lineRule="auto"/>
              <w:ind w:firstLine="480" w:firstLineChars="200"/>
              <w:rPr>
                <w:rFonts w:ascii="Times New Roman" w:hAnsi="Times New Roman"/>
                <w:color w:val="auto"/>
                <w:szCs w:val="21"/>
              </w:rPr>
            </w:pPr>
            <w:r>
              <w:rPr>
                <w:rFonts w:hint="eastAsia"/>
                <w:color w:val="auto"/>
                <w:szCs w:val="21"/>
                <w:lang w:eastAsia="zh-CN"/>
              </w:rPr>
              <w:t>（</w:t>
            </w:r>
            <w:r>
              <w:rPr>
                <w:rFonts w:hint="eastAsia"/>
                <w:color w:val="auto"/>
                <w:szCs w:val="21"/>
                <w:lang w:val="en-US" w:eastAsia="zh-CN"/>
              </w:rPr>
              <w:t>7</w:t>
            </w:r>
            <w:r>
              <w:rPr>
                <w:rFonts w:hint="eastAsia"/>
                <w:color w:val="auto"/>
                <w:szCs w:val="21"/>
                <w:lang w:eastAsia="zh-CN"/>
              </w:rPr>
              <w:t>）</w:t>
            </w:r>
            <w:r>
              <w:rPr>
                <w:rFonts w:ascii="Times New Roman" w:hAnsi="Times New Roman"/>
                <w:color w:val="auto"/>
                <w:szCs w:val="21"/>
              </w:rPr>
              <w:t>焊接废气经大气稀释扩散。</w:t>
            </w:r>
          </w:p>
          <w:p w14:paraId="5BD61C19">
            <w:pPr>
              <w:autoSpaceDE w:val="0"/>
              <w:autoSpaceDN w:val="0"/>
              <w:snapToGrid w:val="0"/>
              <w:spacing w:line="360" w:lineRule="auto"/>
              <w:ind w:firstLine="480" w:firstLineChars="200"/>
              <w:rPr>
                <w:rFonts w:ascii="Times New Roman" w:hAnsi="Times New Roman"/>
                <w:color w:val="auto"/>
                <w:szCs w:val="21"/>
              </w:rPr>
            </w:pPr>
            <w:r>
              <w:rPr>
                <w:rFonts w:ascii="Times New Roman" w:hAnsi="Times New Roman"/>
                <w:color w:val="auto"/>
                <w:szCs w:val="21"/>
              </w:rPr>
              <w:t>（</w:t>
            </w:r>
            <w:r>
              <w:rPr>
                <w:rFonts w:hint="eastAsia"/>
                <w:color w:val="auto"/>
                <w:szCs w:val="21"/>
                <w:lang w:val="en-US" w:eastAsia="zh-CN"/>
              </w:rPr>
              <w:t>8</w:t>
            </w:r>
            <w:r>
              <w:rPr>
                <w:rFonts w:ascii="Times New Roman" w:hAnsi="Times New Roman"/>
                <w:color w:val="auto"/>
                <w:szCs w:val="21"/>
              </w:rPr>
              <w:t>）选择尾气排放达到国家排放标准的施工机械设备和运输车辆，并加强施工机械和运输车辆的维护和保养。</w:t>
            </w:r>
          </w:p>
          <w:p w14:paraId="4ABFA459">
            <w:pPr>
              <w:autoSpaceDE w:val="0"/>
              <w:autoSpaceDN w:val="0"/>
              <w:snapToGrid w:val="0"/>
              <w:spacing w:line="360" w:lineRule="auto"/>
              <w:ind w:firstLine="480" w:firstLineChars="200"/>
              <w:rPr>
                <w:rFonts w:ascii="Times New Roman" w:hAnsi="Times New Roman"/>
                <w:color w:val="auto"/>
                <w:szCs w:val="21"/>
              </w:rPr>
            </w:pPr>
            <w:r>
              <w:rPr>
                <w:rFonts w:ascii="Times New Roman" w:hAnsi="Times New Roman"/>
                <w:color w:val="auto"/>
                <w:szCs w:val="21"/>
              </w:rPr>
              <w:t>施工期对环境空气质量的影响是暂时的，并随着施工活动结束后影响消失，在采取上述防治措施后，施工对环境空气的影响可以接受，对周围大气环境影响小。</w:t>
            </w:r>
          </w:p>
          <w:p w14:paraId="67287C17">
            <w:pPr>
              <w:ind w:left="0" w:leftChars="0" w:firstLine="0" w:firstLineChars="0"/>
              <w:rPr>
                <w:rFonts w:hint="eastAsia"/>
                <w:b/>
                <w:bCs/>
                <w:color w:val="auto"/>
                <w:highlight w:val="none"/>
                <w:lang w:val="en-US" w:eastAsia="zh-CN"/>
              </w:rPr>
            </w:pPr>
            <w:r>
              <w:rPr>
                <w:rFonts w:hint="eastAsia"/>
                <w:b/>
                <w:bCs/>
                <w:color w:val="auto"/>
                <w:highlight w:val="none"/>
                <w:lang w:val="en-US" w:eastAsia="zh-CN"/>
              </w:rPr>
              <w:t>（二）水环境保护措施</w:t>
            </w:r>
          </w:p>
          <w:p w14:paraId="2E7169B0">
            <w:pPr>
              <w:pStyle w:val="9"/>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施工期对水环境影响主要来自于施工废水、施工人员的生活污水。</w:t>
            </w:r>
          </w:p>
          <w:p w14:paraId="32CE6FDD">
            <w:pPr>
              <w:spacing w:line="360" w:lineRule="auto"/>
              <w:ind w:firstLine="480"/>
              <w:rPr>
                <w:rFonts w:hint="default" w:ascii="Times New Roman" w:hAnsi="Times New Roman" w:cs="Times New Roman"/>
                <w:color w:val="auto"/>
                <w:sz w:val="24"/>
              </w:rPr>
            </w:pPr>
            <w:bookmarkStart w:id="5" w:name="_Toc309825989"/>
            <w:r>
              <w:rPr>
                <w:rFonts w:hint="default" w:ascii="Times New Roman" w:hAnsi="Times New Roman" w:cs="Times New Roman"/>
                <w:color w:val="auto"/>
                <w:sz w:val="24"/>
              </w:rPr>
              <w:t>①施工废水</w:t>
            </w:r>
            <w:bookmarkEnd w:id="5"/>
          </w:p>
          <w:p w14:paraId="61A07349">
            <w:pPr>
              <w:adjustRightInd w:val="0"/>
              <w:snapToGrid w:val="0"/>
              <w:spacing w:line="360" w:lineRule="auto"/>
              <w:ind w:firstLine="48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施工废水主要为土方阶段排水，结构阶段混凝土养护排水、施工区的</w:t>
            </w:r>
            <w:r>
              <w:rPr>
                <w:rFonts w:hint="eastAsia" w:cs="Times New Roman"/>
                <w:color w:val="auto"/>
                <w:sz w:val="24"/>
                <w:lang w:val="en-US" w:eastAsia="zh-CN"/>
              </w:rPr>
              <w:t>车辆和机械设备</w:t>
            </w:r>
            <w:r>
              <w:rPr>
                <w:rFonts w:hint="default" w:ascii="Times New Roman" w:hAnsi="Times New Roman" w:cs="Times New Roman"/>
                <w:color w:val="auto"/>
                <w:sz w:val="24"/>
              </w:rPr>
              <w:t>冲洗废水，主要污染物为悬浮物及石油类。若直接排放，会对受纳水体水质产生不利影响。</w:t>
            </w:r>
            <w:r>
              <w:rPr>
                <w:rFonts w:hint="default" w:ascii="Times New Roman" w:hAnsi="Times New Roman" w:eastAsia="宋体" w:cs="Times New Roman"/>
                <w:color w:val="auto"/>
                <w:kern w:val="0"/>
                <w:sz w:val="24"/>
                <w:szCs w:val="24"/>
                <w:lang w:val="en-US" w:eastAsia="zh-CN" w:bidi="ar"/>
              </w:rPr>
              <w:t>类比其它工程，施工机械设备清洗水为</w:t>
            </w:r>
            <w:r>
              <w:rPr>
                <w:rFonts w:hint="eastAsia" w:ascii="Times New Roman" w:hAnsi="Times New Roman" w:eastAsia="宋体" w:cs="Times New Roman"/>
                <w:color w:val="auto"/>
                <w:kern w:val="0"/>
                <w:sz w:val="24"/>
                <w:szCs w:val="24"/>
                <w:lang w:val="en-US" w:eastAsia="zh-CN" w:bidi="ar"/>
              </w:rPr>
              <w:t>0.4</w:t>
            </w:r>
            <w:r>
              <w:rPr>
                <w:rFonts w:hint="default" w:ascii="Times New Roman" w:hAnsi="Times New Roman" w:eastAsia="宋体" w:cs="Times New Roman"/>
                <w:color w:val="auto"/>
                <w:kern w:val="0"/>
                <w:sz w:val="24"/>
                <w:szCs w:val="24"/>
                <w:lang w:val="en-US" w:eastAsia="zh-CN" w:bidi="ar"/>
              </w:rPr>
              <w:t>m³/d，混凝土养护废水约为</w:t>
            </w:r>
            <w:r>
              <w:rPr>
                <w:rFonts w:hint="eastAsia" w:ascii="Times New Roman" w:hAnsi="Times New Roman" w:eastAsia="宋体" w:cs="Times New Roman"/>
                <w:color w:val="auto"/>
                <w:kern w:val="0"/>
                <w:sz w:val="24"/>
                <w:szCs w:val="24"/>
                <w:lang w:val="en-US" w:eastAsia="zh-CN" w:bidi="ar"/>
              </w:rPr>
              <w:t>0.1</w:t>
            </w:r>
            <w:r>
              <w:rPr>
                <w:rFonts w:hint="default" w:ascii="Times New Roman" w:hAnsi="Times New Roman" w:eastAsia="宋体" w:cs="Times New Roman"/>
                <w:color w:val="auto"/>
                <w:kern w:val="0"/>
                <w:sz w:val="24"/>
                <w:szCs w:val="24"/>
                <w:lang w:val="en-US" w:eastAsia="zh-CN" w:bidi="ar"/>
              </w:rPr>
              <w:t>m³/d，施工车辆清洗废水约为</w:t>
            </w:r>
            <w:r>
              <w:rPr>
                <w:rFonts w:hint="eastAsia" w:ascii="Times New Roman" w:hAnsi="Times New Roman" w:eastAsia="宋体" w:cs="Times New Roman"/>
                <w:color w:val="auto"/>
                <w:kern w:val="0"/>
                <w:sz w:val="24"/>
                <w:szCs w:val="24"/>
                <w:lang w:val="en-US" w:eastAsia="zh-CN" w:bidi="ar"/>
              </w:rPr>
              <w:t>0.5</w:t>
            </w:r>
            <w:r>
              <w:rPr>
                <w:rFonts w:hint="default" w:ascii="Times New Roman" w:hAnsi="Times New Roman" w:eastAsia="宋体" w:cs="Times New Roman"/>
                <w:color w:val="auto"/>
                <w:kern w:val="0"/>
                <w:sz w:val="24"/>
                <w:szCs w:val="24"/>
                <w:lang w:val="en-US" w:eastAsia="zh-CN" w:bidi="ar"/>
              </w:rPr>
              <w:t>m³/d，施工废水总量为1m³/d。</w:t>
            </w:r>
          </w:p>
          <w:p w14:paraId="59CF48EF">
            <w:pPr>
              <w:adjustRightInd w:val="0"/>
              <w:snapToGrid w:val="0"/>
              <w:spacing w:line="360" w:lineRule="auto"/>
              <w:ind w:firstLine="48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从保护环境及节水角度考虑，施工废水通过场区设置的排水沟排入专设的临时沉淀池（容积为</w:t>
            </w:r>
            <w:r>
              <w:rPr>
                <w:rFonts w:hint="eastAsia" w:cs="Times New Roman"/>
                <w:color w:val="auto"/>
                <w:sz w:val="24"/>
                <w:lang w:val="en-US" w:eastAsia="zh-CN"/>
              </w:rPr>
              <w:t>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），沉淀后回用。</w:t>
            </w:r>
          </w:p>
          <w:p w14:paraId="11A6E11C">
            <w:pPr>
              <w:adjustRightInd w:val="0"/>
              <w:snapToGrid w:val="0"/>
              <w:spacing w:line="360" w:lineRule="auto"/>
              <w:ind w:firstLine="48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项目拟采取的废水治理措施能够减少施工废水直接外排对周围水体产生的不利影响。从环境保护角度考虑，该措施是可行的。为最大限度减少施工废水排放，经沉淀后的废水可用于施工及场地的洒水降尘，保证施工废水不外排。</w:t>
            </w:r>
          </w:p>
          <w:p w14:paraId="6F69259F">
            <w:pPr>
              <w:pStyle w:val="9"/>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②生活污水</w:t>
            </w:r>
          </w:p>
          <w:p w14:paraId="488C8D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rPr>
            </w:pPr>
            <w:r>
              <w:rPr>
                <w:rFonts w:ascii="Times New Roman" w:hAnsi="Times New Roman"/>
                <w:color w:val="auto"/>
                <w:szCs w:val="21"/>
              </w:rPr>
              <w:t>施工期施工人员</w:t>
            </w:r>
            <w:r>
              <w:rPr>
                <w:rFonts w:hint="eastAsia" w:ascii="Times New Roman" w:hAnsi="Times New Roman"/>
                <w:color w:val="auto"/>
                <w:szCs w:val="21"/>
                <w:lang w:val="en-US" w:eastAsia="zh-CN"/>
              </w:rPr>
              <w:t>不在项目区食宿，</w:t>
            </w:r>
            <w:r>
              <w:rPr>
                <w:rFonts w:ascii="Times New Roman" w:hAnsi="Times New Roman"/>
                <w:color w:val="auto"/>
                <w:szCs w:val="21"/>
              </w:rPr>
              <w:t>依托周边村寨公共卫生间</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项目施工高峰期施工人员数量达</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0人，生活污水</w:t>
            </w:r>
            <w:r>
              <w:rPr>
                <w:rFonts w:hint="eastAsia" w:cs="Times New Roman"/>
                <w:color w:val="auto"/>
                <w:sz w:val="24"/>
                <w:szCs w:val="24"/>
                <w:lang w:val="en-US" w:eastAsia="zh-CN"/>
              </w:rPr>
              <w:t>主要是</w:t>
            </w:r>
            <w:r>
              <w:rPr>
                <w:rFonts w:hint="default" w:ascii="Times New Roman" w:hAnsi="Times New Roman" w:eastAsia="宋体" w:cs="Times New Roman"/>
                <w:color w:val="auto"/>
                <w:sz w:val="24"/>
                <w:szCs w:val="24"/>
              </w:rPr>
              <w:t>施工人员</w:t>
            </w:r>
            <w:r>
              <w:rPr>
                <w:rFonts w:hint="eastAsia" w:ascii="Times New Roman" w:hAnsi="Times New Roman" w:eastAsia="宋体" w:cs="Times New Roman"/>
                <w:color w:val="auto"/>
                <w:sz w:val="24"/>
                <w:szCs w:val="24"/>
                <w:lang w:val="en-US" w:eastAsia="zh-CN"/>
              </w:rPr>
              <w:t>洗手</w:t>
            </w:r>
            <w:r>
              <w:rPr>
                <w:rFonts w:hint="default" w:ascii="Times New Roman" w:hAnsi="Times New Roman" w:eastAsia="宋体" w:cs="Times New Roman"/>
                <w:color w:val="auto"/>
                <w:sz w:val="24"/>
                <w:szCs w:val="24"/>
              </w:rPr>
              <w:t>废水</w:t>
            </w:r>
            <w:r>
              <w:rPr>
                <w:rFonts w:hint="eastAsia" w:ascii="Times New Roman" w:hAnsi="Times New Roman" w:eastAsia="宋体" w:cs="Times New Roman"/>
                <w:color w:val="auto"/>
                <w:sz w:val="24"/>
                <w:szCs w:val="24"/>
                <w:lang w:val="en-US" w:eastAsia="zh-CN"/>
              </w:rPr>
              <w:t>等</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产生量为</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r>
              <w:rPr>
                <w:color w:val="auto"/>
                <w:sz w:val="24"/>
                <w:szCs w:val="24"/>
              </w:rPr>
              <w:t>这部分污水</w:t>
            </w:r>
            <w:r>
              <w:rPr>
                <w:rFonts w:hint="eastAsia"/>
                <w:color w:val="auto"/>
                <w:sz w:val="24"/>
                <w:szCs w:val="24"/>
                <w:lang w:eastAsia="zh-CN"/>
              </w:rPr>
              <w:t>排入临时</w:t>
            </w:r>
            <w:r>
              <w:rPr>
                <w:rFonts w:hint="default" w:ascii="Times New Roman" w:hAnsi="Times New Roman" w:eastAsia="宋体" w:cs="Times New Roman"/>
                <w:color w:val="auto"/>
                <w:kern w:val="0"/>
                <w:sz w:val="24"/>
                <w:szCs w:val="24"/>
                <w:lang w:val="en-US" w:eastAsia="zh-CN" w:bidi="ar"/>
              </w:rPr>
              <w:t>沉淀池</w:t>
            </w:r>
            <w:r>
              <w:rPr>
                <w:rFonts w:hint="default" w:ascii="Times New Roman" w:hAnsi="Times New Roman" w:cs="Times New Roman"/>
                <w:color w:val="auto"/>
                <w:sz w:val="24"/>
              </w:rPr>
              <w:t>（容积为</w:t>
            </w:r>
            <w:r>
              <w:rPr>
                <w:rFonts w:hint="eastAsia" w:cs="Times New Roman"/>
                <w:color w:val="auto"/>
                <w:sz w:val="24"/>
                <w:lang w:val="en-US" w:eastAsia="zh-CN"/>
              </w:rPr>
              <w:t>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eastAsia" w:ascii="Times New Roman" w:hAnsi="Times New Roman" w:eastAsia="宋体" w:cs="Times New Roman"/>
                <w:color w:val="auto"/>
                <w:kern w:val="0"/>
                <w:sz w:val="24"/>
                <w:szCs w:val="24"/>
                <w:lang w:val="en-US" w:eastAsia="zh-CN" w:bidi="ar"/>
              </w:rPr>
              <w:t>处理后</w:t>
            </w:r>
            <w:r>
              <w:rPr>
                <w:rFonts w:hint="default" w:ascii="Times New Roman" w:hAnsi="Times New Roman" w:eastAsia="宋体" w:cs="Times New Roman"/>
                <w:color w:val="auto"/>
                <w:kern w:val="0"/>
                <w:sz w:val="24"/>
                <w:szCs w:val="24"/>
                <w:lang w:val="en-US" w:eastAsia="zh-CN" w:bidi="ar"/>
              </w:rPr>
              <w:t>回用于工具清洗、养护和施工现场洒水抑尘，不外排。</w:t>
            </w:r>
          </w:p>
          <w:p w14:paraId="2D26CDDB">
            <w:pPr>
              <w:pStyle w:val="9"/>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综上所述，在采取可研及环评提出的环保措施后，项目施工期废水对周围地表水环境影响小。</w:t>
            </w:r>
          </w:p>
          <w:p w14:paraId="55CDD632">
            <w:pPr>
              <w:ind w:left="0" w:leftChars="0" w:firstLine="0" w:firstLineChars="0"/>
              <w:rPr>
                <w:rFonts w:hint="eastAsia"/>
                <w:b/>
                <w:bCs/>
                <w:color w:val="auto"/>
                <w:highlight w:val="none"/>
                <w:lang w:val="en-US" w:eastAsia="zh-CN"/>
              </w:rPr>
            </w:pPr>
            <w:r>
              <w:rPr>
                <w:rFonts w:hint="eastAsia"/>
                <w:b/>
                <w:bCs/>
                <w:color w:val="auto"/>
                <w:highlight w:val="none"/>
                <w:lang w:val="en-US" w:eastAsia="zh-CN"/>
              </w:rPr>
              <w:t>（三）声环境保护措施</w:t>
            </w:r>
          </w:p>
          <w:p w14:paraId="38C4E24F">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施工期噪声主要来源于施工现场的各类机械设备噪声和运输车辆的交通噪声。一般为间歇性噪声，噪声源强均在</w:t>
            </w:r>
            <w:r>
              <w:rPr>
                <w:rFonts w:hint="default" w:ascii="Times New Roman" w:eastAsia="Times New Roman"/>
                <w:color w:val="auto"/>
                <w:spacing w:val="0"/>
                <w:sz w:val="24"/>
                <w:szCs w:val="24"/>
              </w:rPr>
              <w:t>85~105dB(A)</w:t>
            </w:r>
            <w:r>
              <w:rPr>
                <w:rFonts w:hint="default"/>
                <w:color w:val="auto"/>
                <w:spacing w:val="0"/>
                <w:sz w:val="24"/>
                <w:szCs w:val="24"/>
              </w:rPr>
              <w:t>之间。项目施工时间不长，施工场地四周设置施工围挡，经过墙体阻隔后对外环境的影响不大。为减缓施工噪声的影响，本环评提出如下措施：</w:t>
            </w:r>
          </w:p>
          <w:p w14:paraId="2A05C9D4">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①降低设备声级，选用低噪声设备和工艺，从根本上降低源强。整体设备应安放稳固，并与地面保持良好接触，使用减振基座，降低噪声。建设期加强检查、维修和保养机械设备，保持润滑，紧固各部件，减少运行振动噪声。</w:t>
            </w:r>
          </w:p>
          <w:p w14:paraId="7E6377A9">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②在进行建筑垃圾运输时，应合理安排运输时间，避免在夜间及交通拥挤时段进行。</w:t>
            </w:r>
          </w:p>
          <w:p w14:paraId="71B0D0EC">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③合理布置机械设备，设置在项目中部空旷地带，尽量远离周边声环境保护目标。</w:t>
            </w:r>
          </w:p>
          <w:p w14:paraId="090E7DE9">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④在进行物料运输时，车辆出入现场应低速、禁鸣。</w:t>
            </w:r>
          </w:p>
          <w:p w14:paraId="6DCF72E2">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⑤应科学合理地安排施工步骤，采取诸如分段浇筑等方式，尽量减短噪声持续排放的时间。</w:t>
            </w:r>
          </w:p>
          <w:p w14:paraId="260FE97E">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⑥合理安排施工时间，严禁在中午</w:t>
            </w:r>
            <w:r>
              <w:rPr>
                <w:rFonts w:hint="default" w:ascii="Times New Roman" w:hAnsi="Times New Roman" w:eastAsia="Times New Roman"/>
                <w:color w:val="auto"/>
                <w:spacing w:val="0"/>
                <w:sz w:val="24"/>
                <w:szCs w:val="24"/>
              </w:rPr>
              <w:t>12</w:t>
            </w:r>
            <w:r>
              <w:rPr>
                <w:rFonts w:hint="default"/>
                <w:color w:val="auto"/>
                <w:spacing w:val="0"/>
                <w:sz w:val="24"/>
                <w:szCs w:val="24"/>
              </w:rPr>
              <w:t>：</w:t>
            </w:r>
            <w:r>
              <w:rPr>
                <w:rFonts w:hint="default" w:ascii="Times New Roman" w:hAnsi="Times New Roman" w:eastAsia="Times New Roman"/>
                <w:color w:val="auto"/>
                <w:spacing w:val="0"/>
                <w:sz w:val="24"/>
                <w:szCs w:val="24"/>
              </w:rPr>
              <w:t>00</w:t>
            </w:r>
            <w:r>
              <w:rPr>
                <w:rFonts w:hint="default"/>
                <w:color w:val="auto"/>
                <w:spacing w:val="0"/>
                <w:sz w:val="24"/>
                <w:szCs w:val="24"/>
              </w:rPr>
              <w:t>～</w:t>
            </w:r>
            <w:r>
              <w:rPr>
                <w:rFonts w:hint="default" w:ascii="Times New Roman" w:hAnsi="Times New Roman" w:eastAsia="Times New Roman"/>
                <w:color w:val="auto"/>
                <w:spacing w:val="0"/>
                <w:sz w:val="24"/>
                <w:szCs w:val="24"/>
              </w:rPr>
              <w:t>14</w:t>
            </w:r>
            <w:r>
              <w:rPr>
                <w:rFonts w:hint="default"/>
                <w:color w:val="auto"/>
                <w:spacing w:val="0"/>
                <w:sz w:val="24"/>
                <w:szCs w:val="24"/>
              </w:rPr>
              <w:t>：</w:t>
            </w:r>
            <w:r>
              <w:rPr>
                <w:rFonts w:hint="default" w:ascii="Times New Roman" w:hAnsi="Times New Roman" w:eastAsia="Times New Roman"/>
                <w:color w:val="auto"/>
                <w:spacing w:val="0"/>
                <w:sz w:val="24"/>
                <w:szCs w:val="24"/>
              </w:rPr>
              <w:t>00</w:t>
            </w:r>
            <w:r>
              <w:rPr>
                <w:rFonts w:hint="default"/>
                <w:color w:val="auto"/>
                <w:spacing w:val="0"/>
                <w:sz w:val="24"/>
                <w:szCs w:val="24"/>
              </w:rPr>
              <w:t>、夜间</w:t>
            </w:r>
            <w:r>
              <w:rPr>
                <w:rFonts w:hint="default" w:ascii="Times New Roman" w:hAnsi="Times New Roman" w:eastAsia="Times New Roman"/>
                <w:color w:val="auto"/>
                <w:spacing w:val="0"/>
                <w:sz w:val="24"/>
                <w:szCs w:val="24"/>
              </w:rPr>
              <w:t>22</w:t>
            </w:r>
            <w:r>
              <w:rPr>
                <w:rFonts w:hint="default"/>
                <w:color w:val="auto"/>
                <w:spacing w:val="0"/>
                <w:sz w:val="24"/>
                <w:szCs w:val="24"/>
              </w:rPr>
              <w:t>：</w:t>
            </w:r>
            <w:r>
              <w:rPr>
                <w:rFonts w:hint="default" w:ascii="Times New Roman" w:hAnsi="Times New Roman" w:eastAsia="Times New Roman"/>
                <w:color w:val="auto"/>
                <w:spacing w:val="0"/>
                <w:sz w:val="24"/>
                <w:szCs w:val="24"/>
              </w:rPr>
              <w:t>00</w:t>
            </w:r>
            <w:r>
              <w:rPr>
                <w:rFonts w:hint="default"/>
                <w:color w:val="auto"/>
                <w:spacing w:val="0"/>
                <w:sz w:val="24"/>
                <w:szCs w:val="24"/>
              </w:rPr>
              <w:t>～</w:t>
            </w:r>
            <w:r>
              <w:rPr>
                <w:rFonts w:hint="default" w:ascii="Times New Roman" w:hAnsi="Times New Roman" w:eastAsia="Times New Roman"/>
                <w:color w:val="auto"/>
                <w:spacing w:val="0"/>
                <w:sz w:val="24"/>
                <w:szCs w:val="24"/>
              </w:rPr>
              <w:t>6</w:t>
            </w:r>
            <w:r>
              <w:rPr>
                <w:rFonts w:hint="default"/>
                <w:color w:val="auto"/>
                <w:spacing w:val="0"/>
                <w:sz w:val="24"/>
                <w:szCs w:val="24"/>
              </w:rPr>
              <w:t>：</w:t>
            </w:r>
            <w:r>
              <w:rPr>
                <w:rFonts w:hint="default" w:ascii="Times New Roman" w:hAnsi="Times New Roman" w:eastAsia="Times New Roman"/>
                <w:color w:val="auto"/>
                <w:spacing w:val="0"/>
                <w:sz w:val="24"/>
                <w:szCs w:val="24"/>
              </w:rPr>
              <w:t>00</w:t>
            </w:r>
            <w:r>
              <w:rPr>
                <w:rFonts w:hint="default"/>
                <w:color w:val="auto"/>
                <w:spacing w:val="0"/>
                <w:sz w:val="24"/>
                <w:szCs w:val="24"/>
              </w:rPr>
              <w:t>期间施工。但生产工艺需要连续作业的除外。若因工艺或特殊需要必须连续施工，施工单位应在施工前三日内报请环保部门批准，并向施工场地周围的居民或单位发布公告，以征得公众的理解和支持，如产生噪声纠纷，建设单位应与周边住户和单位协商解决。</w:t>
            </w:r>
          </w:p>
          <w:p w14:paraId="61327571">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⑦降低人为噪声影响，尽量少用哨子</w:t>
            </w:r>
            <w:r>
              <w:rPr>
                <w:rFonts w:hint="eastAsia"/>
                <w:color w:val="auto"/>
                <w:spacing w:val="0"/>
                <w:sz w:val="24"/>
                <w:szCs w:val="24"/>
                <w:lang w:eastAsia="zh-CN"/>
              </w:rPr>
              <w:t>、</w:t>
            </w:r>
            <w:r>
              <w:rPr>
                <w:rFonts w:hint="eastAsia"/>
                <w:color w:val="auto"/>
                <w:spacing w:val="0"/>
                <w:sz w:val="24"/>
                <w:szCs w:val="24"/>
                <w:lang w:val="en-US" w:eastAsia="zh-CN"/>
              </w:rPr>
              <w:t>喇叭</w:t>
            </w:r>
            <w:r>
              <w:rPr>
                <w:rFonts w:hint="default"/>
                <w:color w:val="auto"/>
                <w:spacing w:val="0"/>
                <w:sz w:val="24"/>
                <w:szCs w:val="24"/>
              </w:rPr>
              <w:t>等指挥工具。</w:t>
            </w:r>
          </w:p>
          <w:p w14:paraId="5B7D2912">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⑧对于位置固定的机械设备，尽量在室内进行操作。</w:t>
            </w:r>
          </w:p>
          <w:p w14:paraId="5DE70093">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⑨在施工工作面铺设草袋等，以减少车辆与路面摩擦产生的噪音。</w:t>
            </w:r>
          </w:p>
          <w:p w14:paraId="1C2D3952">
            <w:pPr>
              <w:pStyle w:val="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pacing w:val="0"/>
                <w:sz w:val="24"/>
                <w:szCs w:val="24"/>
              </w:rPr>
            </w:pPr>
            <w:r>
              <w:rPr>
                <w:rFonts w:hint="default"/>
                <w:color w:val="auto"/>
                <w:spacing w:val="0"/>
                <w:sz w:val="24"/>
                <w:szCs w:val="24"/>
              </w:rPr>
              <w:t>⑩加强高噪声施工设备的维修管理，减少设备非正常的噪声。</w:t>
            </w:r>
          </w:p>
          <w:p w14:paraId="0B6B59BF">
            <w:pPr>
              <w:ind w:left="0" w:leftChars="0" w:firstLine="0" w:firstLineChars="0"/>
              <w:rPr>
                <w:rFonts w:hint="eastAsia"/>
                <w:b/>
                <w:bCs/>
                <w:color w:val="auto"/>
                <w:highlight w:val="none"/>
                <w:lang w:val="en-US" w:eastAsia="zh-CN"/>
              </w:rPr>
            </w:pPr>
            <w:r>
              <w:rPr>
                <w:rFonts w:hint="eastAsia"/>
                <w:b/>
                <w:bCs/>
                <w:color w:val="auto"/>
                <w:highlight w:val="none"/>
                <w:lang w:val="en-US" w:eastAsia="zh-CN"/>
              </w:rPr>
              <w:t>（四）固体废物</w:t>
            </w:r>
          </w:p>
          <w:p w14:paraId="78DDD7AD">
            <w:pPr>
              <w:ind w:left="0" w:leftChars="0" w:firstLine="480" w:firstLineChars="200"/>
              <w:rPr>
                <w:rFonts w:hint="eastAsia"/>
                <w:b w:val="0"/>
                <w:bCs w:val="0"/>
                <w:color w:val="auto"/>
                <w:highlight w:val="none"/>
                <w:lang w:val="en-US" w:eastAsia="zh-CN"/>
              </w:rPr>
            </w:pPr>
            <w:r>
              <w:rPr>
                <w:rFonts w:hint="eastAsia"/>
                <w:b w:val="0"/>
                <w:bCs w:val="0"/>
                <w:color w:val="auto"/>
                <w:highlight w:val="none"/>
                <w:lang w:val="en-US" w:eastAsia="zh-CN"/>
              </w:rPr>
              <w:t>项目施工期固体废物主要为土石方、建筑垃圾、施工人员生活垃圾。</w:t>
            </w:r>
          </w:p>
          <w:p w14:paraId="39AE01A9">
            <w:pPr>
              <w:ind w:left="0" w:leftChars="0" w:firstLine="482" w:firstLineChars="200"/>
              <w:rPr>
                <w:rFonts w:hint="eastAsia"/>
                <w:b/>
                <w:bCs/>
                <w:color w:val="auto"/>
                <w:highlight w:val="none"/>
                <w:lang w:val="en-US" w:eastAsia="zh-CN"/>
              </w:rPr>
            </w:pPr>
            <w:r>
              <w:rPr>
                <w:rFonts w:hint="eastAsia"/>
                <w:b/>
                <w:bCs/>
                <w:color w:val="auto"/>
                <w:highlight w:val="none"/>
                <w:lang w:val="en-US" w:eastAsia="zh-CN"/>
              </w:rPr>
              <w:t>（1）土石方</w:t>
            </w:r>
          </w:p>
          <w:p w14:paraId="39E40549">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sz w:val="24"/>
                <w:szCs w:val="24"/>
                <w:lang w:val="en-US" w:eastAsia="zh-CN"/>
              </w:rPr>
              <w:t>根据水土保持方案</w:t>
            </w:r>
            <w:r>
              <w:rPr>
                <w:rFonts w:hint="eastAsia" w:ascii="Times New Roman" w:hAnsi="Times New Roman" w:eastAsia="宋体" w:cs="Times New Roman"/>
                <w:snapToGrid w:val="0"/>
                <w:color w:val="auto"/>
                <w:sz w:val="24"/>
                <w:szCs w:val="24"/>
                <w:lang w:val="en-US" w:eastAsia="zh-CN"/>
              </w:rPr>
              <w:t>，</w:t>
            </w:r>
            <w:r>
              <w:rPr>
                <w:rFonts w:hint="eastAsia" w:cs="Times New Roman"/>
                <w:snapToGrid w:val="0"/>
                <w:color w:val="auto"/>
                <w:sz w:val="24"/>
                <w:szCs w:val="24"/>
                <w:lang w:val="en-US" w:eastAsia="zh-CN"/>
              </w:rPr>
              <w:t>整个</w:t>
            </w:r>
            <w:r>
              <w:rPr>
                <w:rFonts w:hint="default" w:ascii="Times New Roman" w:hAnsi="Times New Roman" w:eastAsia="宋体" w:cs="Times New Roman"/>
                <w:snapToGrid w:val="0"/>
                <w:color w:val="auto"/>
                <w:sz w:val="24"/>
                <w:szCs w:val="24"/>
              </w:rPr>
              <w:t>项目</w:t>
            </w:r>
            <w:r>
              <w:rPr>
                <w:rFonts w:hint="default" w:ascii="Times New Roman" w:hAnsi="Times New Roman" w:eastAsia="宋体" w:cs="Times New Roman"/>
                <w:color w:val="auto"/>
                <w:sz w:val="24"/>
                <w:szCs w:val="24"/>
              </w:rPr>
              <w:t>建设开挖土石方总量</w:t>
            </w:r>
            <w:r>
              <w:rPr>
                <w:rFonts w:hint="eastAsia" w:cs="Times New Roman"/>
                <w:color w:val="auto"/>
                <w:sz w:val="24"/>
                <w:szCs w:val="24"/>
                <w:lang w:val="en-US" w:eastAsia="zh-CN"/>
              </w:rPr>
              <w:t>23955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（表土剥离</w:t>
            </w:r>
            <w:r>
              <w:rPr>
                <w:rFonts w:hint="eastAsia" w:cs="Times New Roman"/>
                <w:color w:val="auto"/>
                <w:sz w:val="24"/>
                <w:szCs w:val="24"/>
                <w:lang w:val="en-US" w:eastAsia="zh-CN"/>
              </w:rPr>
              <w:t>1400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，场地平整</w:t>
            </w:r>
            <w:r>
              <w:rPr>
                <w:rFonts w:hint="eastAsia" w:cs="Times New Roman"/>
                <w:color w:val="auto"/>
                <w:sz w:val="24"/>
                <w:szCs w:val="24"/>
                <w:lang w:val="en-US" w:eastAsia="zh-CN"/>
              </w:rPr>
              <w:t>和基础开挖22555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），土石方回填利用总量</w:t>
            </w:r>
            <w:r>
              <w:rPr>
                <w:rFonts w:hint="eastAsia" w:cs="Times New Roman"/>
                <w:color w:val="auto"/>
                <w:sz w:val="24"/>
                <w:szCs w:val="24"/>
                <w:lang w:val="en-US" w:eastAsia="zh-CN"/>
              </w:rPr>
              <w:t>23955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（绿化覆土</w:t>
            </w:r>
            <w:r>
              <w:rPr>
                <w:rFonts w:hint="eastAsia" w:cs="Times New Roman"/>
                <w:color w:val="auto"/>
                <w:sz w:val="24"/>
                <w:szCs w:val="24"/>
                <w:lang w:val="en-US" w:eastAsia="zh-CN"/>
              </w:rPr>
              <w:t>1400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，场地平整</w:t>
            </w:r>
            <w:r>
              <w:rPr>
                <w:rFonts w:hint="eastAsia" w:cs="Times New Roman"/>
                <w:color w:val="auto"/>
                <w:sz w:val="24"/>
                <w:szCs w:val="24"/>
                <w:lang w:val="en-US" w:eastAsia="zh-CN"/>
              </w:rPr>
              <w:t>和</w:t>
            </w:r>
            <w:r>
              <w:rPr>
                <w:rFonts w:hint="default" w:ascii="Times New Roman" w:hAnsi="Times New Roman" w:eastAsia="宋体" w:cs="Times New Roman"/>
                <w:color w:val="auto"/>
                <w:sz w:val="24"/>
                <w:szCs w:val="24"/>
              </w:rPr>
              <w:t>基础回填土石方</w:t>
            </w:r>
            <w:r>
              <w:rPr>
                <w:rFonts w:hint="eastAsia" w:cs="Times New Roman"/>
                <w:color w:val="auto"/>
                <w:sz w:val="24"/>
                <w:szCs w:val="24"/>
                <w:lang w:val="en-US" w:eastAsia="zh-CN"/>
              </w:rPr>
              <w:t>22555</w:t>
            </w:r>
            <w:r>
              <w:rPr>
                <w:rFonts w:hint="default" w:ascii="Times New Roman" w:hAnsi="Times New Roman" w:eastAsia="宋体" w:cs="Times New Roman"/>
                <w:color w:val="auto"/>
                <w:sz w:val="24"/>
                <w:szCs w:val="24"/>
              </w:rPr>
              <w:t>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），无外借土石方，无外弃土石方。</w:t>
            </w:r>
          </w:p>
          <w:p w14:paraId="769BEF94">
            <w:pPr>
              <w:ind w:left="0" w:leftChars="0" w:firstLine="482" w:firstLineChars="200"/>
              <w:rPr>
                <w:rFonts w:hint="eastAsia"/>
                <w:b/>
                <w:bCs/>
                <w:color w:val="auto"/>
                <w:highlight w:val="none"/>
                <w:lang w:val="en-US" w:eastAsia="zh-CN"/>
              </w:rPr>
            </w:pPr>
            <w:r>
              <w:rPr>
                <w:rFonts w:hint="eastAsia"/>
                <w:b/>
                <w:bCs/>
                <w:color w:val="auto"/>
                <w:highlight w:val="none"/>
                <w:lang w:val="en-US" w:eastAsia="zh-CN"/>
              </w:rPr>
              <w:t>（2）建筑垃圾</w:t>
            </w:r>
          </w:p>
          <w:p w14:paraId="5923DFBD">
            <w:pPr>
              <w:ind w:left="0" w:leftChars="0" w:firstLine="480" w:firstLineChars="200"/>
              <w:rPr>
                <w:rFonts w:hint="eastAsia"/>
                <w:color w:val="auto"/>
                <w:highlight w:val="none"/>
                <w:lang w:val="en-US" w:eastAsia="zh-CN"/>
              </w:rPr>
            </w:pPr>
            <w:r>
              <w:rPr>
                <w:rFonts w:hint="eastAsia"/>
                <w:color w:val="auto"/>
                <w:highlight w:val="none"/>
                <w:lang w:val="en-US" w:eastAsia="zh-CN"/>
              </w:rPr>
              <w:t>施工期间产生的建筑垃圾采取分类清理收集后部分回用，钢材和塑料等可回收利用的尽量进行回收利用，对残余混凝土等不可回收的建筑垃圾集中收集后已按照当地管理部门要求进行处置。</w:t>
            </w:r>
          </w:p>
          <w:p w14:paraId="3DDF9AC0">
            <w:pPr>
              <w:ind w:left="0" w:leftChars="0" w:firstLine="482" w:firstLineChars="200"/>
              <w:rPr>
                <w:rFonts w:hint="eastAsia"/>
                <w:b/>
                <w:bCs/>
                <w:color w:val="auto"/>
                <w:highlight w:val="none"/>
                <w:lang w:val="en-US" w:eastAsia="zh-CN"/>
              </w:rPr>
            </w:pPr>
            <w:r>
              <w:rPr>
                <w:rFonts w:hint="eastAsia"/>
                <w:b/>
                <w:bCs/>
                <w:color w:val="auto"/>
                <w:highlight w:val="none"/>
                <w:lang w:val="en-US" w:eastAsia="zh-CN"/>
              </w:rPr>
              <w:t>（3）施工人员生活垃圾</w:t>
            </w:r>
          </w:p>
          <w:p w14:paraId="403984A8">
            <w:pPr>
              <w:ind w:left="0" w:leftChars="0" w:firstLine="480" w:firstLineChars="200"/>
              <w:rPr>
                <w:rFonts w:hint="eastAsia"/>
                <w:color w:val="auto"/>
                <w:highlight w:val="none"/>
                <w:lang w:val="en-US" w:eastAsia="zh-CN"/>
              </w:rPr>
            </w:pPr>
            <w:r>
              <w:rPr>
                <w:rFonts w:hint="eastAsia"/>
                <w:color w:val="auto"/>
                <w:highlight w:val="none"/>
                <w:lang w:val="en-US" w:eastAsia="zh-CN"/>
              </w:rPr>
              <w:t>项目施工高峰期施工人员为20人，生活垃圾产生量按每人每天0.5kg计，即生活垃圾产生量为10kg/d，施工期为3个月，则施工期产生的生活垃圾约0.91t。施工人员生活垃圾经垃圾桶收集后送至附近乡镇生活垃圾收集点，并由环卫部门统一清运、处置。</w:t>
            </w:r>
          </w:p>
          <w:p w14:paraId="3238D188">
            <w:pPr>
              <w:ind w:left="0" w:leftChars="0" w:firstLine="0" w:firstLineChars="0"/>
              <w:rPr>
                <w:rFonts w:hint="default"/>
                <w:b/>
                <w:bCs/>
                <w:color w:val="auto"/>
                <w:highlight w:val="none"/>
                <w:lang w:val="en-US" w:eastAsia="zh-CN"/>
              </w:rPr>
            </w:pPr>
            <w:r>
              <w:rPr>
                <w:rFonts w:hint="default"/>
                <w:b/>
                <w:bCs/>
                <w:color w:val="auto"/>
                <w:highlight w:val="none"/>
                <w:lang w:val="en-US" w:eastAsia="zh-CN"/>
              </w:rPr>
              <w:t>（</w:t>
            </w:r>
            <w:r>
              <w:rPr>
                <w:rFonts w:hint="eastAsia"/>
                <w:b/>
                <w:bCs/>
                <w:color w:val="auto"/>
                <w:highlight w:val="none"/>
                <w:lang w:val="en-US" w:eastAsia="zh-CN"/>
              </w:rPr>
              <w:t>五</w:t>
            </w:r>
            <w:r>
              <w:rPr>
                <w:rFonts w:hint="default"/>
                <w:b/>
                <w:bCs/>
                <w:color w:val="auto"/>
                <w:highlight w:val="none"/>
                <w:lang w:val="en-US" w:eastAsia="zh-CN"/>
              </w:rPr>
              <w:t>）生态</w:t>
            </w:r>
            <w:r>
              <w:rPr>
                <w:rFonts w:hint="eastAsia"/>
                <w:b/>
                <w:bCs/>
                <w:color w:val="auto"/>
                <w:highlight w:val="none"/>
                <w:lang w:val="en-US" w:eastAsia="zh-CN"/>
              </w:rPr>
              <w:t>保护</w:t>
            </w:r>
            <w:r>
              <w:rPr>
                <w:rFonts w:hint="default"/>
                <w:b/>
                <w:bCs/>
                <w:color w:val="auto"/>
                <w:highlight w:val="none"/>
                <w:lang w:val="en-US" w:eastAsia="zh-CN"/>
              </w:rPr>
              <w:t>措施</w:t>
            </w:r>
          </w:p>
          <w:p w14:paraId="10E814DE">
            <w:pPr>
              <w:autoSpaceDE w:val="0"/>
              <w:autoSpaceDN w:val="0"/>
              <w:spacing w:line="360" w:lineRule="auto"/>
              <w:ind w:firstLine="480" w:firstLineChars="200"/>
              <w:rPr>
                <w:rFonts w:hint="eastAsia"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cs="Times New Roman"/>
                <w:color w:val="auto"/>
                <w:sz w:val="24"/>
                <w:lang w:val="en-US" w:eastAsia="zh-CN"/>
              </w:rPr>
              <w:t>土地占用影响</w:t>
            </w:r>
          </w:p>
          <w:p w14:paraId="3C700D72">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整个项目占地24206.47</w:t>
            </w:r>
            <w:r>
              <w:rPr>
                <w:rFonts w:hint="default" w:ascii="Times New Roman" w:hAnsi="Times New Roman" w:cs="Times New Roman"/>
                <w:color w:val="auto"/>
                <w:kern w:val="0"/>
                <w:sz w:val="24"/>
              </w:rPr>
              <w:t>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sz w:val="24"/>
              </w:rPr>
              <w:t>，用地类型为建设用地</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不涉及基本农田，也不会改变其土地利用性质，不会影响区域土地利用格局，且项目周围无自然保护区分布，无珍稀、濒危或需要特殊保护的动植物存在。</w:t>
            </w:r>
          </w:p>
          <w:p w14:paraId="1B41EB52">
            <w:pPr>
              <w:autoSpaceDE w:val="0"/>
              <w:autoSpaceDN w:val="0"/>
              <w:spacing w:line="360" w:lineRule="auto"/>
              <w:ind w:firstLine="480" w:firstLineChars="200"/>
              <w:rPr>
                <w:rFonts w:hint="default"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eastAsia" w:cs="Times New Roman"/>
                <w:color w:val="auto"/>
                <w:sz w:val="24"/>
                <w:lang w:val="en-US" w:eastAsia="zh-CN"/>
              </w:rPr>
              <w:t>水土流失影响</w:t>
            </w:r>
          </w:p>
          <w:p w14:paraId="3BE7C450">
            <w:pPr>
              <w:autoSpaceDE w:val="0"/>
              <w:autoSpaceDN w:val="0"/>
              <w:spacing w:line="360" w:lineRule="auto"/>
              <w:ind w:firstLine="480" w:firstLineChars="200"/>
              <w:rPr>
                <w:rFonts w:hint="default"/>
                <w:b w:val="0"/>
                <w:bCs w:val="0"/>
                <w:color w:val="auto"/>
                <w:highlight w:val="none"/>
                <w:lang w:val="en-US" w:eastAsia="zh-CN"/>
              </w:rPr>
            </w:pPr>
            <w:r>
              <w:rPr>
                <w:rFonts w:hint="default" w:ascii="Times New Roman" w:hAnsi="Times New Roman" w:cs="Times New Roman"/>
                <w:color w:val="auto"/>
                <w:sz w:val="24"/>
              </w:rPr>
              <w:t>项目建设所引起的水土流失，主要是由于土石方临时堆放过程中产生的弃渣的流失，以及工程施工挖损破坏、占压地表，改变地形地貌而引起的降水冲刷侵蚀，属典型的人为加速侵蚀，具有流失面积集中、流失形式多样、流失量大等特点，并主要集中在工程施工期间。根据“水土保持方案”，</w:t>
            </w:r>
            <w:r>
              <w:rPr>
                <w:rFonts w:hint="eastAsia" w:ascii="Times New Roman" w:hAnsi="Times New Roman" w:eastAsia="宋体" w:cs="Times New Roman"/>
                <w:color w:val="auto"/>
                <w:sz w:val="24"/>
              </w:rPr>
              <w:t>施工过程中可能产生的土壤流失量总计约</w:t>
            </w:r>
            <w:r>
              <w:rPr>
                <w:rFonts w:hint="eastAsia" w:cs="Times New Roman"/>
                <w:color w:val="auto"/>
                <w:sz w:val="24"/>
                <w:lang w:val="en-US" w:eastAsia="zh-CN"/>
              </w:rPr>
              <w:t>281.1</w:t>
            </w:r>
            <w:r>
              <w:rPr>
                <w:rFonts w:hint="eastAsia" w:ascii="Times New Roman" w:hAnsi="Times New Roman" w:eastAsia="宋体" w:cs="Times New Roman"/>
                <w:color w:val="auto"/>
                <w:sz w:val="24"/>
              </w:rPr>
              <w:t>t，背景水土流失总量约</w:t>
            </w:r>
            <w:r>
              <w:rPr>
                <w:rFonts w:hint="eastAsia" w:cs="Times New Roman"/>
                <w:color w:val="auto"/>
                <w:sz w:val="24"/>
                <w:lang w:val="en-US" w:eastAsia="zh-CN"/>
              </w:rPr>
              <w:t>14.56</w:t>
            </w:r>
            <w:r>
              <w:rPr>
                <w:rFonts w:hint="eastAsia" w:ascii="Times New Roman" w:hAnsi="Times New Roman" w:eastAsia="宋体" w:cs="Times New Roman"/>
                <w:color w:val="auto"/>
                <w:sz w:val="24"/>
              </w:rPr>
              <w:t>t，新增水土流失总量约</w:t>
            </w:r>
            <w:r>
              <w:rPr>
                <w:rFonts w:hint="eastAsia" w:cs="Times New Roman"/>
                <w:color w:val="auto"/>
                <w:sz w:val="24"/>
                <w:lang w:val="en-US" w:eastAsia="zh-CN"/>
              </w:rPr>
              <w:t>266.54</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项目按照</w:t>
            </w:r>
            <w:r>
              <w:rPr>
                <w:rFonts w:hint="default" w:ascii="Times New Roman" w:hAnsi="Times New Roman" w:cs="Times New Roman"/>
                <w:color w:val="auto"/>
                <w:sz w:val="24"/>
              </w:rPr>
              <w:t>“水土保持方案”</w:t>
            </w:r>
            <w:r>
              <w:rPr>
                <w:rFonts w:hint="eastAsia" w:ascii="Times New Roman" w:hAnsi="Times New Roman" w:cs="Times New Roman"/>
                <w:color w:val="auto"/>
                <w:sz w:val="24"/>
                <w:lang w:val="en-US" w:eastAsia="zh-CN"/>
              </w:rPr>
              <w:t>提出的水保防治措施严格执行后，对生态环境影响小。</w:t>
            </w:r>
          </w:p>
        </w:tc>
      </w:tr>
      <w:tr w14:paraId="34C3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467" w:type="dxa"/>
            <w:vAlign w:val="center"/>
          </w:tcPr>
          <w:p w14:paraId="5ECFCE13">
            <w:pPr>
              <w:ind w:firstLine="0" w:firstLineChars="0"/>
              <w:jc w:val="center"/>
              <w:rPr>
                <w:color w:val="auto"/>
                <w:highlight w:val="none"/>
              </w:rPr>
            </w:pPr>
            <w:r>
              <w:rPr>
                <w:rFonts w:hint="eastAsia"/>
                <w:color w:val="auto"/>
                <w:highlight w:val="none"/>
              </w:rPr>
              <w:t>运营期环境影响和保护措施</w:t>
            </w:r>
          </w:p>
        </w:tc>
        <w:tc>
          <w:tcPr>
            <w:tcW w:w="8055" w:type="dxa"/>
            <w:vAlign w:val="center"/>
          </w:tcPr>
          <w:p w14:paraId="16A4EDDE">
            <w:pPr>
              <w:ind w:firstLine="0" w:firstLineChars="0"/>
              <w:jc w:val="left"/>
              <w:rPr>
                <w:rFonts w:hint="eastAsia"/>
                <w:b/>
                <w:bCs/>
                <w:color w:val="auto"/>
                <w:highlight w:val="none"/>
                <w:lang w:val="en-US" w:eastAsia="zh-CN"/>
              </w:rPr>
            </w:pPr>
            <w:r>
              <w:rPr>
                <w:rFonts w:hint="eastAsia"/>
                <w:b/>
                <w:bCs/>
                <w:color w:val="auto"/>
                <w:highlight w:val="none"/>
                <w:lang w:val="en-US" w:eastAsia="zh-CN"/>
              </w:rPr>
              <w:t>（一）废气</w:t>
            </w:r>
          </w:p>
          <w:p w14:paraId="591A6C7F">
            <w:pPr>
              <w:snapToGrid w:val="0"/>
              <w:spacing w:line="360" w:lineRule="auto"/>
              <w:ind w:firstLine="480" w:firstLineChars="200"/>
              <w:jc w:val="left"/>
              <w:rPr>
                <w:rFonts w:hint="eastAsia" w:ascii="Times New Roman" w:hAnsi="Times New Roman" w:eastAsia="宋体"/>
                <w:color w:val="auto"/>
                <w:lang w:eastAsia="zh-CN"/>
              </w:rPr>
            </w:pPr>
            <w:r>
              <w:rPr>
                <w:rFonts w:ascii="Times New Roman" w:hAnsi="Times New Roman" w:eastAsia="宋体" w:cs="Times New Roman"/>
                <w:bCs/>
                <w:color w:val="auto"/>
                <w:sz w:val="24"/>
                <w:szCs w:val="21"/>
              </w:rPr>
              <w:t>本项目废气有堆场粉尘、</w:t>
            </w:r>
            <w:r>
              <w:rPr>
                <w:rFonts w:hint="eastAsia" w:ascii="Times New Roman" w:hAnsi="Times New Roman" w:eastAsia="宋体" w:cs="Times New Roman"/>
                <w:bCs/>
                <w:color w:val="auto"/>
                <w:sz w:val="24"/>
                <w:szCs w:val="21"/>
                <w:lang w:eastAsia="zh-CN"/>
              </w:rPr>
              <w:t>上料粉尘、</w:t>
            </w:r>
            <w:r>
              <w:rPr>
                <w:rFonts w:hint="default" w:ascii="Times New Roman" w:hAnsi="Times New Roman" w:eastAsia="宋体" w:cs="Times New Roman"/>
                <w:bCs/>
                <w:color w:val="auto"/>
                <w:sz w:val="24"/>
                <w:szCs w:val="21"/>
                <w:lang w:eastAsia="zh-CN"/>
              </w:rPr>
              <w:t>烘干滚筒</w:t>
            </w:r>
            <w:r>
              <w:rPr>
                <w:rFonts w:hint="eastAsia" w:ascii="Times New Roman" w:hAnsi="Times New Roman" w:eastAsia="宋体" w:cs="Times New Roman"/>
                <w:bCs/>
                <w:color w:val="auto"/>
                <w:sz w:val="24"/>
                <w:szCs w:val="21"/>
                <w:lang w:val="en-US" w:eastAsia="zh-CN"/>
              </w:rPr>
              <w:t>粉尘</w:t>
            </w:r>
            <w:r>
              <w:rPr>
                <w:rFonts w:hint="eastAsia" w:ascii="Times New Roman" w:hAnsi="Times New Roman" w:eastAsia="宋体" w:cs="Times New Roman"/>
                <w:bCs/>
                <w:color w:val="auto"/>
                <w:sz w:val="24"/>
                <w:szCs w:val="21"/>
                <w:lang w:eastAsia="zh-CN"/>
              </w:rPr>
              <w:t>、</w:t>
            </w:r>
            <w:r>
              <w:rPr>
                <w:rFonts w:hint="eastAsia" w:ascii="Times New Roman" w:hAnsi="Times New Roman" w:eastAsia="宋体" w:cs="Times New Roman"/>
                <w:bCs/>
                <w:color w:val="auto"/>
                <w:sz w:val="24"/>
                <w:szCs w:val="21"/>
                <w:lang w:val="en-US" w:eastAsia="zh-CN"/>
              </w:rPr>
              <w:t>筛分粉尘</w:t>
            </w:r>
            <w:r>
              <w:rPr>
                <w:rFonts w:hint="eastAsia" w:cs="Times New Roman"/>
                <w:bCs/>
                <w:color w:val="auto"/>
                <w:sz w:val="24"/>
                <w:szCs w:val="21"/>
                <w:lang w:val="en-US" w:eastAsia="zh-CN"/>
              </w:rPr>
              <w:t>、</w:t>
            </w:r>
            <w:r>
              <w:rPr>
                <w:rFonts w:hint="eastAsia" w:ascii="Times New Roman" w:hAnsi="Times New Roman" w:eastAsia="宋体" w:cs="Times New Roman"/>
                <w:bCs/>
                <w:color w:val="auto"/>
                <w:sz w:val="24"/>
                <w:lang w:val="en-US" w:eastAsia="zh-CN"/>
              </w:rPr>
              <w:t>热骨料仓粉尘</w:t>
            </w:r>
            <w:r>
              <w:rPr>
                <w:rFonts w:hint="eastAsia" w:ascii="Times New Roman" w:hAnsi="Times New Roman" w:eastAsia="宋体" w:cs="Times New Roman"/>
                <w:bCs/>
                <w:color w:val="auto"/>
                <w:sz w:val="24"/>
                <w:szCs w:val="21"/>
                <w:lang w:val="en-US" w:eastAsia="zh-CN"/>
              </w:rPr>
              <w:t>及</w:t>
            </w:r>
            <w:r>
              <w:rPr>
                <w:rFonts w:hint="default" w:ascii="Times New Roman" w:hAnsi="Times New Roman" w:eastAsia="宋体" w:cs="Times New Roman"/>
                <w:bCs/>
                <w:color w:val="auto"/>
                <w:sz w:val="24"/>
                <w:szCs w:val="21"/>
                <w:lang w:eastAsia="zh-CN"/>
              </w:rPr>
              <w:t>燃烧器废气</w:t>
            </w:r>
            <w:r>
              <w:rPr>
                <w:rFonts w:hint="eastAsia" w:ascii="Times New Roman" w:hAnsi="Times New Roman" w:eastAsia="宋体" w:cs="Times New Roman"/>
                <w:bCs/>
                <w:color w:val="auto"/>
                <w:sz w:val="24"/>
                <w:szCs w:val="21"/>
                <w:lang w:eastAsia="zh-CN"/>
              </w:rPr>
              <w:t>、</w:t>
            </w:r>
            <w:r>
              <w:rPr>
                <w:rFonts w:ascii="Times New Roman" w:hAnsi="Times New Roman" w:eastAsia="宋体" w:cs="Times New Roman"/>
                <w:bCs/>
                <w:color w:val="auto"/>
                <w:sz w:val="24"/>
                <w:szCs w:val="21"/>
              </w:rPr>
              <w:t>矿粉筒仓呼吸废气、沥青烟气</w:t>
            </w:r>
            <w:r>
              <w:rPr>
                <w:rFonts w:hint="eastAsia" w:ascii="Times New Roman" w:hAnsi="Times New Roman" w:eastAsia="宋体" w:cs="Times New Roman"/>
                <w:bCs/>
                <w:color w:val="auto"/>
                <w:sz w:val="24"/>
                <w:szCs w:val="21"/>
                <w:lang w:eastAsia="zh-CN"/>
              </w:rPr>
              <w:t>、柴油罐油气、</w:t>
            </w:r>
            <w:r>
              <w:rPr>
                <w:rFonts w:hint="eastAsia" w:ascii="Times New Roman" w:hAnsi="Times New Roman" w:eastAsia="宋体" w:cs="Times New Roman"/>
                <w:bCs/>
                <w:color w:val="auto"/>
                <w:sz w:val="24"/>
                <w:szCs w:val="21"/>
                <w:lang w:val="en-US" w:eastAsia="zh-CN"/>
              </w:rPr>
              <w:t>汽车扬尘及</w:t>
            </w:r>
            <w:r>
              <w:rPr>
                <w:rFonts w:hint="eastAsia" w:ascii="Times New Roman" w:hAnsi="Times New Roman" w:eastAsia="宋体" w:cs="Times New Roman"/>
                <w:bCs/>
                <w:color w:val="auto"/>
                <w:sz w:val="24"/>
                <w:szCs w:val="21"/>
                <w:lang w:eastAsia="zh-CN"/>
              </w:rPr>
              <w:t>食堂油烟</w:t>
            </w:r>
            <w:r>
              <w:rPr>
                <w:rFonts w:hint="eastAsia" w:eastAsia="宋体" w:cs="Times New Roman"/>
                <w:bCs/>
                <w:color w:val="auto"/>
                <w:sz w:val="24"/>
                <w:szCs w:val="21"/>
                <w:lang w:eastAsia="zh-CN"/>
              </w:rPr>
              <w:t>。</w:t>
            </w:r>
            <w:r>
              <w:rPr>
                <w:rFonts w:ascii="Times New Roman" w:hAnsi="Times New Roman"/>
                <w:color w:val="auto"/>
              </w:rPr>
              <w:t>根据大气环境影响专项评价结果，项目废气污染物排放情况见表4-1</w:t>
            </w:r>
            <w:r>
              <w:rPr>
                <w:rFonts w:hint="eastAsia" w:ascii="Times New Roman" w:hAnsi="Times New Roman"/>
                <w:color w:val="auto"/>
                <w:lang w:eastAsia="zh-CN"/>
              </w:rPr>
              <w:t>。</w:t>
            </w:r>
          </w:p>
          <w:p w14:paraId="72B08D9D">
            <w:pPr>
              <w:snapToGrid w:val="0"/>
              <w:spacing w:line="240" w:lineRule="auto"/>
              <w:ind w:firstLine="422" w:firstLineChars="200"/>
              <w:jc w:val="center"/>
              <w:rPr>
                <w:b/>
                <w:color w:val="C00000"/>
                <w:sz w:val="21"/>
                <w:szCs w:val="21"/>
              </w:rPr>
            </w:pPr>
          </w:p>
          <w:p w14:paraId="131D12FB">
            <w:pPr>
              <w:snapToGrid w:val="0"/>
              <w:spacing w:line="240" w:lineRule="auto"/>
              <w:ind w:firstLine="422" w:firstLineChars="200"/>
              <w:jc w:val="center"/>
              <w:rPr>
                <w:b/>
                <w:color w:val="auto"/>
                <w:sz w:val="21"/>
                <w:szCs w:val="21"/>
              </w:rPr>
            </w:pPr>
          </w:p>
          <w:p w14:paraId="5FDB74F5">
            <w:pPr>
              <w:ind w:left="0" w:leftChars="0" w:firstLine="0" w:firstLineChars="0"/>
              <w:rPr>
                <w:rFonts w:hint="default"/>
                <w:b/>
                <w:bCs/>
                <w:color w:val="auto"/>
                <w:highlight w:val="none"/>
                <w:lang w:val="en-US" w:eastAsia="zh-CN"/>
              </w:rPr>
            </w:pPr>
          </w:p>
        </w:tc>
      </w:tr>
    </w:tbl>
    <w:p w14:paraId="3665A9FA">
      <w:pPr>
        <w:rPr>
          <w:rFonts w:hint="eastAsia"/>
          <w:color w:val="auto"/>
          <w:lang w:eastAsia="zh-CN"/>
        </w:rPr>
      </w:pPr>
    </w:p>
    <w:p w14:paraId="0831CD74">
      <w:pPr>
        <w:rPr>
          <w:rFonts w:hint="eastAsia"/>
          <w:color w:val="auto"/>
          <w:lang w:eastAsia="zh-CN"/>
        </w:rPr>
      </w:pPr>
    </w:p>
    <w:p w14:paraId="2EC61248">
      <w:pPr>
        <w:rPr>
          <w:rFonts w:hint="eastAsia"/>
          <w:color w:val="auto"/>
          <w:lang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3596"/>
      </w:tblGrid>
      <w:tr w14:paraId="64F2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dxa"/>
          </w:tcPr>
          <w:p w14:paraId="68408A82">
            <w:pPr>
              <w:pStyle w:val="2"/>
              <w:ind w:left="0" w:leftChars="0" w:firstLine="0" w:firstLineChars="0"/>
              <w:rPr>
                <w:rFonts w:hint="eastAsia"/>
                <w:vertAlign w:val="baseline"/>
                <w:lang w:eastAsia="zh-CN"/>
              </w:rPr>
            </w:pPr>
            <w:r>
              <w:rPr>
                <w:rFonts w:hint="eastAsia"/>
                <w:color w:val="auto"/>
                <w:sz w:val="24"/>
                <w:szCs w:val="24"/>
                <w:highlight w:val="none"/>
              </w:rPr>
              <w:t>运营期环境影响和保护措施</w:t>
            </w:r>
          </w:p>
        </w:tc>
        <w:tc>
          <w:tcPr>
            <w:tcW w:w="13596" w:type="dxa"/>
          </w:tcPr>
          <w:p w14:paraId="21E988DE">
            <w:pPr>
              <w:snapToGrid w:val="0"/>
              <w:spacing w:line="240" w:lineRule="auto"/>
              <w:ind w:firstLine="422" w:firstLineChars="200"/>
              <w:jc w:val="center"/>
              <w:rPr>
                <w:b/>
                <w:color w:val="auto"/>
                <w:sz w:val="21"/>
                <w:szCs w:val="21"/>
              </w:rPr>
            </w:pPr>
            <w:r>
              <w:rPr>
                <w:rFonts w:hint="eastAsia"/>
                <w:b/>
                <w:color w:val="auto"/>
                <w:sz w:val="21"/>
                <w:szCs w:val="21"/>
              </w:rPr>
              <w:t>表</w:t>
            </w:r>
            <w:r>
              <w:rPr>
                <w:rFonts w:hint="eastAsia"/>
                <w:b/>
                <w:color w:val="auto"/>
                <w:sz w:val="21"/>
                <w:szCs w:val="21"/>
                <w:lang w:val="en-US" w:eastAsia="zh-CN"/>
              </w:rPr>
              <w:t>4-1</w:t>
            </w:r>
            <w:r>
              <w:rPr>
                <w:rFonts w:hint="eastAsia"/>
                <w:b/>
                <w:color w:val="auto"/>
                <w:sz w:val="21"/>
                <w:szCs w:val="21"/>
              </w:rPr>
              <w:t xml:space="preserve">  本项目废气污染源源强核算结果及相关参数汇总表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910"/>
              <w:gridCol w:w="878"/>
              <w:gridCol w:w="974"/>
              <w:gridCol w:w="893"/>
              <w:gridCol w:w="1022"/>
              <w:gridCol w:w="1102"/>
              <w:gridCol w:w="1089"/>
              <w:gridCol w:w="1982"/>
              <w:gridCol w:w="733"/>
              <w:gridCol w:w="1054"/>
              <w:gridCol w:w="1039"/>
              <w:gridCol w:w="980"/>
            </w:tblGrid>
            <w:tr w14:paraId="140A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restart"/>
                  <w:noWrap w:val="0"/>
                  <w:vAlign w:val="center"/>
                </w:tcPr>
                <w:p w14:paraId="12A54DA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工序/生产线</w:t>
                  </w:r>
                </w:p>
              </w:tc>
              <w:tc>
                <w:tcPr>
                  <w:tcW w:w="340" w:type="pct"/>
                  <w:vMerge w:val="restart"/>
                  <w:noWrap w:val="0"/>
                  <w:vAlign w:val="center"/>
                </w:tcPr>
                <w:p w14:paraId="3ED5FC8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产污装置/环节</w:t>
                  </w:r>
                </w:p>
              </w:tc>
              <w:tc>
                <w:tcPr>
                  <w:tcW w:w="328" w:type="pct"/>
                  <w:vMerge w:val="restart"/>
                  <w:noWrap w:val="0"/>
                  <w:vAlign w:val="center"/>
                </w:tcPr>
                <w:p w14:paraId="39AE2D2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污染源/排气筒编号</w:t>
                  </w:r>
                </w:p>
              </w:tc>
              <w:tc>
                <w:tcPr>
                  <w:tcW w:w="364" w:type="pct"/>
                  <w:vMerge w:val="restart"/>
                  <w:noWrap w:val="0"/>
                  <w:vAlign w:val="center"/>
                </w:tcPr>
                <w:p w14:paraId="0F99EF5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污染物</w:t>
                  </w:r>
                </w:p>
              </w:tc>
              <w:tc>
                <w:tcPr>
                  <w:tcW w:w="1535" w:type="pct"/>
                  <w:gridSpan w:val="4"/>
                  <w:noWrap w:val="0"/>
                  <w:vAlign w:val="center"/>
                </w:tcPr>
                <w:p w14:paraId="7B7E8AB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污染物产生情况</w:t>
                  </w:r>
                </w:p>
              </w:tc>
              <w:tc>
                <w:tcPr>
                  <w:tcW w:w="1015" w:type="pct"/>
                  <w:gridSpan w:val="2"/>
                  <w:noWrap w:val="0"/>
                  <w:vAlign w:val="center"/>
                </w:tcPr>
                <w:p w14:paraId="2708C43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治理措施</w:t>
                  </w:r>
                </w:p>
              </w:tc>
              <w:tc>
                <w:tcPr>
                  <w:tcW w:w="1148" w:type="pct"/>
                  <w:gridSpan w:val="3"/>
                  <w:noWrap w:val="0"/>
                  <w:vAlign w:val="center"/>
                </w:tcPr>
                <w:p w14:paraId="5BED1A1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污染物排放情况</w:t>
                  </w:r>
                </w:p>
              </w:tc>
            </w:tr>
            <w:tr w14:paraId="6019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5E37214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p>
              </w:tc>
              <w:tc>
                <w:tcPr>
                  <w:tcW w:w="340" w:type="pct"/>
                  <w:vMerge w:val="continue"/>
                  <w:noWrap w:val="0"/>
                  <w:vAlign w:val="center"/>
                </w:tcPr>
                <w:p w14:paraId="3A02889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p>
              </w:tc>
              <w:tc>
                <w:tcPr>
                  <w:tcW w:w="328" w:type="pct"/>
                  <w:vMerge w:val="continue"/>
                  <w:noWrap w:val="0"/>
                  <w:vAlign w:val="center"/>
                </w:tcPr>
                <w:p w14:paraId="09F42CD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p>
              </w:tc>
              <w:tc>
                <w:tcPr>
                  <w:tcW w:w="364" w:type="pct"/>
                  <w:vMerge w:val="continue"/>
                  <w:noWrap w:val="0"/>
                  <w:vAlign w:val="center"/>
                </w:tcPr>
                <w:p w14:paraId="3FA4325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p>
              </w:tc>
              <w:tc>
                <w:tcPr>
                  <w:tcW w:w="334" w:type="pct"/>
                  <w:noWrap w:val="0"/>
                  <w:vAlign w:val="center"/>
                </w:tcPr>
                <w:p w14:paraId="035A0157">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核算方法</w:t>
                  </w:r>
                </w:p>
              </w:tc>
              <w:tc>
                <w:tcPr>
                  <w:tcW w:w="382" w:type="pct"/>
                  <w:noWrap w:val="0"/>
                  <w:vAlign w:val="center"/>
                </w:tcPr>
                <w:p w14:paraId="0F42D30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产生量（t/a）</w:t>
                  </w:r>
                </w:p>
              </w:tc>
              <w:tc>
                <w:tcPr>
                  <w:tcW w:w="412" w:type="pct"/>
                  <w:noWrap w:val="0"/>
                  <w:vAlign w:val="center"/>
                </w:tcPr>
                <w:p w14:paraId="5D1E4DE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产生速率（kg/h）</w:t>
                  </w:r>
                </w:p>
              </w:tc>
              <w:tc>
                <w:tcPr>
                  <w:tcW w:w="406" w:type="pct"/>
                  <w:noWrap w:val="0"/>
                  <w:vAlign w:val="center"/>
                </w:tcPr>
                <w:p w14:paraId="56059C4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产生浓度mg/m</w:t>
                  </w:r>
                  <w:r>
                    <w:rPr>
                      <w:b/>
                      <w:color w:val="auto"/>
                      <w:kern w:val="0"/>
                      <w:sz w:val="21"/>
                      <w:szCs w:val="21"/>
                      <w:vertAlign w:val="superscript"/>
                    </w:rPr>
                    <w:t>3</w:t>
                  </w:r>
                </w:p>
              </w:tc>
              <w:tc>
                <w:tcPr>
                  <w:tcW w:w="741" w:type="pct"/>
                  <w:noWrap w:val="0"/>
                  <w:vAlign w:val="center"/>
                </w:tcPr>
                <w:p w14:paraId="6466D4D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工艺</w:t>
                  </w:r>
                </w:p>
              </w:tc>
              <w:tc>
                <w:tcPr>
                  <w:tcW w:w="274" w:type="pct"/>
                  <w:noWrap w:val="0"/>
                  <w:vAlign w:val="center"/>
                </w:tcPr>
                <w:p w14:paraId="2E65C67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Times New Roman" w:hAnsi="Times New Roman" w:eastAsia="宋体" w:cs="Times New Roman"/>
                      <w:b/>
                      <w:color w:val="auto"/>
                      <w:kern w:val="0"/>
                      <w:sz w:val="21"/>
                      <w:szCs w:val="21"/>
                    </w:rPr>
                  </w:pPr>
                  <w:r>
                    <w:rPr>
                      <w:rFonts w:ascii="Times New Roman" w:hAnsi="Times New Roman" w:eastAsia="宋体" w:cs="Times New Roman"/>
                      <w:b/>
                      <w:color w:val="auto"/>
                      <w:kern w:val="0"/>
                      <w:sz w:val="21"/>
                      <w:szCs w:val="21"/>
                    </w:rPr>
                    <w:t>效率%</w:t>
                  </w:r>
                </w:p>
              </w:tc>
              <w:tc>
                <w:tcPr>
                  <w:tcW w:w="394" w:type="pct"/>
                  <w:noWrap w:val="0"/>
                  <w:vAlign w:val="center"/>
                </w:tcPr>
                <w:p w14:paraId="0580AD8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排放量（t/a）</w:t>
                  </w:r>
                </w:p>
              </w:tc>
              <w:tc>
                <w:tcPr>
                  <w:tcW w:w="388" w:type="pct"/>
                  <w:noWrap w:val="0"/>
                  <w:vAlign w:val="center"/>
                </w:tcPr>
                <w:p w14:paraId="252E77C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排放速率（kg/h）</w:t>
                  </w:r>
                </w:p>
              </w:tc>
              <w:tc>
                <w:tcPr>
                  <w:tcW w:w="366" w:type="pct"/>
                  <w:noWrap w:val="0"/>
                  <w:vAlign w:val="center"/>
                </w:tcPr>
                <w:p w14:paraId="7121FFD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
                      <w:color w:val="auto"/>
                      <w:kern w:val="0"/>
                      <w:sz w:val="21"/>
                      <w:szCs w:val="21"/>
                    </w:rPr>
                  </w:pPr>
                  <w:r>
                    <w:rPr>
                      <w:b/>
                      <w:color w:val="auto"/>
                      <w:kern w:val="0"/>
                      <w:sz w:val="21"/>
                      <w:szCs w:val="21"/>
                    </w:rPr>
                    <w:t>排放浓度mg/m</w:t>
                  </w:r>
                  <w:r>
                    <w:rPr>
                      <w:b/>
                      <w:color w:val="auto"/>
                      <w:kern w:val="0"/>
                      <w:sz w:val="21"/>
                      <w:szCs w:val="21"/>
                      <w:vertAlign w:val="superscript"/>
                    </w:rPr>
                    <w:t>3</w:t>
                  </w:r>
                </w:p>
              </w:tc>
            </w:tr>
            <w:tr w14:paraId="2E18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266" w:type="pct"/>
                  <w:noWrap w:val="0"/>
                  <w:vAlign w:val="center"/>
                </w:tcPr>
                <w:p w14:paraId="2B29877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eastAsia="zh-CN"/>
                    </w:rPr>
                  </w:pPr>
                  <w:r>
                    <w:rPr>
                      <w:rFonts w:hint="eastAsia"/>
                      <w:color w:val="auto"/>
                      <w:kern w:val="0"/>
                      <w:sz w:val="21"/>
                      <w:szCs w:val="21"/>
                      <w:lang w:val="en-US" w:eastAsia="zh-CN"/>
                    </w:rPr>
                    <w:t>卸料</w:t>
                  </w:r>
                </w:p>
              </w:tc>
              <w:tc>
                <w:tcPr>
                  <w:tcW w:w="340" w:type="pct"/>
                  <w:noWrap w:val="0"/>
                  <w:vAlign w:val="center"/>
                </w:tcPr>
                <w:p w14:paraId="2B4208F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原料堆棚</w:t>
                  </w:r>
                </w:p>
              </w:tc>
              <w:tc>
                <w:tcPr>
                  <w:tcW w:w="328" w:type="pct"/>
                  <w:noWrap w:val="0"/>
                  <w:vAlign w:val="center"/>
                </w:tcPr>
                <w:p w14:paraId="0991DE5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无组织排放</w:t>
                  </w:r>
                </w:p>
              </w:tc>
              <w:tc>
                <w:tcPr>
                  <w:tcW w:w="364" w:type="pct"/>
                  <w:noWrap w:val="0"/>
                  <w:vAlign w:val="center"/>
                </w:tcPr>
                <w:p w14:paraId="09CBD5F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粉尘</w:t>
                  </w:r>
                </w:p>
              </w:tc>
              <w:tc>
                <w:tcPr>
                  <w:tcW w:w="334" w:type="pct"/>
                  <w:noWrap w:val="0"/>
                  <w:vAlign w:val="center"/>
                </w:tcPr>
                <w:p w14:paraId="7C3212A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4B3B919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8.638</w:t>
                  </w:r>
                </w:p>
              </w:tc>
              <w:tc>
                <w:tcPr>
                  <w:tcW w:w="412" w:type="pct"/>
                  <w:noWrap w:val="0"/>
                  <w:vAlign w:val="center"/>
                </w:tcPr>
                <w:p w14:paraId="1D9A6F0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1.8</w:t>
                  </w:r>
                </w:p>
              </w:tc>
              <w:tc>
                <w:tcPr>
                  <w:tcW w:w="406" w:type="pct"/>
                  <w:noWrap w:val="0"/>
                  <w:vAlign w:val="center"/>
                </w:tcPr>
                <w:p w14:paraId="5140FD8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w:t>
                  </w:r>
                </w:p>
              </w:tc>
              <w:tc>
                <w:tcPr>
                  <w:tcW w:w="741" w:type="pct"/>
                  <w:noWrap w:val="0"/>
                  <w:vAlign w:val="center"/>
                </w:tcPr>
                <w:p w14:paraId="38EDA73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sz w:val="21"/>
                      <w:szCs w:val="21"/>
                    </w:rPr>
                    <w:t>下料口加强喷雾降尘、堆棚喷雾降尘、密闭式堆棚</w:t>
                  </w:r>
                  <w:r>
                    <w:rPr>
                      <w:rFonts w:hint="eastAsia"/>
                      <w:color w:val="auto"/>
                      <w:sz w:val="21"/>
                      <w:szCs w:val="21"/>
                    </w:rPr>
                    <w:t>、地面硬化、车辆限速、场内洒水降尘等</w:t>
                  </w:r>
                </w:p>
              </w:tc>
              <w:tc>
                <w:tcPr>
                  <w:tcW w:w="274" w:type="pct"/>
                  <w:noWrap w:val="0"/>
                  <w:vAlign w:val="center"/>
                </w:tcPr>
                <w:p w14:paraId="52636B1D">
                  <w:pPr>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sz w:val="21"/>
                      <w:szCs w:val="21"/>
                    </w:rPr>
                  </w:pPr>
                  <w:r>
                    <w:rPr>
                      <w:color w:val="auto"/>
                      <w:sz w:val="21"/>
                      <w:szCs w:val="21"/>
                    </w:rPr>
                    <w:t>9</w:t>
                  </w:r>
                  <w:r>
                    <w:rPr>
                      <w:rFonts w:hint="eastAsia"/>
                      <w:color w:val="auto"/>
                      <w:sz w:val="21"/>
                      <w:szCs w:val="21"/>
                      <w:lang w:val="en-US" w:eastAsia="zh-CN"/>
                    </w:rPr>
                    <w:t>5</w:t>
                  </w:r>
                  <w:r>
                    <w:rPr>
                      <w:color w:val="auto"/>
                      <w:sz w:val="21"/>
                      <w:szCs w:val="21"/>
                    </w:rPr>
                    <w:t>%</w:t>
                  </w:r>
                </w:p>
              </w:tc>
              <w:tc>
                <w:tcPr>
                  <w:tcW w:w="394" w:type="pct"/>
                  <w:noWrap w:val="0"/>
                  <w:vAlign w:val="center"/>
                </w:tcPr>
                <w:p w14:paraId="6FC9925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0.432</w:t>
                  </w:r>
                </w:p>
              </w:tc>
              <w:tc>
                <w:tcPr>
                  <w:tcW w:w="388" w:type="pct"/>
                  <w:noWrap w:val="0"/>
                  <w:vAlign w:val="center"/>
                </w:tcPr>
                <w:p w14:paraId="5D1DE64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0.09</w:t>
                  </w:r>
                </w:p>
              </w:tc>
              <w:tc>
                <w:tcPr>
                  <w:tcW w:w="366" w:type="pct"/>
                  <w:noWrap w:val="0"/>
                  <w:vAlign w:val="center"/>
                </w:tcPr>
                <w:p w14:paraId="0EB88E22">
                  <w:pPr>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sz w:val="21"/>
                      <w:szCs w:val="21"/>
                    </w:rPr>
                  </w:pPr>
                  <w:r>
                    <w:rPr>
                      <w:color w:val="auto"/>
                      <w:sz w:val="21"/>
                      <w:szCs w:val="21"/>
                    </w:rPr>
                    <w:t>/</w:t>
                  </w:r>
                </w:p>
              </w:tc>
            </w:tr>
            <w:tr w14:paraId="6791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restart"/>
                  <w:noWrap w:val="0"/>
                  <w:vAlign w:val="center"/>
                </w:tcPr>
                <w:p w14:paraId="237787C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1#生产线上料</w:t>
                  </w:r>
                </w:p>
              </w:tc>
              <w:tc>
                <w:tcPr>
                  <w:tcW w:w="340" w:type="pct"/>
                  <w:vMerge w:val="restart"/>
                  <w:noWrap w:val="0"/>
                  <w:vAlign w:val="center"/>
                </w:tcPr>
                <w:p w14:paraId="3EF75FC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上料口</w:t>
                  </w:r>
                </w:p>
              </w:tc>
              <w:tc>
                <w:tcPr>
                  <w:tcW w:w="328" w:type="pct"/>
                  <w:noWrap w:val="0"/>
                  <w:vAlign w:val="center"/>
                </w:tcPr>
                <w:p w14:paraId="5979175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DA001</w:t>
                  </w:r>
                </w:p>
              </w:tc>
              <w:tc>
                <w:tcPr>
                  <w:tcW w:w="364" w:type="pct"/>
                  <w:noWrap w:val="0"/>
                  <w:vAlign w:val="center"/>
                </w:tcPr>
                <w:p w14:paraId="34F4074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粉尘</w:t>
                  </w:r>
                </w:p>
              </w:tc>
              <w:tc>
                <w:tcPr>
                  <w:tcW w:w="334" w:type="pct"/>
                  <w:noWrap w:val="0"/>
                  <w:vAlign w:val="center"/>
                </w:tcPr>
                <w:p w14:paraId="2CBDAB4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455B318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1.656</w:t>
                  </w:r>
                </w:p>
              </w:tc>
              <w:tc>
                <w:tcPr>
                  <w:tcW w:w="412" w:type="pct"/>
                  <w:noWrap w:val="0"/>
                  <w:vAlign w:val="center"/>
                </w:tcPr>
                <w:p w14:paraId="2ADBEDF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rPr>
                    <w:t xml:space="preserve"> </w:t>
                  </w:r>
                  <w:r>
                    <w:rPr>
                      <w:rFonts w:hint="eastAsia"/>
                      <w:color w:val="auto"/>
                      <w:kern w:val="0"/>
                      <w:sz w:val="21"/>
                      <w:szCs w:val="21"/>
                      <w:lang w:val="en-US" w:eastAsia="zh-CN"/>
                    </w:rPr>
                    <w:t>0.828</w:t>
                  </w:r>
                </w:p>
              </w:tc>
              <w:tc>
                <w:tcPr>
                  <w:tcW w:w="406" w:type="pct"/>
                  <w:noWrap w:val="0"/>
                  <w:vAlign w:val="center"/>
                </w:tcPr>
                <w:p w14:paraId="7083C84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41.4</w:t>
                  </w:r>
                </w:p>
              </w:tc>
              <w:tc>
                <w:tcPr>
                  <w:tcW w:w="741" w:type="pct"/>
                  <w:noWrap w:val="0"/>
                  <w:vAlign w:val="center"/>
                </w:tcPr>
                <w:p w14:paraId="7FFAAE80">
                  <w:pPr>
                    <w:pStyle w:val="68"/>
                    <w:keepNext w:val="0"/>
                    <w:keepLines w:val="0"/>
                    <w:pageBreakBefore w:val="0"/>
                    <w:kinsoku/>
                    <w:wordWrap/>
                    <w:overflowPunct/>
                    <w:topLinePunct w:val="0"/>
                    <w:autoSpaceDE/>
                    <w:autoSpaceDN/>
                    <w:bidi w:val="0"/>
                    <w:snapToGrid/>
                    <w:spacing w:line="240" w:lineRule="auto"/>
                    <w:ind w:left="0" w:leftChars="0" w:firstLine="0" w:firstLineChars="0"/>
                    <w:textAlignment w:val="auto"/>
                    <w:rPr>
                      <w:rFonts w:hint="eastAsia" w:eastAsia="宋体"/>
                      <w:color w:val="auto"/>
                      <w:sz w:val="21"/>
                      <w:szCs w:val="21"/>
                      <w:lang w:val="en-US" w:eastAsia="zh-CN"/>
                    </w:rPr>
                  </w:pPr>
                  <w:r>
                    <w:rPr>
                      <w:rFonts w:hint="eastAsia"/>
                      <w:color w:val="auto"/>
                      <w:kern w:val="0"/>
                      <w:sz w:val="21"/>
                      <w:szCs w:val="21"/>
                      <w:lang w:val="en-US" w:eastAsia="zh-CN"/>
                    </w:rPr>
                    <w:t>1个集气罩收集后经1套</w:t>
                  </w:r>
                  <w:r>
                    <w:rPr>
                      <w:color w:val="auto"/>
                      <w:kern w:val="0"/>
                      <w:sz w:val="21"/>
                      <w:szCs w:val="21"/>
                    </w:rPr>
                    <w:t>布袋除尘器</w:t>
                  </w:r>
                  <w:r>
                    <w:rPr>
                      <w:rFonts w:hint="eastAsia"/>
                      <w:color w:val="auto"/>
                      <w:kern w:val="0"/>
                      <w:sz w:val="21"/>
                      <w:szCs w:val="21"/>
                      <w:lang w:val="en-US" w:eastAsia="zh-CN"/>
                    </w:rPr>
                    <w:t>处理</w:t>
                  </w:r>
                </w:p>
              </w:tc>
              <w:tc>
                <w:tcPr>
                  <w:tcW w:w="274" w:type="pct"/>
                  <w:noWrap w:val="0"/>
                  <w:vAlign w:val="center"/>
                </w:tcPr>
                <w:p w14:paraId="0042112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sz w:val="21"/>
                      <w:szCs w:val="21"/>
                    </w:rPr>
                  </w:pPr>
                  <w:r>
                    <w:rPr>
                      <w:color w:val="auto"/>
                      <w:kern w:val="0"/>
                      <w:sz w:val="21"/>
                      <w:szCs w:val="21"/>
                    </w:rPr>
                    <w:t>99%</w:t>
                  </w:r>
                </w:p>
              </w:tc>
              <w:tc>
                <w:tcPr>
                  <w:tcW w:w="394" w:type="pct"/>
                  <w:noWrap w:val="0"/>
                  <w:vAlign w:val="center"/>
                </w:tcPr>
                <w:p w14:paraId="3B3B0D4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0.0166</w:t>
                  </w:r>
                </w:p>
              </w:tc>
              <w:tc>
                <w:tcPr>
                  <w:tcW w:w="388" w:type="pct"/>
                  <w:noWrap w:val="0"/>
                  <w:vAlign w:val="center"/>
                </w:tcPr>
                <w:p w14:paraId="3152194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0.0083</w:t>
                  </w:r>
                </w:p>
              </w:tc>
              <w:tc>
                <w:tcPr>
                  <w:tcW w:w="366" w:type="pct"/>
                  <w:noWrap w:val="0"/>
                  <w:vAlign w:val="center"/>
                </w:tcPr>
                <w:p w14:paraId="110BD903">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0.414</w:t>
                  </w:r>
                </w:p>
              </w:tc>
            </w:tr>
            <w:tr w14:paraId="3A6A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11841E1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p>
              </w:tc>
              <w:tc>
                <w:tcPr>
                  <w:tcW w:w="340" w:type="pct"/>
                  <w:vMerge w:val="continue"/>
                  <w:noWrap w:val="0"/>
                  <w:vAlign w:val="center"/>
                </w:tcPr>
                <w:p w14:paraId="1521925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p>
              </w:tc>
              <w:tc>
                <w:tcPr>
                  <w:tcW w:w="328" w:type="pct"/>
                  <w:noWrap w:val="0"/>
                  <w:vAlign w:val="center"/>
                </w:tcPr>
                <w:p w14:paraId="0855DA6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rPr>
                  </w:pPr>
                  <w:r>
                    <w:rPr>
                      <w:rFonts w:hint="eastAsia"/>
                      <w:color w:val="auto"/>
                      <w:kern w:val="0"/>
                      <w:sz w:val="21"/>
                      <w:szCs w:val="21"/>
                      <w:lang w:val="en-US" w:eastAsia="zh-CN"/>
                    </w:rPr>
                    <w:t>无组织排放</w:t>
                  </w:r>
                </w:p>
              </w:tc>
              <w:tc>
                <w:tcPr>
                  <w:tcW w:w="364" w:type="pct"/>
                  <w:noWrap w:val="0"/>
                  <w:vAlign w:val="center"/>
                </w:tcPr>
                <w:p w14:paraId="68F6640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粉尘</w:t>
                  </w:r>
                </w:p>
              </w:tc>
              <w:tc>
                <w:tcPr>
                  <w:tcW w:w="334" w:type="pct"/>
                  <w:noWrap w:val="0"/>
                  <w:vAlign w:val="center"/>
                </w:tcPr>
                <w:p w14:paraId="7790411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78976AA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0.184</w:t>
                  </w:r>
                </w:p>
              </w:tc>
              <w:tc>
                <w:tcPr>
                  <w:tcW w:w="412" w:type="pct"/>
                  <w:noWrap w:val="0"/>
                  <w:vAlign w:val="center"/>
                </w:tcPr>
                <w:p w14:paraId="522869F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0.092</w:t>
                  </w:r>
                </w:p>
              </w:tc>
              <w:tc>
                <w:tcPr>
                  <w:tcW w:w="406" w:type="pct"/>
                  <w:noWrap w:val="0"/>
                  <w:vAlign w:val="center"/>
                </w:tcPr>
                <w:p w14:paraId="7F91B88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w:t>
                  </w:r>
                </w:p>
              </w:tc>
              <w:tc>
                <w:tcPr>
                  <w:tcW w:w="741" w:type="pct"/>
                  <w:noWrap w:val="0"/>
                  <w:vAlign w:val="center"/>
                </w:tcPr>
                <w:p w14:paraId="59BA997A">
                  <w:pPr>
                    <w:pStyle w:val="68"/>
                    <w:keepNext w:val="0"/>
                    <w:keepLines w:val="0"/>
                    <w:pageBreakBefore w:val="0"/>
                    <w:kinsoku/>
                    <w:wordWrap/>
                    <w:overflowPunct/>
                    <w:topLinePunct w:val="0"/>
                    <w:autoSpaceDE/>
                    <w:autoSpaceDN/>
                    <w:bidi w:val="0"/>
                    <w:snapToGrid/>
                    <w:spacing w:line="240" w:lineRule="auto"/>
                    <w:ind w:left="0" w:leftChars="0" w:firstLine="840" w:firstLineChars="400"/>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274" w:type="pct"/>
                  <w:noWrap w:val="0"/>
                  <w:vAlign w:val="center"/>
                </w:tcPr>
                <w:p w14:paraId="17C0314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394" w:type="pct"/>
                  <w:noWrap w:val="0"/>
                  <w:vAlign w:val="center"/>
                </w:tcPr>
                <w:p w14:paraId="3D13DA6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0.184</w:t>
                  </w:r>
                </w:p>
              </w:tc>
              <w:tc>
                <w:tcPr>
                  <w:tcW w:w="388" w:type="pct"/>
                  <w:noWrap w:val="0"/>
                  <w:vAlign w:val="center"/>
                </w:tcPr>
                <w:p w14:paraId="0FD191E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0.092</w:t>
                  </w:r>
                </w:p>
              </w:tc>
              <w:tc>
                <w:tcPr>
                  <w:tcW w:w="366" w:type="pct"/>
                  <w:noWrap w:val="0"/>
                  <w:vAlign w:val="center"/>
                </w:tcPr>
                <w:p w14:paraId="6B9F4B30">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r>
            <w:tr w14:paraId="382C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restart"/>
                  <w:noWrap w:val="0"/>
                  <w:vAlign w:val="center"/>
                </w:tcPr>
                <w:p w14:paraId="38B5B3C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color w:val="auto"/>
                      <w:kern w:val="0"/>
                      <w:sz w:val="21"/>
                      <w:szCs w:val="21"/>
                      <w:lang w:val="en-US" w:eastAsia="zh-CN"/>
                    </w:rPr>
                    <w:t>1#</w:t>
                  </w:r>
                  <w:r>
                    <w:rPr>
                      <w:color w:val="auto"/>
                      <w:kern w:val="0"/>
                      <w:sz w:val="21"/>
                      <w:szCs w:val="21"/>
                    </w:rPr>
                    <w:t>沥青混凝土生产线</w:t>
                  </w:r>
                </w:p>
              </w:tc>
              <w:tc>
                <w:tcPr>
                  <w:tcW w:w="340" w:type="pct"/>
                  <w:vMerge w:val="restart"/>
                  <w:noWrap w:val="0"/>
                  <w:vAlign w:val="center"/>
                </w:tcPr>
                <w:p w14:paraId="340BB62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rPr>
                  </w:pPr>
                  <w:r>
                    <w:rPr>
                      <w:rFonts w:hint="eastAsia" w:ascii="Times New Roman" w:hAnsi="Times New Roman" w:eastAsia="宋体" w:cs="Times New Roman"/>
                      <w:bCs/>
                      <w:color w:val="auto"/>
                      <w:sz w:val="21"/>
                      <w:szCs w:val="21"/>
                      <w:lang w:val="en-US" w:eastAsia="zh-CN"/>
                    </w:rPr>
                    <w:t>烘干滚筒、筛分过程、热骨料仓粉尘和燃烧器废气</w:t>
                  </w:r>
                </w:p>
              </w:tc>
              <w:tc>
                <w:tcPr>
                  <w:tcW w:w="328" w:type="pct"/>
                  <w:vMerge w:val="restart"/>
                  <w:noWrap w:val="0"/>
                  <w:vAlign w:val="center"/>
                </w:tcPr>
                <w:p w14:paraId="750042E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eastAsia="zh-CN"/>
                    </w:rPr>
                  </w:pPr>
                  <w:r>
                    <w:rPr>
                      <w:color w:val="auto"/>
                      <w:kern w:val="0"/>
                      <w:sz w:val="21"/>
                      <w:szCs w:val="21"/>
                    </w:rPr>
                    <w:t>DA002</w:t>
                  </w:r>
                </w:p>
              </w:tc>
              <w:tc>
                <w:tcPr>
                  <w:tcW w:w="364" w:type="pct"/>
                  <w:tcBorders>
                    <w:bottom w:val="single" w:color="auto" w:sz="4" w:space="0"/>
                  </w:tcBorders>
                  <w:noWrap w:val="0"/>
                  <w:vAlign w:val="center"/>
                </w:tcPr>
                <w:p w14:paraId="51B73C77">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SO</w:t>
                  </w:r>
                  <w:r>
                    <w:rPr>
                      <w:color w:val="auto"/>
                      <w:kern w:val="0"/>
                      <w:sz w:val="21"/>
                      <w:szCs w:val="21"/>
                      <w:vertAlign w:val="subscript"/>
                    </w:rPr>
                    <w:t>2</w:t>
                  </w:r>
                </w:p>
              </w:tc>
              <w:tc>
                <w:tcPr>
                  <w:tcW w:w="334" w:type="pct"/>
                  <w:vMerge w:val="restart"/>
                  <w:noWrap w:val="0"/>
                  <w:vAlign w:val="center"/>
                </w:tcPr>
                <w:p w14:paraId="7FB4EF6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tcBorders>
                    <w:bottom w:val="single" w:color="auto" w:sz="4" w:space="0"/>
                  </w:tcBorders>
                  <w:noWrap w:val="0"/>
                  <w:vAlign w:val="center"/>
                </w:tcPr>
                <w:p w14:paraId="109BD2F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0.0122</w:t>
                  </w:r>
                </w:p>
              </w:tc>
              <w:tc>
                <w:tcPr>
                  <w:tcW w:w="412" w:type="pct"/>
                  <w:tcBorders>
                    <w:bottom w:val="single" w:color="auto" w:sz="4" w:space="0"/>
                  </w:tcBorders>
                  <w:noWrap w:val="0"/>
                  <w:vAlign w:val="center"/>
                </w:tcPr>
                <w:p w14:paraId="0DE8CC5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0.0061</w:t>
                  </w:r>
                </w:p>
              </w:tc>
              <w:tc>
                <w:tcPr>
                  <w:tcW w:w="406" w:type="pct"/>
                  <w:tcBorders>
                    <w:bottom w:val="single" w:color="auto" w:sz="4" w:space="0"/>
                  </w:tcBorders>
                  <w:noWrap w:val="0"/>
                  <w:vAlign w:val="center"/>
                </w:tcPr>
                <w:p w14:paraId="2B2913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0.203</w:t>
                  </w:r>
                </w:p>
              </w:tc>
              <w:tc>
                <w:tcPr>
                  <w:tcW w:w="741" w:type="pct"/>
                  <w:vMerge w:val="restart"/>
                  <w:noWrap w:val="0"/>
                  <w:vAlign w:val="center"/>
                </w:tcPr>
                <w:p w14:paraId="626A1C0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烘干滚筒、筛分过程、热骨料仓粉尘、燃烧器废气由1个集气罩收集，沥青烟废气收集管道与呼吸阀直连，成品仓下料口设置1个集气罩收集，收集后经</w:t>
                  </w:r>
                  <w:r>
                    <w:rPr>
                      <w:rFonts w:hint="eastAsia"/>
                      <w:bCs/>
                      <w:color w:val="auto"/>
                      <w:kern w:val="0"/>
                      <w:sz w:val="21"/>
                      <w:szCs w:val="21"/>
                      <w:lang w:val="en-US" w:eastAsia="zh-CN"/>
                    </w:rPr>
                    <w:t>1套布袋除尘器</w:t>
                  </w:r>
                  <w:r>
                    <w:rPr>
                      <w:bCs/>
                      <w:color w:val="auto"/>
                      <w:kern w:val="0"/>
                      <w:sz w:val="21"/>
                      <w:szCs w:val="21"/>
                    </w:rPr>
                    <w:t>+</w:t>
                  </w:r>
                  <w:r>
                    <w:rPr>
                      <w:rFonts w:hint="eastAsia"/>
                      <w:bCs/>
                      <w:color w:val="auto"/>
                      <w:kern w:val="0"/>
                      <w:sz w:val="21"/>
                      <w:szCs w:val="21"/>
                      <w:lang w:val="en-US" w:eastAsia="zh-CN"/>
                    </w:rPr>
                    <w:t>二级</w:t>
                  </w:r>
                  <w:r>
                    <w:rPr>
                      <w:bCs/>
                      <w:color w:val="auto"/>
                      <w:kern w:val="0"/>
                      <w:sz w:val="21"/>
                      <w:szCs w:val="21"/>
                    </w:rPr>
                    <w:t>活性炭吸附</w:t>
                  </w:r>
                  <w:r>
                    <w:rPr>
                      <w:rFonts w:hint="eastAsia"/>
                      <w:bCs/>
                      <w:color w:val="auto"/>
                      <w:kern w:val="0"/>
                      <w:sz w:val="21"/>
                      <w:szCs w:val="21"/>
                      <w:lang w:val="en-US" w:eastAsia="zh-CN"/>
                    </w:rPr>
                    <w:t>设备处理</w:t>
                  </w:r>
                </w:p>
              </w:tc>
              <w:tc>
                <w:tcPr>
                  <w:tcW w:w="274" w:type="pct"/>
                  <w:tcBorders>
                    <w:bottom w:val="single" w:color="auto" w:sz="4" w:space="0"/>
                  </w:tcBorders>
                  <w:noWrap w:val="0"/>
                  <w:vAlign w:val="center"/>
                </w:tcPr>
                <w:p w14:paraId="493A508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w:t>
                  </w:r>
                </w:p>
              </w:tc>
              <w:tc>
                <w:tcPr>
                  <w:tcW w:w="394" w:type="pct"/>
                  <w:tcBorders>
                    <w:bottom w:val="single" w:color="auto" w:sz="4" w:space="0"/>
                  </w:tcBorders>
                  <w:noWrap w:val="0"/>
                  <w:vAlign w:val="center"/>
                </w:tcPr>
                <w:p w14:paraId="3246AA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0.0122</w:t>
                  </w:r>
                </w:p>
              </w:tc>
              <w:tc>
                <w:tcPr>
                  <w:tcW w:w="388" w:type="pct"/>
                  <w:noWrap w:val="0"/>
                  <w:vAlign w:val="center"/>
                </w:tcPr>
                <w:p w14:paraId="5A0B551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0.0061</w:t>
                  </w:r>
                </w:p>
              </w:tc>
              <w:tc>
                <w:tcPr>
                  <w:tcW w:w="366" w:type="pct"/>
                  <w:noWrap w:val="0"/>
                  <w:vAlign w:val="center"/>
                </w:tcPr>
                <w:p w14:paraId="2E5FEE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0.203</w:t>
                  </w:r>
                </w:p>
              </w:tc>
            </w:tr>
            <w:tr w14:paraId="6CD5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3CC03A7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453F05F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continue"/>
                  <w:noWrap w:val="0"/>
                  <w:vAlign w:val="center"/>
                </w:tcPr>
                <w:p w14:paraId="5EBF0C8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tcBorders>
                    <w:bottom w:val="single" w:color="auto" w:sz="4" w:space="0"/>
                  </w:tcBorders>
                  <w:noWrap w:val="0"/>
                  <w:vAlign w:val="center"/>
                </w:tcPr>
                <w:p w14:paraId="251B4A8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NO</w:t>
                  </w:r>
                  <w:r>
                    <w:rPr>
                      <w:color w:val="auto"/>
                      <w:kern w:val="0"/>
                      <w:sz w:val="21"/>
                      <w:szCs w:val="21"/>
                      <w:vertAlign w:val="subscript"/>
                    </w:rPr>
                    <w:t>X</w:t>
                  </w:r>
                </w:p>
              </w:tc>
              <w:tc>
                <w:tcPr>
                  <w:tcW w:w="334" w:type="pct"/>
                  <w:vMerge w:val="continue"/>
                  <w:noWrap w:val="0"/>
                  <w:vAlign w:val="center"/>
                </w:tcPr>
                <w:p w14:paraId="2DECA08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tcBorders>
                    <w:bottom w:val="single" w:color="auto" w:sz="4" w:space="0"/>
                  </w:tcBorders>
                  <w:noWrap w:val="0"/>
                  <w:vAlign w:val="center"/>
                </w:tcPr>
                <w:p w14:paraId="448CC8B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0.3878</w:t>
                  </w:r>
                </w:p>
              </w:tc>
              <w:tc>
                <w:tcPr>
                  <w:tcW w:w="412" w:type="pct"/>
                  <w:tcBorders>
                    <w:bottom w:val="single" w:color="auto" w:sz="4" w:space="0"/>
                  </w:tcBorders>
                  <w:noWrap w:val="0"/>
                  <w:vAlign w:val="center"/>
                </w:tcPr>
                <w:p w14:paraId="08B1247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
                    </w:rPr>
                    <w:t>0.1939</w:t>
                  </w:r>
                </w:p>
              </w:tc>
              <w:tc>
                <w:tcPr>
                  <w:tcW w:w="406" w:type="pct"/>
                  <w:tcBorders>
                    <w:bottom w:val="single" w:color="auto" w:sz="4" w:space="0"/>
                  </w:tcBorders>
                  <w:noWrap w:val="0"/>
                  <w:vAlign w:val="center"/>
                </w:tcPr>
                <w:p w14:paraId="6C6EE7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6.463</w:t>
                  </w:r>
                </w:p>
              </w:tc>
              <w:tc>
                <w:tcPr>
                  <w:tcW w:w="741" w:type="pct"/>
                  <w:vMerge w:val="continue"/>
                  <w:noWrap w:val="0"/>
                  <w:vAlign w:val="center"/>
                </w:tcPr>
                <w:p w14:paraId="563163B4">
                  <w:pPr>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sz w:val="21"/>
                      <w:szCs w:val="21"/>
                    </w:rPr>
                  </w:pPr>
                </w:p>
              </w:tc>
              <w:tc>
                <w:tcPr>
                  <w:tcW w:w="274" w:type="pct"/>
                  <w:tcBorders>
                    <w:bottom w:val="single" w:color="auto" w:sz="4" w:space="0"/>
                  </w:tcBorders>
                  <w:noWrap w:val="0"/>
                  <w:vAlign w:val="center"/>
                </w:tcPr>
                <w:p w14:paraId="42AE98D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w:t>
                  </w:r>
                </w:p>
              </w:tc>
              <w:tc>
                <w:tcPr>
                  <w:tcW w:w="394" w:type="pct"/>
                  <w:tcBorders>
                    <w:bottom w:val="single" w:color="auto" w:sz="4" w:space="0"/>
                  </w:tcBorders>
                  <w:noWrap w:val="0"/>
                  <w:vAlign w:val="center"/>
                </w:tcPr>
                <w:p w14:paraId="4B3C39F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color w:val="auto"/>
                      <w:kern w:val="0"/>
                      <w:sz w:val="21"/>
                      <w:szCs w:val="21"/>
                      <w:lang w:val="en-US" w:eastAsia="zh-CN"/>
                    </w:rPr>
                    <w:t>0.3878</w:t>
                  </w:r>
                </w:p>
              </w:tc>
              <w:tc>
                <w:tcPr>
                  <w:tcW w:w="388" w:type="pct"/>
                  <w:noWrap w:val="0"/>
                  <w:vAlign w:val="center"/>
                </w:tcPr>
                <w:p w14:paraId="122F0C1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ascii="Times New Roman" w:hAnsi="Times New Roman" w:eastAsia="宋体" w:cs="Times New Roman"/>
                      <w:color w:val="auto"/>
                      <w:kern w:val="0"/>
                      <w:sz w:val="21"/>
                      <w:szCs w:val="21"/>
                      <w:lang w:val="en-US" w:eastAsia="zh-CN" w:bidi="ar"/>
                    </w:rPr>
                    <w:t>0.1939</w:t>
                  </w:r>
                </w:p>
              </w:tc>
              <w:tc>
                <w:tcPr>
                  <w:tcW w:w="366" w:type="pct"/>
                  <w:noWrap w:val="0"/>
                  <w:vAlign w:val="center"/>
                </w:tcPr>
                <w:p w14:paraId="54DF75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rPr>
                  </w:pPr>
                  <w:r>
                    <w:rPr>
                      <w:rFonts w:hint="eastAsia" w:ascii="Times New Roman" w:hAnsi="Times New Roman" w:eastAsia="宋体" w:cs="Times New Roman"/>
                      <w:bCs/>
                      <w:color w:val="auto"/>
                      <w:kern w:val="0"/>
                      <w:sz w:val="21"/>
                      <w:szCs w:val="21"/>
                      <w:lang w:val="en-US" w:eastAsia="zh-CN"/>
                    </w:rPr>
                    <w:t>6.463</w:t>
                  </w:r>
                </w:p>
              </w:tc>
            </w:tr>
            <w:tr w14:paraId="7487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266" w:type="pct"/>
                  <w:vMerge w:val="continue"/>
                  <w:noWrap w:val="0"/>
                  <w:vAlign w:val="center"/>
                </w:tcPr>
                <w:p w14:paraId="7414B37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6D39139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continue"/>
                  <w:noWrap w:val="0"/>
                  <w:vAlign w:val="center"/>
                </w:tcPr>
                <w:p w14:paraId="372696C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103200C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颗粒物</w:t>
                  </w:r>
                </w:p>
              </w:tc>
              <w:tc>
                <w:tcPr>
                  <w:tcW w:w="334" w:type="pct"/>
                  <w:vMerge w:val="continue"/>
                  <w:noWrap w:val="0"/>
                  <w:vAlign w:val="center"/>
                </w:tcPr>
                <w:p w14:paraId="4A56774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54E6819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color w:val="auto"/>
                      <w:sz w:val="21"/>
                      <w:szCs w:val="21"/>
                      <w:lang w:val="en-US" w:eastAsia="zh-CN"/>
                    </w:rPr>
                    <w:t>64.4233</w:t>
                  </w:r>
                </w:p>
              </w:tc>
              <w:tc>
                <w:tcPr>
                  <w:tcW w:w="412" w:type="pct"/>
                  <w:noWrap w:val="0"/>
                  <w:vAlign w:val="center"/>
                </w:tcPr>
                <w:p w14:paraId="3A62F6A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32.217</w:t>
                  </w:r>
                </w:p>
              </w:tc>
              <w:tc>
                <w:tcPr>
                  <w:tcW w:w="406" w:type="pct"/>
                  <w:noWrap w:val="0"/>
                  <w:vAlign w:val="center"/>
                </w:tcPr>
                <w:p w14:paraId="39D905B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color w:val="auto"/>
                      <w:sz w:val="21"/>
                      <w:szCs w:val="21"/>
                      <w:lang w:val="en-US" w:eastAsia="zh-CN"/>
                    </w:rPr>
                    <w:t>1160.555</w:t>
                  </w:r>
                </w:p>
              </w:tc>
              <w:tc>
                <w:tcPr>
                  <w:tcW w:w="741" w:type="pct"/>
                  <w:vMerge w:val="continue"/>
                  <w:noWrap w:val="0"/>
                  <w:vAlign w:val="center"/>
                </w:tcPr>
                <w:p w14:paraId="7A037D4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noWrap w:val="0"/>
                  <w:vAlign w:val="center"/>
                </w:tcPr>
                <w:p w14:paraId="6AD468A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99%</w:t>
                  </w:r>
                </w:p>
              </w:tc>
              <w:tc>
                <w:tcPr>
                  <w:tcW w:w="394" w:type="pct"/>
                  <w:noWrap w:val="0"/>
                  <w:vAlign w:val="center"/>
                </w:tcPr>
                <w:p w14:paraId="1B0B27C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
                    </w:rPr>
                    <w:t>0.6963</w:t>
                  </w:r>
                </w:p>
              </w:tc>
              <w:tc>
                <w:tcPr>
                  <w:tcW w:w="388" w:type="pct"/>
                  <w:noWrap w:val="0"/>
                  <w:vAlign w:val="center"/>
                </w:tcPr>
                <w:p w14:paraId="4062A9F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
                    </w:rPr>
                    <w:t>0.3482</w:t>
                  </w:r>
                </w:p>
              </w:tc>
              <w:tc>
                <w:tcPr>
                  <w:tcW w:w="366" w:type="pct"/>
                  <w:noWrap w:val="0"/>
                  <w:vAlign w:val="center"/>
                </w:tcPr>
                <w:p w14:paraId="52FE8DD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color w:val="auto"/>
                      <w:sz w:val="21"/>
                      <w:szCs w:val="21"/>
                      <w:lang w:val="en-US" w:eastAsia="zh-CN"/>
                    </w:rPr>
                    <w:t>11.606</w:t>
                  </w:r>
                </w:p>
              </w:tc>
            </w:tr>
            <w:tr w14:paraId="2F4F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1363D06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restart"/>
                  <w:noWrap w:val="0"/>
                  <w:vAlign w:val="center"/>
                </w:tcPr>
                <w:p w14:paraId="27D8FE3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eastAsia="zh-CN"/>
                    </w:rPr>
                  </w:pPr>
                  <w:r>
                    <w:rPr>
                      <w:rFonts w:hint="eastAsia" w:ascii="Times New Roman" w:hAnsi="Times New Roman" w:eastAsia="宋体" w:cs="Times New Roman"/>
                      <w:bCs/>
                      <w:color w:val="auto"/>
                      <w:sz w:val="21"/>
                      <w:szCs w:val="21"/>
                      <w:lang w:eastAsia="zh-CN"/>
                    </w:rPr>
                    <w:t>沥青罐、搅拌机及成品仓废气</w:t>
                  </w:r>
                </w:p>
              </w:tc>
              <w:tc>
                <w:tcPr>
                  <w:tcW w:w="328" w:type="pct"/>
                  <w:vMerge w:val="continue"/>
                  <w:noWrap w:val="0"/>
                  <w:vAlign w:val="center"/>
                </w:tcPr>
                <w:p w14:paraId="22A74B47">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eastAsia="zh-CN"/>
                    </w:rPr>
                  </w:pPr>
                </w:p>
              </w:tc>
              <w:tc>
                <w:tcPr>
                  <w:tcW w:w="364" w:type="pct"/>
                  <w:noWrap w:val="0"/>
                  <w:vAlign w:val="center"/>
                </w:tcPr>
                <w:p w14:paraId="4046F79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沥青烟</w:t>
                  </w:r>
                </w:p>
              </w:tc>
              <w:tc>
                <w:tcPr>
                  <w:tcW w:w="334" w:type="pct"/>
                  <w:vMerge w:val="restart"/>
                  <w:noWrap w:val="0"/>
                  <w:vAlign w:val="center"/>
                </w:tcPr>
                <w:p w14:paraId="59F0C30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3C2E236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0.230</w:t>
                  </w:r>
                </w:p>
              </w:tc>
              <w:tc>
                <w:tcPr>
                  <w:tcW w:w="412" w:type="pct"/>
                  <w:noWrap w:val="0"/>
                  <w:vAlign w:val="center"/>
                </w:tcPr>
                <w:p w14:paraId="12935EF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0.115</w:t>
                  </w:r>
                </w:p>
              </w:tc>
              <w:tc>
                <w:tcPr>
                  <w:tcW w:w="406" w:type="pct"/>
                  <w:noWrap w:val="0"/>
                  <w:vAlign w:val="center"/>
                </w:tcPr>
                <w:p w14:paraId="5460E76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3.833</w:t>
                  </w:r>
                </w:p>
              </w:tc>
              <w:tc>
                <w:tcPr>
                  <w:tcW w:w="741" w:type="pct"/>
                  <w:vMerge w:val="continue"/>
                  <w:noWrap w:val="0"/>
                  <w:vAlign w:val="center"/>
                </w:tcPr>
                <w:p w14:paraId="1FC4747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p>
              </w:tc>
              <w:tc>
                <w:tcPr>
                  <w:tcW w:w="274" w:type="pct"/>
                  <w:vMerge w:val="restart"/>
                  <w:noWrap w:val="0"/>
                  <w:vAlign w:val="center"/>
                </w:tcPr>
                <w:p w14:paraId="4C1F376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color w:val="auto"/>
                      <w:kern w:val="0"/>
                      <w:sz w:val="21"/>
                      <w:szCs w:val="21"/>
                    </w:rPr>
                    <w:t>9</w:t>
                  </w:r>
                  <w:r>
                    <w:rPr>
                      <w:rFonts w:hint="eastAsia"/>
                      <w:color w:val="auto"/>
                      <w:kern w:val="0"/>
                      <w:sz w:val="21"/>
                      <w:szCs w:val="21"/>
                      <w:lang w:val="en-US" w:eastAsia="zh-CN"/>
                    </w:rPr>
                    <w:t>8</w:t>
                  </w:r>
                  <w:r>
                    <w:rPr>
                      <w:color w:val="auto"/>
                      <w:kern w:val="0"/>
                      <w:sz w:val="21"/>
                      <w:szCs w:val="21"/>
                    </w:rPr>
                    <w:t>%</w:t>
                  </w:r>
                </w:p>
              </w:tc>
              <w:tc>
                <w:tcPr>
                  <w:tcW w:w="394" w:type="pct"/>
                  <w:noWrap w:val="0"/>
                  <w:vAlign w:val="center"/>
                </w:tcPr>
                <w:p w14:paraId="2174812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0.0046</w:t>
                  </w:r>
                </w:p>
              </w:tc>
              <w:tc>
                <w:tcPr>
                  <w:tcW w:w="388" w:type="pct"/>
                  <w:noWrap w:val="0"/>
                  <w:vAlign w:val="center"/>
                </w:tcPr>
                <w:p w14:paraId="40BD69C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0.0023</w:t>
                  </w:r>
                </w:p>
              </w:tc>
              <w:tc>
                <w:tcPr>
                  <w:tcW w:w="366" w:type="pct"/>
                  <w:noWrap w:val="0"/>
                  <w:vAlign w:val="center"/>
                </w:tcPr>
                <w:p w14:paraId="473FF3F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0.077</w:t>
                  </w:r>
                </w:p>
              </w:tc>
            </w:tr>
            <w:tr w14:paraId="70F0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04430E9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02F3F92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continue"/>
                  <w:noWrap w:val="0"/>
                  <w:vAlign w:val="center"/>
                </w:tcPr>
                <w:p w14:paraId="3CB00E4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5259C97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bCs/>
                      <w:color w:val="auto"/>
                      <w:kern w:val="0"/>
                      <w:sz w:val="21"/>
                      <w:szCs w:val="21"/>
                    </w:rPr>
                    <w:t>苯并[a]芘</w:t>
                  </w:r>
                </w:p>
              </w:tc>
              <w:tc>
                <w:tcPr>
                  <w:tcW w:w="334" w:type="pct"/>
                  <w:vMerge w:val="continue"/>
                  <w:noWrap w:val="0"/>
                  <w:vAlign w:val="center"/>
                </w:tcPr>
                <w:p w14:paraId="477CA4F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21C0EAD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cs="Times New Roman"/>
                      <w:bCs/>
                      <w:color w:val="auto"/>
                      <w:sz w:val="21"/>
                      <w:szCs w:val="21"/>
                      <w:lang w:val="en-US" w:eastAsia="zh-CN"/>
                    </w:rPr>
                    <w:t>5.10</w:t>
                  </w:r>
                  <w:r>
                    <w:rPr>
                      <w:rFonts w:hint="default" w:ascii="Times New Roman" w:hAnsi="Times New Roman" w:cs="Times New Roman"/>
                      <w:bCs/>
                      <w:color w:val="auto"/>
                      <w:sz w:val="21"/>
                      <w:szCs w:val="21"/>
                    </w:rPr>
                    <w:t>×10</w:t>
                  </w:r>
                  <w:r>
                    <w:rPr>
                      <w:rFonts w:hint="default" w:ascii="Times New Roman" w:hAnsi="Times New Roman" w:cs="Times New Roman"/>
                      <w:bCs/>
                      <w:color w:val="auto"/>
                      <w:sz w:val="21"/>
                      <w:szCs w:val="21"/>
                      <w:vertAlign w:val="superscript"/>
                    </w:rPr>
                    <w:t>-</w:t>
                  </w:r>
                  <w:r>
                    <w:rPr>
                      <w:rFonts w:hint="eastAsia" w:cs="Times New Roman"/>
                      <w:bCs/>
                      <w:color w:val="auto"/>
                      <w:sz w:val="21"/>
                      <w:szCs w:val="21"/>
                      <w:vertAlign w:val="superscript"/>
                      <w:lang w:val="en-US" w:eastAsia="zh-CN"/>
                    </w:rPr>
                    <w:t>4</w:t>
                  </w:r>
                </w:p>
              </w:tc>
              <w:tc>
                <w:tcPr>
                  <w:tcW w:w="412" w:type="pct"/>
                  <w:noWrap w:val="0"/>
                  <w:vAlign w:val="center"/>
                </w:tcPr>
                <w:p w14:paraId="21E777D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2.55</w:t>
                  </w:r>
                  <w:r>
                    <w:rPr>
                      <w:rFonts w:hint="default" w:ascii="Times New Roman" w:hAnsi="Times New Roman" w:cs="Times New Roman"/>
                      <w:bCs/>
                      <w:color w:val="auto"/>
                      <w:sz w:val="21"/>
                      <w:szCs w:val="21"/>
                    </w:rPr>
                    <w:t>×10</w:t>
                  </w:r>
                  <w:r>
                    <w:rPr>
                      <w:rFonts w:hint="default" w:ascii="Times New Roman" w:hAnsi="Times New Roman" w:cs="Times New Roman"/>
                      <w:bCs/>
                      <w:color w:val="auto"/>
                      <w:sz w:val="21"/>
                      <w:szCs w:val="21"/>
                      <w:vertAlign w:val="superscript"/>
                    </w:rPr>
                    <w:t>-</w:t>
                  </w:r>
                  <w:r>
                    <w:rPr>
                      <w:rFonts w:hint="eastAsia" w:cs="Times New Roman"/>
                      <w:bCs/>
                      <w:color w:val="auto"/>
                      <w:sz w:val="21"/>
                      <w:szCs w:val="21"/>
                      <w:vertAlign w:val="superscript"/>
                      <w:lang w:val="en-US" w:eastAsia="zh-CN"/>
                    </w:rPr>
                    <w:t>4</w:t>
                  </w:r>
                </w:p>
              </w:tc>
              <w:tc>
                <w:tcPr>
                  <w:tcW w:w="406" w:type="pct"/>
                  <w:noWrap w:val="0"/>
                  <w:vAlign w:val="center"/>
                </w:tcPr>
                <w:p w14:paraId="5DF4014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rPr>
                  </w:pPr>
                  <w:r>
                    <w:rPr>
                      <w:rFonts w:hint="eastAsia"/>
                      <w:bCs/>
                      <w:color w:val="auto"/>
                      <w:sz w:val="21"/>
                      <w:szCs w:val="21"/>
                      <w:lang w:val="en-US" w:eastAsia="zh-CN"/>
                    </w:rPr>
                    <w:t>0.0086</w:t>
                  </w:r>
                </w:p>
              </w:tc>
              <w:tc>
                <w:tcPr>
                  <w:tcW w:w="741" w:type="pct"/>
                  <w:vMerge w:val="continue"/>
                  <w:noWrap w:val="0"/>
                  <w:vAlign w:val="center"/>
                </w:tcPr>
                <w:p w14:paraId="1C4B78C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vMerge w:val="continue"/>
                  <w:noWrap w:val="0"/>
                  <w:vAlign w:val="center"/>
                </w:tcPr>
                <w:p w14:paraId="7C5526A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94" w:type="pct"/>
                  <w:noWrap w:val="0"/>
                  <w:vAlign w:val="center"/>
                </w:tcPr>
                <w:p w14:paraId="70978E3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1.02</w:t>
                  </w:r>
                  <w:r>
                    <w:rPr>
                      <w:rFonts w:hint="default" w:ascii="Times New Roman" w:hAnsi="Times New Roman" w:cs="Times New Roman"/>
                      <w:bCs/>
                      <w:color w:val="auto"/>
                      <w:sz w:val="21"/>
                      <w:szCs w:val="21"/>
                    </w:rPr>
                    <w:t>×10</w:t>
                  </w:r>
                  <w:r>
                    <w:rPr>
                      <w:rFonts w:hint="default" w:ascii="Times New Roman" w:hAnsi="Times New Roman" w:cs="Times New Roman"/>
                      <w:bCs/>
                      <w:color w:val="auto"/>
                      <w:sz w:val="21"/>
                      <w:szCs w:val="21"/>
                      <w:vertAlign w:val="superscript"/>
                    </w:rPr>
                    <w:t>-</w:t>
                  </w:r>
                  <w:r>
                    <w:rPr>
                      <w:rFonts w:hint="eastAsia" w:cs="Times New Roman"/>
                      <w:bCs/>
                      <w:color w:val="auto"/>
                      <w:sz w:val="21"/>
                      <w:szCs w:val="21"/>
                      <w:vertAlign w:val="superscript"/>
                      <w:lang w:val="en-US" w:eastAsia="zh-CN"/>
                    </w:rPr>
                    <w:t>5</w:t>
                  </w:r>
                </w:p>
              </w:tc>
              <w:tc>
                <w:tcPr>
                  <w:tcW w:w="388" w:type="pct"/>
                  <w:noWrap w:val="0"/>
                  <w:vAlign w:val="center"/>
                </w:tcPr>
                <w:p w14:paraId="39F812D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cs="Times New Roman"/>
                      <w:bCs/>
                      <w:color w:val="auto"/>
                      <w:sz w:val="21"/>
                      <w:szCs w:val="21"/>
                      <w:lang w:val="en-US" w:eastAsia="zh-CN"/>
                    </w:rPr>
                    <w:t>5.1</w:t>
                  </w:r>
                  <w:r>
                    <w:rPr>
                      <w:rFonts w:hint="default" w:ascii="Times New Roman" w:hAnsi="Times New Roman" w:cs="Times New Roman"/>
                      <w:bCs/>
                      <w:color w:val="auto"/>
                      <w:sz w:val="21"/>
                      <w:szCs w:val="21"/>
                    </w:rPr>
                    <w:t>×10</w:t>
                  </w:r>
                  <w:r>
                    <w:rPr>
                      <w:rFonts w:hint="default" w:ascii="Times New Roman" w:hAnsi="Times New Roman" w:cs="Times New Roman"/>
                      <w:bCs/>
                      <w:color w:val="auto"/>
                      <w:sz w:val="21"/>
                      <w:szCs w:val="21"/>
                      <w:vertAlign w:val="superscript"/>
                    </w:rPr>
                    <w:t>-</w:t>
                  </w:r>
                  <w:r>
                    <w:rPr>
                      <w:rFonts w:hint="eastAsia" w:cs="Times New Roman"/>
                      <w:bCs/>
                      <w:color w:val="auto"/>
                      <w:sz w:val="21"/>
                      <w:szCs w:val="21"/>
                      <w:vertAlign w:val="superscript"/>
                      <w:lang w:val="en-US" w:eastAsia="zh-CN"/>
                    </w:rPr>
                    <w:t>6</w:t>
                  </w:r>
                </w:p>
              </w:tc>
              <w:tc>
                <w:tcPr>
                  <w:tcW w:w="366" w:type="pct"/>
                  <w:noWrap w:val="0"/>
                  <w:vAlign w:val="center"/>
                </w:tcPr>
                <w:p w14:paraId="3D53866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bCs/>
                      <w:color w:val="auto"/>
                      <w:sz w:val="21"/>
                      <w:szCs w:val="21"/>
                      <w:lang w:val="en-US" w:eastAsia="zh-CN"/>
                    </w:rPr>
                    <w:t>1.7</w:t>
                  </w:r>
                  <w:r>
                    <w:rPr>
                      <w:rFonts w:hint="default" w:ascii="Times New Roman" w:hAnsi="Times New Roman" w:cs="Times New Roman"/>
                      <w:bCs/>
                      <w:color w:val="auto"/>
                      <w:sz w:val="21"/>
                      <w:szCs w:val="21"/>
                    </w:rPr>
                    <w:t>×10</w:t>
                  </w:r>
                  <w:r>
                    <w:rPr>
                      <w:rFonts w:hint="default" w:ascii="Times New Roman" w:hAnsi="Times New Roman" w:cs="Times New Roman"/>
                      <w:bCs/>
                      <w:color w:val="auto"/>
                      <w:sz w:val="21"/>
                      <w:szCs w:val="21"/>
                      <w:vertAlign w:val="superscript"/>
                    </w:rPr>
                    <w:t>-</w:t>
                  </w:r>
                  <w:r>
                    <w:rPr>
                      <w:rFonts w:hint="eastAsia" w:cs="Times New Roman"/>
                      <w:bCs/>
                      <w:color w:val="auto"/>
                      <w:sz w:val="21"/>
                      <w:szCs w:val="21"/>
                      <w:vertAlign w:val="superscript"/>
                      <w:lang w:val="en-US" w:eastAsia="zh-CN"/>
                    </w:rPr>
                    <w:t>4</w:t>
                  </w:r>
                </w:p>
              </w:tc>
            </w:tr>
            <w:tr w14:paraId="0D28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230A67C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719083F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restart"/>
                  <w:noWrap w:val="0"/>
                  <w:vAlign w:val="center"/>
                </w:tcPr>
                <w:p w14:paraId="1A6E9E0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无组织排放</w:t>
                  </w:r>
                </w:p>
              </w:tc>
              <w:tc>
                <w:tcPr>
                  <w:tcW w:w="364" w:type="pct"/>
                  <w:noWrap w:val="0"/>
                  <w:vAlign w:val="center"/>
                </w:tcPr>
                <w:p w14:paraId="738610E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沥青烟</w:t>
                  </w:r>
                </w:p>
              </w:tc>
              <w:tc>
                <w:tcPr>
                  <w:tcW w:w="334" w:type="pct"/>
                  <w:vMerge w:val="restart"/>
                  <w:noWrap w:val="0"/>
                  <w:vAlign w:val="center"/>
                </w:tcPr>
                <w:p w14:paraId="7B23612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1FFF2C8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color w:val="auto"/>
                      <w:kern w:val="0"/>
                      <w:sz w:val="21"/>
                      <w:szCs w:val="21"/>
                    </w:rPr>
                    <w:t>0.00</w:t>
                  </w:r>
                  <w:r>
                    <w:rPr>
                      <w:rFonts w:hint="eastAsia"/>
                      <w:color w:val="auto"/>
                      <w:kern w:val="0"/>
                      <w:sz w:val="21"/>
                      <w:szCs w:val="21"/>
                      <w:lang w:val="en-US" w:eastAsia="zh-CN"/>
                    </w:rPr>
                    <w:t>23</w:t>
                  </w:r>
                </w:p>
              </w:tc>
              <w:tc>
                <w:tcPr>
                  <w:tcW w:w="412" w:type="pct"/>
                  <w:noWrap w:val="0"/>
                  <w:vAlign w:val="center"/>
                </w:tcPr>
                <w:p w14:paraId="10CEE90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0.00115</w:t>
                  </w:r>
                </w:p>
              </w:tc>
              <w:tc>
                <w:tcPr>
                  <w:tcW w:w="406" w:type="pct"/>
                  <w:noWrap w:val="0"/>
                  <w:vAlign w:val="center"/>
                </w:tcPr>
                <w:p w14:paraId="7BB3D59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w:t>
                  </w:r>
                </w:p>
              </w:tc>
              <w:tc>
                <w:tcPr>
                  <w:tcW w:w="741" w:type="pct"/>
                  <w:vMerge w:val="restart"/>
                  <w:noWrap w:val="0"/>
                  <w:vAlign w:val="center"/>
                </w:tcPr>
                <w:p w14:paraId="418799E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eastAsia="zh-CN"/>
                    </w:rPr>
                  </w:pPr>
                  <w:r>
                    <w:rPr>
                      <w:rFonts w:hint="eastAsia"/>
                      <w:color w:val="auto"/>
                      <w:kern w:val="0"/>
                      <w:sz w:val="21"/>
                      <w:szCs w:val="21"/>
                      <w:lang w:val="en-US" w:eastAsia="zh-CN"/>
                    </w:rPr>
                    <w:t>/</w:t>
                  </w:r>
                </w:p>
              </w:tc>
              <w:tc>
                <w:tcPr>
                  <w:tcW w:w="274" w:type="pct"/>
                  <w:vMerge w:val="restart"/>
                  <w:noWrap w:val="0"/>
                  <w:vAlign w:val="center"/>
                </w:tcPr>
                <w:p w14:paraId="360E00A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w:t>
                  </w:r>
                </w:p>
              </w:tc>
              <w:tc>
                <w:tcPr>
                  <w:tcW w:w="394" w:type="pct"/>
                  <w:noWrap w:val="0"/>
                  <w:vAlign w:val="center"/>
                </w:tcPr>
                <w:p w14:paraId="7D3B124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0.00</w:t>
                  </w:r>
                  <w:r>
                    <w:rPr>
                      <w:rFonts w:hint="eastAsia"/>
                      <w:color w:val="auto"/>
                      <w:kern w:val="0"/>
                      <w:sz w:val="21"/>
                      <w:szCs w:val="21"/>
                      <w:lang w:val="en-US" w:eastAsia="zh-CN"/>
                    </w:rPr>
                    <w:t>23</w:t>
                  </w:r>
                </w:p>
              </w:tc>
              <w:tc>
                <w:tcPr>
                  <w:tcW w:w="388" w:type="pct"/>
                  <w:noWrap w:val="0"/>
                  <w:vAlign w:val="center"/>
                </w:tcPr>
                <w:p w14:paraId="1432CA3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eastAsia="宋体"/>
                      <w:color w:val="auto"/>
                      <w:kern w:val="0"/>
                      <w:sz w:val="21"/>
                      <w:szCs w:val="21"/>
                      <w:lang w:val="en-US" w:eastAsia="zh-CN"/>
                    </w:rPr>
                    <w:t>0.00115</w:t>
                  </w:r>
                </w:p>
              </w:tc>
              <w:tc>
                <w:tcPr>
                  <w:tcW w:w="366" w:type="pct"/>
                  <w:noWrap w:val="0"/>
                  <w:vAlign w:val="center"/>
                </w:tcPr>
                <w:p w14:paraId="4F27A91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w:t>
                  </w:r>
                </w:p>
              </w:tc>
            </w:tr>
            <w:tr w14:paraId="0B0E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5CEBE6E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0B8ADC27">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continue"/>
                  <w:noWrap w:val="0"/>
                  <w:vAlign w:val="center"/>
                </w:tcPr>
                <w:p w14:paraId="1333C56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71FD183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bCs/>
                      <w:color w:val="auto"/>
                      <w:kern w:val="0"/>
                      <w:sz w:val="21"/>
                      <w:szCs w:val="21"/>
                    </w:rPr>
                    <w:t>苯并[a]芘</w:t>
                  </w:r>
                </w:p>
              </w:tc>
              <w:tc>
                <w:tcPr>
                  <w:tcW w:w="334" w:type="pct"/>
                  <w:vMerge w:val="continue"/>
                  <w:noWrap w:val="0"/>
                  <w:vAlign w:val="center"/>
                </w:tcPr>
                <w:p w14:paraId="7A064FB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233C513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bCs/>
                      <w:color w:val="auto"/>
                      <w:sz w:val="21"/>
                      <w:szCs w:val="21"/>
                      <w:lang w:val="en-US" w:eastAsia="zh-CN"/>
                    </w:rPr>
                    <w:t>5.15</w:t>
                  </w:r>
                  <w:r>
                    <w:rPr>
                      <w:rFonts w:hint="default" w:ascii="Times New Roman" w:hAnsi="Times New Roman" w:cs="Times New Roman"/>
                      <w:bCs/>
                      <w:color w:val="auto"/>
                      <w:sz w:val="21"/>
                      <w:szCs w:val="21"/>
                    </w:rPr>
                    <w:t>×10</w:t>
                  </w:r>
                  <w:r>
                    <w:rPr>
                      <w:rFonts w:hint="default" w:ascii="Times New Roman" w:hAnsi="Times New Roman" w:cs="Times New Roman"/>
                      <w:bCs/>
                      <w:color w:val="auto"/>
                      <w:sz w:val="21"/>
                      <w:szCs w:val="21"/>
                      <w:vertAlign w:val="superscript"/>
                    </w:rPr>
                    <w:t>-</w:t>
                  </w:r>
                  <w:r>
                    <w:rPr>
                      <w:rFonts w:hint="eastAsia" w:cs="Times New Roman"/>
                      <w:bCs/>
                      <w:color w:val="auto"/>
                      <w:sz w:val="21"/>
                      <w:szCs w:val="21"/>
                      <w:vertAlign w:val="superscript"/>
                      <w:lang w:val="en-US" w:eastAsia="zh-CN"/>
                    </w:rPr>
                    <w:t>6</w:t>
                  </w:r>
                </w:p>
              </w:tc>
              <w:tc>
                <w:tcPr>
                  <w:tcW w:w="412" w:type="pct"/>
                  <w:noWrap w:val="0"/>
                  <w:vAlign w:val="center"/>
                </w:tcPr>
                <w:p w14:paraId="1455ACE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2.58</w:t>
                  </w:r>
                  <w:r>
                    <w:rPr>
                      <w:rFonts w:hint="default" w:ascii="Times New Roman" w:hAnsi="Times New Roman" w:cs="Times New Roman"/>
                      <w:bCs/>
                      <w:color w:val="auto"/>
                      <w:sz w:val="21"/>
                      <w:szCs w:val="21"/>
                    </w:rPr>
                    <w:t>×10</w:t>
                  </w:r>
                  <w:r>
                    <w:rPr>
                      <w:rFonts w:hint="default" w:ascii="Times New Roman" w:hAnsi="Times New Roman" w:cs="Times New Roman"/>
                      <w:bCs/>
                      <w:color w:val="auto"/>
                      <w:sz w:val="21"/>
                      <w:szCs w:val="21"/>
                      <w:vertAlign w:val="superscript"/>
                    </w:rPr>
                    <w:t>-</w:t>
                  </w:r>
                  <w:r>
                    <w:rPr>
                      <w:rFonts w:hint="eastAsia" w:cs="Times New Roman"/>
                      <w:bCs/>
                      <w:color w:val="auto"/>
                      <w:sz w:val="21"/>
                      <w:szCs w:val="21"/>
                      <w:vertAlign w:val="superscript"/>
                      <w:lang w:val="en-US" w:eastAsia="zh-CN"/>
                    </w:rPr>
                    <w:t>6</w:t>
                  </w:r>
                </w:p>
              </w:tc>
              <w:tc>
                <w:tcPr>
                  <w:tcW w:w="406" w:type="pct"/>
                  <w:noWrap w:val="0"/>
                  <w:vAlign w:val="center"/>
                </w:tcPr>
                <w:p w14:paraId="38C56F5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w:t>
                  </w:r>
                </w:p>
              </w:tc>
              <w:tc>
                <w:tcPr>
                  <w:tcW w:w="741" w:type="pct"/>
                  <w:vMerge w:val="continue"/>
                  <w:noWrap w:val="0"/>
                  <w:vAlign w:val="center"/>
                </w:tcPr>
                <w:p w14:paraId="70BF5EF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vMerge w:val="continue"/>
                  <w:noWrap w:val="0"/>
                  <w:vAlign w:val="center"/>
                </w:tcPr>
                <w:p w14:paraId="176363B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94" w:type="pct"/>
                  <w:noWrap w:val="0"/>
                  <w:vAlign w:val="center"/>
                </w:tcPr>
                <w:p w14:paraId="6F7E8E9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bCs/>
                      <w:color w:val="auto"/>
                      <w:sz w:val="21"/>
                      <w:szCs w:val="21"/>
                      <w:lang w:val="en-US" w:eastAsia="zh-CN"/>
                    </w:rPr>
                    <w:t>5.15</w:t>
                  </w:r>
                  <w:r>
                    <w:rPr>
                      <w:rFonts w:hint="default" w:ascii="Times New Roman" w:hAnsi="Times New Roman" w:cs="Times New Roman"/>
                      <w:bCs/>
                      <w:color w:val="auto"/>
                      <w:sz w:val="21"/>
                      <w:szCs w:val="21"/>
                    </w:rPr>
                    <w:t>×10</w:t>
                  </w:r>
                  <w:r>
                    <w:rPr>
                      <w:rFonts w:hint="default" w:ascii="Times New Roman" w:hAnsi="Times New Roman" w:cs="Times New Roman"/>
                      <w:bCs/>
                      <w:color w:val="auto"/>
                      <w:sz w:val="21"/>
                      <w:szCs w:val="21"/>
                      <w:vertAlign w:val="superscript"/>
                    </w:rPr>
                    <w:t>-</w:t>
                  </w:r>
                  <w:r>
                    <w:rPr>
                      <w:rFonts w:hint="eastAsia" w:cs="Times New Roman"/>
                      <w:bCs/>
                      <w:color w:val="auto"/>
                      <w:sz w:val="21"/>
                      <w:szCs w:val="21"/>
                      <w:vertAlign w:val="superscript"/>
                      <w:lang w:val="en-US" w:eastAsia="zh-CN"/>
                    </w:rPr>
                    <w:t>6</w:t>
                  </w:r>
                </w:p>
              </w:tc>
              <w:tc>
                <w:tcPr>
                  <w:tcW w:w="388" w:type="pct"/>
                  <w:noWrap w:val="0"/>
                  <w:vAlign w:val="center"/>
                </w:tcPr>
                <w:p w14:paraId="64A08B2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color w:val="auto"/>
                      <w:kern w:val="0"/>
                      <w:sz w:val="21"/>
                      <w:szCs w:val="21"/>
                      <w:lang w:val="en-US" w:eastAsia="zh-CN"/>
                    </w:rPr>
                    <w:t>2.58</w:t>
                  </w:r>
                  <w:r>
                    <w:rPr>
                      <w:rFonts w:hint="default" w:ascii="Times New Roman" w:hAnsi="Times New Roman" w:cs="Times New Roman"/>
                      <w:bCs/>
                      <w:color w:val="auto"/>
                      <w:sz w:val="21"/>
                      <w:szCs w:val="21"/>
                    </w:rPr>
                    <w:t>×10</w:t>
                  </w:r>
                  <w:r>
                    <w:rPr>
                      <w:rFonts w:hint="default" w:ascii="Times New Roman" w:hAnsi="Times New Roman" w:cs="Times New Roman"/>
                      <w:bCs/>
                      <w:color w:val="auto"/>
                      <w:sz w:val="21"/>
                      <w:szCs w:val="21"/>
                      <w:vertAlign w:val="superscript"/>
                    </w:rPr>
                    <w:t>-</w:t>
                  </w:r>
                  <w:r>
                    <w:rPr>
                      <w:rFonts w:hint="eastAsia" w:cs="Times New Roman"/>
                      <w:bCs/>
                      <w:color w:val="auto"/>
                      <w:sz w:val="21"/>
                      <w:szCs w:val="21"/>
                      <w:vertAlign w:val="superscript"/>
                      <w:lang w:val="en-US" w:eastAsia="zh-CN"/>
                    </w:rPr>
                    <w:t>6</w:t>
                  </w:r>
                </w:p>
              </w:tc>
              <w:tc>
                <w:tcPr>
                  <w:tcW w:w="366" w:type="pct"/>
                  <w:noWrap w:val="0"/>
                  <w:vAlign w:val="center"/>
                </w:tcPr>
                <w:p w14:paraId="0517E87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w:t>
                  </w:r>
                </w:p>
              </w:tc>
            </w:tr>
            <w:tr w14:paraId="67A4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66" w:type="pct"/>
                  <w:vMerge w:val="continue"/>
                  <w:noWrap w:val="0"/>
                  <w:vAlign w:val="center"/>
                </w:tcPr>
                <w:p w14:paraId="230201E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restart"/>
                  <w:noWrap w:val="0"/>
                  <w:vAlign w:val="center"/>
                </w:tcPr>
                <w:p w14:paraId="6C2A5F4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ascii="Times New Roman" w:hAnsi="Times New Roman" w:eastAsia="宋体" w:cs="Times New Roman"/>
                      <w:bCs/>
                      <w:color w:val="auto"/>
                      <w:sz w:val="21"/>
                      <w:szCs w:val="21"/>
                      <w:lang w:eastAsia="zh-CN"/>
                    </w:rPr>
                    <w:t>导热油锅炉废气</w:t>
                  </w:r>
                </w:p>
              </w:tc>
              <w:tc>
                <w:tcPr>
                  <w:tcW w:w="328" w:type="pct"/>
                  <w:vMerge w:val="restart"/>
                  <w:noWrap w:val="0"/>
                  <w:vAlign w:val="center"/>
                </w:tcPr>
                <w:p w14:paraId="069C102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eastAsia="zh-CN"/>
                    </w:rPr>
                  </w:pPr>
                  <w:r>
                    <w:rPr>
                      <w:color w:val="auto"/>
                      <w:kern w:val="0"/>
                      <w:sz w:val="21"/>
                      <w:szCs w:val="21"/>
                    </w:rPr>
                    <w:t>DA00</w:t>
                  </w:r>
                  <w:r>
                    <w:rPr>
                      <w:rFonts w:hint="eastAsia"/>
                      <w:color w:val="auto"/>
                      <w:kern w:val="0"/>
                      <w:sz w:val="21"/>
                      <w:szCs w:val="21"/>
                      <w:lang w:val="en-US" w:eastAsia="zh-CN"/>
                    </w:rPr>
                    <w:t>3</w:t>
                  </w:r>
                </w:p>
              </w:tc>
              <w:tc>
                <w:tcPr>
                  <w:tcW w:w="364" w:type="pct"/>
                  <w:noWrap w:val="0"/>
                  <w:vAlign w:val="center"/>
                </w:tcPr>
                <w:p w14:paraId="430611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kern w:val="0"/>
                      <w:sz w:val="21"/>
                      <w:szCs w:val="21"/>
                    </w:rPr>
                  </w:pPr>
                  <w:r>
                    <w:rPr>
                      <w:rFonts w:hint="default" w:ascii="Times New Roman" w:hAnsi="Times New Roman" w:eastAsia="宋体" w:cs="Times New Roman"/>
                      <w:bCs/>
                      <w:color w:val="auto"/>
                      <w:kern w:val="0"/>
                      <w:sz w:val="21"/>
                      <w:szCs w:val="21"/>
                    </w:rPr>
                    <w:t>颗粒物</w:t>
                  </w:r>
                </w:p>
              </w:tc>
              <w:tc>
                <w:tcPr>
                  <w:tcW w:w="334" w:type="pct"/>
                  <w:vMerge w:val="restart"/>
                  <w:noWrap w:val="0"/>
                  <w:vAlign w:val="center"/>
                </w:tcPr>
                <w:p w14:paraId="5B88741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096075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21"/>
                      <w:szCs w:val="21"/>
                      <w:lang w:val="en-US" w:eastAsia="zh-CN"/>
                    </w:rPr>
                  </w:pPr>
                  <w:r>
                    <w:rPr>
                      <w:rFonts w:hint="default" w:ascii="Times New Roman" w:hAnsi="Times New Roman" w:eastAsia="宋体" w:cs="Times New Roman"/>
                      <w:bCs/>
                      <w:color w:val="auto"/>
                      <w:kern w:val="0"/>
                      <w:sz w:val="21"/>
                      <w:szCs w:val="21"/>
                    </w:rPr>
                    <w:t>0.</w:t>
                  </w:r>
                  <w:r>
                    <w:rPr>
                      <w:rFonts w:hint="eastAsia" w:ascii="Times New Roman" w:hAnsi="Times New Roman" w:eastAsia="宋体" w:cs="Times New Roman"/>
                      <w:bCs/>
                      <w:color w:val="auto"/>
                      <w:kern w:val="0"/>
                      <w:sz w:val="21"/>
                      <w:szCs w:val="21"/>
                      <w:lang w:val="en-US" w:eastAsia="zh-CN"/>
                    </w:rPr>
                    <w:t>0125</w:t>
                  </w:r>
                </w:p>
              </w:tc>
              <w:tc>
                <w:tcPr>
                  <w:tcW w:w="412" w:type="pct"/>
                  <w:noWrap w:val="0"/>
                  <w:vAlign w:val="center"/>
                </w:tcPr>
                <w:p w14:paraId="4DF79BA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0.0063</w:t>
                  </w:r>
                </w:p>
              </w:tc>
              <w:tc>
                <w:tcPr>
                  <w:tcW w:w="406" w:type="pct"/>
                  <w:noWrap w:val="0"/>
                  <w:vAlign w:val="center"/>
                </w:tcPr>
                <w:p w14:paraId="69E380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1.25</w:t>
                  </w:r>
                </w:p>
              </w:tc>
              <w:tc>
                <w:tcPr>
                  <w:tcW w:w="741" w:type="pct"/>
                  <w:vMerge w:val="restart"/>
                  <w:noWrap w:val="0"/>
                  <w:vAlign w:val="center"/>
                </w:tcPr>
                <w:p w14:paraId="41B38F7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收集后经排气筒直排</w:t>
                  </w:r>
                </w:p>
              </w:tc>
              <w:tc>
                <w:tcPr>
                  <w:tcW w:w="274" w:type="pct"/>
                  <w:vMerge w:val="restart"/>
                  <w:noWrap w:val="0"/>
                  <w:vAlign w:val="center"/>
                </w:tcPr>
                <w:p w14:paraId="75EB84C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394" w:type="pct"/>
                  <w:noWrap w:val="0"/>
                  <w:vAlign w:val="center"/>
                </w:tcPr>
                <w:p w14:paraId="570F1C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21"/>
                      <w:szCs w:val="21"/>
                      <w:lang w:val="en-US" w:eastAsia="zh-CN"/>
                    </w:rPr>
                  </w:pPr>
                  <w:r>
                    <w:rPr>
                      <w:rFonts w:hint="default" w:ascii="Times New Roman" w:hAnsi="Times New Roman" w:eastAsia="宋体" w:cs="Times New Roman"/>
                      <w:bCs/>
                      <w:color w:val="auto"/>
                      <w:kern w:val="0"/>
                      <w:sz w:val="21"/>
                      <w:szCs w:val="21"/>
                    </w:rPr>
                    <w:t>0.</w:t>
                  </w:r>
                  <w:r>
                    <w:rPr>
                      <w:rFonts w:hint="eastAsia" w:ascii="Times New Roman" w:hAnsi="Times New Roman" w:eastAsia="宋体" w:cs="Times New Roman"/>
                      <w:bCs/>
                      <w:color w:val="auto"/>
                      <w:kern w:val="0"/>
                      <w:sz w:val="21"/>
                      <w:szCs w:val="21"/>
                      <w:lang w:val="en-US" w:eastAsia="zh-CN"/>
                    </w:rPr>
                    <w:t>0125</w:t>
                  </w:r>
                </w:p>
              </w:tc>
              <w:tc>
                <w:tcPr>
                  <w:tcW w:w="388" w:type="pct"/>
                  <w:noWrap w:val="0"/>
                  <w:vAlign w:val="center"/>
                </w:tcPr>
                <w:p w14:paraId="4962954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0.0063</w:t>
                  </w:r>
                </w:p>
              </w:tc>
              <w:tc>
                <w:tcPr>
                  <w:tcW w:w="366" w:type="pct"/>
                  <w:noWrap w:val="0"/>
                  <w:vAlign w:val="center"/>
                </w:tcPr>
                <w:p w14:paraId="669F12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1.25</w:t>
                  </w:r>
                </w:p>
              </w:tc>
            </w:tr>
            <w:tr w14:paraId="7C19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66" w:type="pct"/>
                  <w:vMerge w:val="continue"/>
                  <w:noWrap w:val="0"/>
                  <w:vAlign w:val="center"/>
                </w:tcPr>
                <w:p w14:paraId="0969617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6B6F0A1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continue"/>
                  <w:noWrap w:val="0"/>
                  <w:vAlign w:val="center"/>
                </w:tcPr>
                <w:p w14:paraId="27E46B4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3049C3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default" w:ascii="Times New Roman" w:hAnsi="Times New Roman" w:eastAsia="宋体" w:cs="Times New Roman"/>
                      <w:bCs/>
                      <w:color w:val="auto"/>
                      <w:kern w:val="0"/>
                      <w:sz w:val="21"/>
                      <w:szCs w:val="21"/>
                    </w:rPr>
                    <w:t>SO</w:t>
                  </w:r>
                  <w:r>
                    <w:rPr>
                      <w:rFonts w:hint="default" w:ascii="Times New Roman" w:hAnsi="Times New Roman" w:eastAsia="宋体" w:cs="Times New Roman"/>
                      <w:bCs/>
                      <w:color w:val="auto"/>
                      <w:kern w:val="0"/>
                      <w:sz w:val="21"/>
                      <w:szCs w:val="21"/>
                      <w:vertAlign w:val="subscript"/>
                    </w:rPr>
                    <w:t>2</w:t>
                  </w:r>
                </w:p>
              </w:tc>
              <w:tc>
                <w:tcPr>
                  <w:tcW w:w="334" w:type="pct"/>
                  <w:vMerge w:val="continue"/>
                  <w:noWrap w:val="0"/>
                  <w:vAlign w:val="center"/>
                </w:tcPr>
                <w:p w14:paraId="6AFA9E5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3D094F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0.0043</w:t>
                  </w:r>
                </w:p>
              </w:tc>
              <w:tc>
                <w:tcPr>
                  <w:tcW w:w="412" w:type="pct"/>
                  <w:noWrap w:val="0"/>
                  <w:vAlign w:val="center"/>
                </w:tcPr>
                <w:p w14:paraId="7082CDD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0.0022</w:t>
                  </w:r>
                </w:p>
              </w:tc>
              <w:tc>
                <w:tcPr>
                  <w:tcW w:w="406" w:type="pct"/>
                  <w:noWrap w:val="0"/>
                  <w:vAlign w:val="center"/>
                </w:tcPr>
                <w:p w14:paraId="63479C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0.43</w:t>
                  </w:r>
                </w:p>
              </w:tc>
              <w:tc>
                <w:tcPr>
                  <w:tcW w:w="741" w:type="pct"/>
                  <w:vMerge w:val="continue"/>
                  <w:noWrap w:val="0"/>
                  <w:vAlign w:val="center"/>
                </w:tcPr>
                <w:p w14:paraId="42950CF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vMerge w:val="continue"/>
                  <w:noWrap w:val="0"/>
                  <w:vAlign w:val="center"/>
                </w:tcPr>
                <w:p w14:paraId="1440DE2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94" w:type="pct"/>
                  <w:noWrap w:val="0"/>
                  <w:vAlign w:val="center"/>
                </w:tcPr>
                <w:p w14:paraId="754E6C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0.0043</w:t>
                  </w:r>
                </w:p>
              </w:tc>
              <w:tc>
                <w:tcPr>
                  <w:tcW w:w="388" w:type="pct"/>
                  <w:noWrap w:val="0"/>
                  <w:vAlign w:val="center"/>
                </w:tcPr>
                <w:p w14:paraId="105E245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eastAsia="宋体"/>
                      <w:color w:val="auto"/>
                      <w:kern w:val="0"/>
                      <w:sz w:val="21"/>
                      <w:szCs w:val="21"/>
                      <w:lang w:val="en-US" w:eastAsia="zh-CN"/>
                    </w:rPr>
                    <w:t>0.0022</w:t>
                  </w:r>
                </w:p>
              </w:tc>
              <w:tc>
                <w:tcPr>
                  <w:tcW w:w="366" w:type="pct"/>
                  <w:noWrap w:val="0"/>
                  <w:vAlign w:val="center"/>
                </w:tcPr>
                <w:p w14:paraId="0CDACF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0.43</w:t>
                  </w:r>
                </w:p>
              </w:tc>
            </w:tr>
            <w:tr w14:paraId="651D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66" w:type="pct"/>
                  <w:vMerge w:val="continue"/>
                  <w:noWrap w:val="0"/>
                  <w:vAlign w:val="center"/>
                </w:tcPr>
                <w:p w14:paraId="0C84AD0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6C1B982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continue"/>
                  <w:noWrap w:val="0"/>
                  <w:vAlign w:val="center"/>
                </w:tcPr>
                <w:p w14:paraId="12429A4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6A9258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default" w:ascii="Times New Roman" w:hAnsi="Times New Roman" w:eastAsia="宋体" w:cs="Times New Roman"/>
                      <w:bCs/>
                      <w:color w:val="auto"/>
                      <w:kern w:val="0"/>
                      <w:sz w:val="21"/>
                      <w:szCs w:val="21"/>
                    </w:rPr>
                    <w:t>NO</w:t>
                  </w:r>
                  <w:r>
                    <w:rPr>
                      <w:rFonts w:hint="default" w:ascii="Times New Roman" w:hAnsi="Times New Roman" w:eastAsia="宋体" w:cs="Times New Roman"/>
                      <w:bCs/>
                      <w:color w:val="auto"/>
                      <w:kern w:val="0"/>
                      <w:sz w:val="21"/>
                      <w:szCs w:val="21"/>
                      <w:vertAlign w:val="subscript"/>
                    </w:rPr>
                    <w:t>X</w:t>
                  </w:r>
                </w:p>
              </w:tc>
              <w:tc>
                <w:tcPr>
                  <w:tcW w:w="334" w:type="pct"/>
                  <w:vMerge w:val="continue"/>
                  <w:noWrap w:val="0"/>
                  <w:vAlign w:val="center"/>
                </w:tcPr>
                <w:p w14:paraId="7362DB1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6C32D7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0.1454</w:t>
                  </w:r>
                </w:p>
              </w:tc>
              <w:tc>
                <w:tcPr>
                  <w:tcW w:w="412" w:type="pct"/>
                  <w:noWrap w:val="0"/>
                  <w:vAlign w:val="center"/>
                </w:tcPr>
                <w:p w14:paraId="5221256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0.073</w:t>
                  </w:r>
                </w:p>
              </w:tc>
              <w:tc>
                <w:tcPr>
                  <w:tcW w:w="406" w:type="pct"/>
                  <w:noWrap w:val="0"/>
                  <w:vAlign w:val="center"/>
                </w:tcPr>
                <w:p w14:paraId="25E15E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14.54</w:t>
                  </w:r>
                </w:p>
              </w:tc>
              <w:tc>
                <w:tcPr>
                  <w:tcW w:w="741" w:type="pct"/>
                  <w:vMerge w:val="continue"/>
                  <w:noWrap w:val="0"/>
                  <w:vAlign w:val="center"/>
                </w:tcPr>
                <w:p w14:paraId="13E5A3A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vMerge w:val="continue"/>
                  <w:noWrap w:val="0"/>
                  <w:vAlign w:val="center"/>
                </w:tcPr>
                <w:p w14:paraId="789CD68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94" w:type="pct"/>
                  <w:noWrap w:val="0"/>
                  <w:vAlign w:val="center"/>
                </w:tcPr>
                <w:p w14:paraId="25A00D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0.1454</w:t>
                  </w:r>
                </w:p>
              </w:tc>
              <w:tc>
                <w:tcPr>
                  <w:tcW w:w="388" w:type="pct"/>
                  <w:noWrap w:val="0"/>
                  <w:vAlign w:val="center"/>
                </w:tcPr>
                <w:p w14:paraId="1DA584E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eastAsia="宋体"/>
                      <w:color w:val="auto"/>
                      <w:kern w:val="0"/>
                      <w:sz w:val="21"/>
                      <w:szCs w:val="21"/>
                      <w:lang w:val="en-US" w:eastAsia="zh-CN"/>
                    </w:rPr>
                    <w:t>0.073</w:t>
                  </w:r>
                </w:p>
              </w:tc>
              <w:tc>
                <w:tcPr>
                  <w:tcW w:w="366" w:type="pct"/>
                  <w:noWrap w:val="0"/>
                  <w:vAlign w:val="center"/>
                </w:tcPr>
                <w:p w14:paraId="73C1D1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14.54</w:t>
                  </w:r>
                </w:p>
              </w:tc>
            </w:tr>
            <w:tr w14:paraId="4190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restart"/>
                  <w:noWrap w:val="0"/>
                  <w:vAlign w:val="center"/>
                </w:tcPr>
                <w:p w14:paraId="4A278D27">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color w:val="auto"/>
                      <w:kern w:val="0"/>
                      <w:sz w:val="21"/>
                      <w:szCs w:val="21"/>
                      <w:lang w:val="en-US" w:eastAsia="zh-CN"/>
                    </w:rPr>
                    <w:t>2#</w:t>
                  </w:r>
                  <w:r>
                    <w:rPr>
                      <w:color w:val="auto"/>
                      <w:kern w:val="0"/>
                      <w:sz w:val="21"/>
                      <w:szCs w:val="21"/>
                    </w:rPr>
                    <w:t>沥青混凝土生产线</w:t>
                  </w:r>
                </w:p>
              </w:tc>
              <w:tc>
                <w:tcPr>
                  <w:tcW w:w="340" w:type="pct"/>
                  <w:vMerge w:val="restart"/>
                  <w:noWrap w:val="0"/>
                  <w:vAlign w:val="center"/>
                </w:tcPr>
                <w:p w14:paraId="4490CF1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eastAsia="zh-CN"/>
                    </w:rPr>
                    <w:t>导热油锅炉废气</w:t>
                  </w:r>
                </w:p>
              </w:tc>
              <w:tc>
                <w:tcPr>
                  <w:tcW w:w="328" w:type="pct"/>
                  <w:vMerge w:val="restart"/>
                  <w:noWrap w:val="0"/>
                  <w:vAlign w:val="center"/>
                </w:tcPr>
                <w:p w14:paraId="46BFD00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DA00</w:t>
                  </w:r>
                  <w:r>
                    <w:rPr>
                      <w:rFonts w:hint="eastAsia"/>
                      <w:color w:val="auto"/>
                      <w:kern w:val="0"/>
                      <w:sz w:val="21"/>
                      <w:szCs w:val="21"/>
                      <w:lang w:val="en-US" w:eastAsia="zh-CN"/>
                    </w:rPr>
                    <w:t>4</w:t>
                  </w:r>
                </w:p>
              </w:tc>
              <w:tc>
                <w:tcPr>
                  <w:tcW w:w="364" w:type="pct"/>
                  <w:noWrap w:val="0"/>
                  <w:vAlign w:val="center"/>
                </w:tcPr>
                <w:p w14:paraId="157CF4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default" w:ascii="Times New Roman" w:hAnsi="Times New Roman" w:eastAsia="宋体" w:cs="Times New Roman"/>
                      <w:bCs/>
                      <w:color w:val="auto"/>
                      <w:kern w:val="0"/>
                      <w:sz w:val="21"/>
                      <w:szCs w:val="21"/>
                    </w:rPr>
                    <w:t>颗粒物</w:t>
                  </w:r>
                </w:p>
              </w:tc>
              <w:tc>
                <w:tcPr>
                  <w:tcW w:w="334" w:type="pct"/>
                  <w:vMerge w:val="restart"/>
                  <w:noWrap w:val="0"/>
                  <w:vAlign w:val="center"/>
                </w:tcPr>
                <w:p w14:paraId="44A22DF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30078E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0.0499</w:t>
                  </w:r>
                </w:p>
              </w:tc>
              <w:tc>
                <w:tcPr>
                  <w:tcW w:w="412" w:type="pct"/>
                  <w:noWrap w:val="0"/>
                  <w:vAlign w:val="center"/>
                </w:tcPr>
                <w:p w14:paraId="18F08AC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0.025</w:t>
                  </w:r>
                </w:p>
              </w:tc>
              <w:tc>
                <w:tcPr>
                  <w:tcW w:w="406" w:type="pct"/>
                  <w:noWrap w:val="0"/>
                  <w:vAlign w:val="center"/>
                </w:tcPr>
                <w:p w14:paraId="6297D1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2.495</w:t>
                  </w:r>
                </w:p>
              </w:tc>
              <w:tc>
                <w:tcPr>
                  <w:tcW w:w="741" w:type="pct"/>
                  <w:vMerge w:val="restart"/>
                  <w:noWrap w:val="0"/>
                  <w:vAlign w:val="center"/>
                </w:tcPr>
                <w:p w14:paraId="4A3CB75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color w:val="auto"/>
                      <w:kern w:val="0"/>
                      <w:sz w:val="21"/>
                      <w:szCs w:val="21"/>
                      <w:lang w:val="en-US" w:eastAsia="zh-CN"/>
                    </w:rPr>
                    <w:t>收集后经排气筒直排</w:t>
                  </w:r>
                </w:p>
              </w:tc>
              <w:tc>
                <w:tcPr>
                  <w:tcW w:w="274" w:type="pct"/>
                  <w:vMerge w:val="restart"/>
                  <w:noWrap w:val="0"/>
                  <w:vAlign w:val="center"/>
                </w:tcPr>
                <w:p w14:paraId="3ECBBB4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color w:val="auto"/>
                      <w:kern w:val="0"/>
                      <w:sz w:val="21"/>
                      <w:szCs w:val="21"/>
                      <w:lang w:val="en-US" w:eastAsia="zh-CN"/>
                    </w:rPr>
                    <w:t>/</w:t>
                  </w:r>
                </w:p>
              </w:tc>
              <w:tc>
                <w:tcPr>
                  <w:tcW w:w="394" w:type="pct"/>
                  <w:noWrap w:val="0"/>
                  <w:vAlign w:val="center"/>
                </w:tcPr>
                <w:p w14:paraId="193ACD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0.0499</w:t>
                  </w:r>
                </w:p>
              </w:tc>
              <w:tc>
                <w:tcPr>
                  <w:tcW w:w="388" w:type="pct"/>
                  <w:noWrap w:val="0"/>
                  <w:vAlign w:val="center"/>
                </w:tcPr>
                <w:p w14:paraId="6C63943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eastAsia="宋体"/>
                      <w:color w:val="auto"/>
                      <w:kern w:val="0"/>
                      <w:sz w:val="21"/>
                      <w:szCs w:val="21"/>
                      <w:lang w:val="en-US" w:eastAsia="zh-CN"/>
                    </w:rPr>
                    <w:t>0.025</w:t>
                  </w:r>
                </w:p>
              </w:tc>
              <w:tc>
                <w:tcPr>
                  <w:tcW w:w="366" w:type="pct"/>
                  <w:noWrap w:val="0"/>
                  <w:vAlign w:val="center"/>
                </w:tcPr>
                <w:p w14:paraId="46E7C4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2.495</w:t>
                  </w:r>
                </w:p>
              </w:tc>
            </w:tr>
            <w:tr w14:paraId="6BED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49DE1F6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1C937B0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p>
              </w:tc>
              <w:tc>
                <w:tcPr>
                  <w:tcW w:w="328" w:type="pct"/>
                  <w:vMerge w:val="continue"/>
                  <w:noWrap w:val="0"/>
                  <w:vAlign w:val="center"/>
                </w:tcPr>
                <w:p w14:paraId="5A46B43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33DD41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default" w:ascii="Times New Roman" w:hAnsi="Times New Roman" w:eastAsia="宋体" w:cs="Times New Roman"/>
                      <w:bCs/>
                      <w:color w:val="auto"/>
                      <w:kern w:val="0"/>
                      <w:sz w:val="21"/>
                      <w:szCs w:val="21"/>
                    </w:rPr>
                    <w:t>SO</w:t>
                  </w:r>
                  <w:r>
                    <w:rPr>
                      <w:rFonts w:hint="default" w:ascii="Times New Roman" w:hAnsi="Times New Roman" w:eastAsia="宋体" w:cs="Times New Roman"/>
                      <w:bCs/>
                      <w:color w:val="auto"/>
                      <w:kern w:val="0"/>
                      <w:sz w:val="21"/>
                      <w:szCs w:val="21"/>
                      <w:vertAlign w:val="subscript"/>
                    </w:rPr>
                    <w:t>2</w:t>
                  </w:r>
                </w:p>
              </w:tc>
              <w:tc>
                <w:tcPr>
                  <w:tcW w:w="334" w:type="pct"/>
                  <w:vMerge w:val="continue"/>
                  <w:noWrap w:val="0"/>
                  <w:vAlign w:val="center"/>
                </w:tcPr>
                <w:p w14:paraId="40ACE95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686C85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0.0182</w:t>
                  </w:r>
                </w:p>
              </w:tc>
              <w:tc>
                <w:tcPr>
                  <w:tcW w:w="412" w:type="pct"/>
                  <w:noWrap w:val="0"/>
                  <w:vAlign w:val="center"/>
                </w:tcPr>
                <w:p w14:paraId="62E535A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0.0091</w:t>
                  </w:r>
                </w:p>
              </w:tc>
              <w:tc>
                <w:tcPr>
                  <w:tcW w:w="406" w:type="pct"/>
                  <w:noWrap w:val="0"/>
                  <w:vAlign w:val="center"/>
                </w:tcPr>
                <w:p w14:paraId="48F036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0.91</w:t>
                  </w:r>
                </w:p>
              </w:tc>
              <w:tc>
                <w:tcPr>
                  <w:tcW w:w="741" w:type="pct"/>
                  <w:vMerge w:val="continue"/>
                  <w:noWrap w:val="0"/>
                  <w:vAlign w:val="center"/>
                </w:tcPr>
                <w:p w14:paraId="2F23B95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vMerge w:val="continue"/>
                  <w:noWrap w:val="0"/>
                  <w:vAlign w:val="center"/>
                </w:tcPr>
                <w:p w14:paraId="6E2DCCF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94" w:type="pct"/>
                  <w:noWrap w:val="0"/>
                  <w:vAlign w:val="center"/>
                </w:tcPr>
                <w:p w14:paraId="75EBDB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0.0182</w:t>
                  </w:r>
                </w:p>
              </w:tc>
              <w:tc>
                <w:tcPr>
                  <w:tcW w:w="388" w:type="pct"/>
                  <w:noWrap w:val="0"/>
                  <w:vAlign w:val="center"/>
                </w:tcPr>
                <w:p w14:paraId="514225C7">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eastAsia="宋体"/>
                      <w:color w:val="auto"/>
                      <w:kern w:val="0"/>
                      <w:sz w:val="21"/>
                      <w:szCs w:val="21"/>
                      <w:lang w:val="en-US" w:eastAsia="zh-CN"/>
                    </w:rPr>
                    <w:t>0.0091</w:t>
                  </w:r>
                </w:p>
              </w:tc>
              <w:tc>
                <w:tcPr>
                  <w:tcW w:w="366" w:type="pct"/>
                  <w:noWrap w:val="0"/>
                  <w:vAlign w:val="center"/>
                </w:tcPr>
                <w:p w14:paraId="65C29B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0.91</w:t>
                  </w:r>
                </w:p>
              </w:tc>
            </w:tr>
            <w:tr w14:paraId="1569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6293C78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4094E12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p>
              </w:tc>
              <w:tc>
                <w:tcPr>
                  <w:tcW w:w="328" w:type="pct"/>
                  <w:vMerge w:val="continue"/>
                  <w:noWrap w:val="0"/>
                  <w:vAlign w:val="center"/>
                </w:tcPr>
                <w:p w14:paraId="5C8F4A7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646E78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1"/>
                      <w:szCs w:val="21"/>
                    </w:rPr>
                  </w:pPr>
                  <w:r>
                    <w:rPr>
                      <w:rFonts w:hint="default" w:ascii="Times New Roman" w:hAnsi="Times New Roman" w:eastAsia="宋体" w:cs="Times New Roman"/>
                      <w:bCs/>
                      <w:color w:val="auto"/>
                      <w:kern w:val="0"/>
                      <w:sz w:val="21"/>
                      <w:szCs w:val="21"/>
                    </w:rPr>
                    <w:t>NO</w:t>
                  </w:r>
                  <w:r>
                    <w:rPr>
                      <w:rFonts w:hint="default" w:ascii="Times New Roman" w:hAnsi="Times New Roman" w:eastAsia="宋体" w:cs="Times New Roman"/>
                      <w:bCs/>
                      <w:color w:val="auto"/>
                      <w:kern w:val="0"/>
                      <w:sz w:val="21"/>
                      <w:szCs w:val="21"/>
                      <w:vertAlign w:val="subscript"/>
                    </w:rPr>
                    <w:t>X</w:t>
                  </w:r>
                </w:p>
              </w:tc>
              <w:tc>
                <w:tcPr>
                  <w:tcW w:w="334" w:type="pct"/>
                  <w:vMerge w:val="continue"/>
                  <w:noWrap w:val="0"/>
                  <w:vAlign w:val="center"/>
                </w:tcPr>
                <w:p w14:paraId="48B4531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5CF285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0.5818</w:t>
                  </w:r>
                </w:p>
              </w:tc>
              <w:tc>
                <w:tcPr>
                  <w:tcW w:w="412" w:type="pct"/>
                  <w:noWrap w:val="0"/>
                  <w:vAlign w:val="center"/>
                </w:tcPr>
                <w:p w14:paraId="102DFF97">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0.2909</w:t>
                  </w:r>
                </w:p>
              </w:tc>
              <w:tc>
                <w:tcPr>
                  <w:tcW w:w="406" w:type="pct"/>
                  <w:noWrap w:val="0"/>
                  <w:vAlign w:val="center"/>
                </w:tcPr>
                <w:p w14:paraId="79D57C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29.09</w:t>
                  </w:r>
                </w:p>
              </w:tc>
              <w:tc>
                <w:tcPr>
                  <w:tcW w:w="741" w:type="pct"/>
                  <w:vMerge w:val="continue"/>
                  <w:noWrap w:val="0"/>
                  <w:vAlign w:val="center"/>
                </w:tcPr>
                <w:p w14:paraId="2328D41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vMerge w:val="continue"/>
                  <w:noWrap w:val="0"/>
                  <w:vAlign w:val="center"/>
                </w:tcPr>
                <w:p w14:paraId="69353A6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94" w:type="pct"/>
                  <w:noWrap w:val="0"/>
                  <w:vAlign w:val="center"/>
                </w:tcPr>
                <w:p w14:paraId="1BE26E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0.5818</w:t>
                  </w:r>
                </w:p>
              </w:tc>
              <w:tc>
                <w:tcPr>
                  <w:tcW w:w="388" w:type="pct"/>
                  <w:noWrap w:val="0"/>
                  <w:vAlign w:val="center"/>
                </w:tcPr>
                <w:p w14:paraId="1821016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eastAsia="宋体"/>
                      <w:color w:val="auto"/>
                      <w:kern w:val="0"/>
                      <w:sz w:val="21"/>
                      <w:szCs w:val="21"/>
                      <w:lang w:val="en-US" w:eastAsia="zh-CN"/>
                    </w:rPr>
                    <w:t>0.2909</w:t>
                  </w:r>
                </w:p>
              </w:tc>
              <w:tc>
                <w:tcPr>
                  <w:tcW w:w="366" w:type="pct"/>
                  <w:noWrap w:val="0"/>
                  <w:vAlign w:val="center"/>
                </w:tcPr>
                <w:p w14:paraId="2489A7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29.09</w:t>
                  </w:r>
                </w:p>
              </w:tc>
            </w:tr>
            <w:tr w14:paraId="38BC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7591894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restart"/>
                  <w:noWrap w:val="0"/>
                  <w:vAlign w:val="center"/>
                </w:tcPr>
                <w:p w14:paraId="40DB10F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ascii="Times New Roman" w:hAnsi="Times New Roman" w:eastAsia="宋体" w:cs="Times New Roman"/>
                      <w:bCs/>
                      <w:color w:val="auto"/>
                      <w:sz w:val="21"/>
                      <w:szCs w:val="21"/>
                      <w:lang w:val="en-US" w:eastAsia="zh-CN"/>
                    </w:rPr>
                    <w:t>烘干滚筒、筛分过程、热骨料仓粉尘和燃烧器废气</w:t>
                  </w:r>
                </w:p>
              </w:tc>
              <w:tc>
                <w:tcPr>
                  <w:tcW w:w="328" w:type="pct"/>
                  <w:vMerge w:val="restart"/>
                  <w:noWrap w:val="0"/>
                  <w:vAlign w:val="center"/>
                </w:tcPr>
                <w:p w14:paraId="6EB667F7">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eastAsia="zh-CN"/>
                    </w:rPr>
                  </w:pPr>
                  <w:r>
                    <w:rPr>
                      <w:color w:val="auto"/>
                      <w:kern w:val="0"/>
                      <w:sz w:val="21"/>
                      <w:szCs w:val="21"/>
                    </w:rPr>
                    <w:t>DA00</w:t>
                  </w:r>
                  <w:r>
                    <w:rPr>
                      <w:rFonts w:hint="eastAsia"/>
                      <w:color w:val="auto"/>
                      <w:kern w:val="0"/>
                      <w:sz w:val="21"/>
                      <w:szCs w:val="21"/>
                      <w:lang w:val="en-US" w:eastAsia="zh-CN"/>
                    </w:rPr>
                    <w:t>5</w:t>
                  </w:r>
                </w:p>
              </w:tc>
              <w:tc>
                <w:tcPr>
                  <w:tcW w:w="364" w:type="pct"/>
                  <w:noWrap w:val="0"/>
                  <w:vAlign w:val="center"/>
                </w:tcPr>
                <w:p w14:paraId="7A5BD90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SO</w:t>
                  </w:r>
                  <w:r>
                    <w:rPr>
                      <w:color w:val="auto"/>
                      <w:kern w:val="0"/>
                      <w:sz w:val="21"/>
                      <w:szCs w:val="21"/>
                      <w:vertAlign w:val="subscript"/>
                    </w:rPr>
                    <w:t>2</w:t>
                  </w:r>
                </w:p>
              </w:tc>
              <w:tc>
                <w:tcPr>
                  <w:tcW w:w="334" w:type="pct"/>
                  <w:vMerge w:val="restart"/>
                  <w:noWrap w:val="0"/>
                  <w:vAlign w:val="center"/>
                </w:tcPr>
                <w:p w14:paraId="5696A85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6F991D2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0.0486</w:t>
                  </w:r>
                </w:p>
              </w:tc>
              <w:tc>
                <w:tcPr>
                  <w:tcW w:w="412" w:type="pct"/>
                  <w:noWrap w:val="0"/>
                  <w:vAlign w:val="center"/>
                </w:tcPr>
                <w:p w14:paraId="62AB5E2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0.0243</w:t>
                  </w:r>
                </w:p>
              </w:tc>
              <w:tc>
                <w:tcPr>
                  <w:tcW w:w="406" w:type="pct"/>
                  <w:noWrap w:val="0"/>
                  <w:vAlign w:val="center"/>
                </w:tcPr>
                <w:p w14:paraId="3B7EC7D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0.304</w:t>
                  </w:r>
                </w:p>
              </w:tc>
              <w:tc>
                <w:tcPr>
                  <w:tcW w:w="741" w:type="pct"/>
                  <w:vMerge w:val="restart"/>
                  <w:noWrap w:val="0"/>
                  <w:vAlign w:val="center"/>
                </w:tcPr>
                <w:p w14:paraId="3AFDE0B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ascii="Times New Roman" w:hAnsi="Times New Roman" w:eastAsia="宋体" w:cs="Times New Roman"/>
                      <w:bCs/>
                      <w:color w:val="auto"/>
                      <w:kern w:val="0"/>
                      <w:sz w:val="21"/>
                      <w:szCs w:val="21"/>
                      <w:lang w:val="en-US" w:eastAsia="zh-CN"/>
                    </w:rPr>
                    <w:t>烘干滚筒、筛分过程、热骨料仓粉尘、燃烧器废气由1个集气罩收集，沥青烟废气收集管道与呼吸阀直连，成品仓下料口设置1个集气罩收集，收集后经</w:t>
                  </w:r>
                  <w:r>
                    <w:rPr>
                      <w:rFonts w:hint="eastAsia"/>
                      <w:bCs/>
                      <w:color w:val="auto"/>
                      <w:kern w:val="0"/>
                      <w:sz w:val="21"/>
                      <w:szCs w:val="21"/>
                      <w:lang w:val="en-US" w:eastAsia="zh-CN"/>
                    </w:rPr>
                    <w:t>1套布袋除尘器</w:t>
                  </w:r>
                  <w:r>
                    <w:rPr>
                      <w:bCs/>
                      <w:color w:val="auto"/>
                      <w:kern w:val="0"/>
                      <w:sz w:val="21"/>
                      <w:szCs w:val="21"/>
                    </w:rPr>
                    <w:t>+</w:t>
                  </w:r>
                  <w:r>
                    <w:rPr>
                      <w:rFonts w:hint="eastAsia"/>
                      <w:bCs/>
                      <w:color w:val="auto"/>
                      <w:kern w:val="0"/>
                      <w:sz w:val="21"/>
                      <w:szCs w:val="21"/>
                      <w:lang w:val="en-US" w:eastAsia="zh-CN"/>
                    </w:rPr>
                    <w:t>二级</w:t>
                  </w:r>
                  <w:r>
                    <w:rPr>
                      <w:bCs/>
                      <w:color w:val="auto"/>
                      <w:kern w:val="0"/>
                      <w:sz w:val="21"/>
                      <w:szCs w:val="21"/>
                    </w:rPr>
                    <w:t>活性炭吸附</w:t>
                  </w:r>
                  <w:r>
                    <w:rPr>
                      <w:rFonts w:hint="eastAsia"/>
                      <w:bCs/>
                      <w:color w:val="auto"/>
                      <w:kern w:val="0"/>
                      <w:sz w:val="21"/>
                      <w:szCs w:val="21"/>
                      <w:lang w:val="en-US" w:eastAsia="zh-CN"/>
                    </w:rPr>
                    <w:t>设备处理</w:t>
                  </w:r>
                </w:p>
              </w:tc>
              <w:tc>
                <w:tcPr>
                  <w:tcW w:w="274" w:type="pct"/>
                  <w:noWrap w:val="0"/>
                  <w:vAlign w:val="center"/>
                </w:tcPr>
                <w:p w14:paraId="3E8D7B17">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394" w:type="pct"/>
                  <w:noWrap w:val="0"/>
                  <w:vAlign w:val="center"/>
                </w:tcPr>
                <w:p w14:paraId="1406BCB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0.0486</w:t>
                  </w:r>
                </w:p>
              </w:tc>
              <w:tc>
                <w:tcPr>
                  <w:tcW w:w="388" w:type="pct"/>
                  <w:noWrap w:val="0"/>
                  <w:vAlign w:val="center"/>
                </w:tcPr>
                <w:p w14:paraId="7FAA45D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eastAsia="宋体"/>
                      <w:color w:val="auto"/>
                      <w:kern w:val="0"/>
                      <w:sz w:val="21"/>
                      <w:szCs w:val="21"/>
                      <w:lang w:val="en-US" w:eastAsia="zh-CN"/>
                    </w:rPr>
                    <w:t>0.0243</w:t>
                  </w:r>
                </w:p>
              </w:tc>
              <w:tc>
                <w:tcPr>
                  <w:tcW w:w="366" w:type="pct"/>
                  <w:noWrap w:val="0"/>
                  <w:vAlign w:val="center"/>
                </w:tcPr>
                <w:p w14:paraId="35C088C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0.304</w:t>
                  </w:r>
                </w:p>
              </w:tc>
            </w:tr>
            <w:tr w14:paraId="26B5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646F689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7F04446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continue"/>
                  <w:noWrap w:val="0"/>
                  <w:vAlign w:val="center"/>
                </w:tcPr>
                <w:p w14:paraId="06C8093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778C99C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NO</w:t>
                  </w:r>
                  <w:r>
                    <w:rPr>
                      <w:color w:val="auto"/>
                      <w:kern w:val="0"/>
                      <w:sz w:val="21"/>
                      <w:szCs w:val="21"/>
                      <w:vertAlign w:val="subscript"/>
                    </w:rPr>
                    <w:t>X</w:t>
                  </w:r>
                </w:p>
              </w:tc>
              <w:tc>
                <w:tcPr>
                  <w:tcW w:w="334" w:type="pct"/>
                  <w:vMerge w:val="continue"/>
                  <w:noWrap w:val="0"/>
                  <w:vAlign w:val="center"/>
                </w:tcPr>
                <w:p w14:paraId="4B70E1A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4AACFF5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1.551</w:t>
                  </w:r>
                </w:p>
              </w:tc>
              <w:tc>
                <w:tcPr>
                  <w:tcW w:w="412" w:type="pct"/>
                  <w:noWrap w:val="0"/>
                  <w:vAlign w:val="center"/>
                </w:tcPr>
                <w:p w14:paraId="2FD745B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
                    </w:rPr>
                    <w:t>0.7755</w:t>
                  </w:r>
                </w:p>
              </w:tc>
              <w:tc>
                <w:tcPr>
                  <w:tcW w:w="406" w:type="pct"/>
                  <w:noWrap w:val="0"/>
                  <w:vAlign w:val="center"/>
                </w:tcPr>
                <w:p w14:paraId="1D18030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9.694</w:t>
                  </w:r>
                </w:p>
              </w:tc>
              <w:tc>
                <w:tcPr>
                  <w:tcW w:w="741" w:type="pct"/>
                  <w:vMerge w:val="continue"/>
                  <w:noWrap w:val="0"/>
                  <w:vAlign w:val="center"/>
                </w:tcPr>
                <w:p w14:paraId="4DEAF5A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noWrap w:val="0"/>
                  <w:vAlign w:val="center"/>
                </w:tcPr>
                <w:p w14:paraId="1BD40A3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394" w:type="pct"/>
                  <w:noWrap w:val="0"/>
                  <w:vAlign w:val="center"/>
                </w:tcPr>
                <w:p w14:paraId="1688213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1.551</w:t>
                  </w:r>
                </w:p>
              </w:tc>
              <w:tc>
                <w:tcPr>
                  <w:tcW w:w="388" w:type="pct"/>
                  <w:noWrap w:val="0"/>
                  <w:vAlign w:val="center"/>
                </w:tcPr>
                <w:p w14:paraId="1194EEF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
                    </w:rPr>
                    <w:t>0.7755</w:t>
                  </w:r>
                </w:p>
              </w:tc>
              <w:tc>
                <w:tcPr>
                  <w:tcW w:w="366" w:type="pct"/>
                  <w:noWrap w:val="0"/>
                  <w:vAlign w:val="center"/>
                </w:tcPr>
                <w:p w14:paraId="32E4346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9.694</w:t>
                  </w:r>
                </w:p>
              </w:tc>
            </w:tr>
            <w:tr w14:paraId="17B8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67DD76F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38CD734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continue"/>
                  <w:noWrap w:val="0"/>
                  <w:vAlign w:val="center"/>
                </w:tcPr>
                <w:p w14:paraId="43D4489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6BBAD93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颗粒物</w:t>
                  </w:r>
                </w:p>
              </w:tc>
              <w:tc>
                <w:tcPr>
                  <w:tcW w:w="334" w:type="pct"/>
                  <w:vMerge w:val="continue"/>
                  <w:noWrap w:val="0"/>
                  <w:vAlign w:val="center"/>
                </w:tcPr>
                <w:p w14:paraId="7637A02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660CC51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257.6831</w:t>
                  </w:r>
                </w:p>
              </w:tc>
              <w:tc>
                <w:tcPr>
                  <w:tcW w:w="412" w:type="pct"/>
                  <w:noWrap w:val="0"/>
                  <w:vAlign w:val="center"/>
                </w:tcPr>
                <w:p w14:paraId="479AEE2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128.842</w:t>
                  </w:r>
                </w:p>
              </w:tc>
              <w:tc>
                <w:tcPr>
                  <w:tcW w:w="406" w:type="pct"/>
                  <w:noWrap w:val="0"/>
                  <w:vAlign w:val="center"/>
                </w:tcPr>
                <w:p w14:paraId="2151A8D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1610.519</w:t>
                  </w:r>
                </w:p>
              </w:tc>
              <w:tc>
                <w:tcPr>
                  <w:tcW w:w="741" w:type="pct"/>
                  <w:vMerge w:val="continue"/>
                  <w:noWrap w:val="0"/>
                  <w:vAlign w:val="center"/>
                </w:tcPr>
                <w:p w14:paraId="4FD3C7F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noWrap w:val="0"/>
                  <w:vAlign w:val="center"/>
                </w:tcPr>
                <w:p w14:paraId="4778092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99%</w:t>
                  </w:r>
                </w:p>
              </w:tc>
              <w:tc>
                <w:tcPr>
                  <w:tcW w:w="394" w:type="pct"/>
                  <w:noWrap w:val="0"/>
                  <w:vAlign w:val="center"/>
                </w:tcPr>
                <w:p w14:paraId="7EDCF93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2.5768</w:t>
                  </w:r>
                </w:p>
              </w:tc>
              <w:tc>
                <w:tcPr>
                  <w:tcW w:w="388" w:type="pct"/>
                  <w:noWrap w:val="0"/>
                  <w:vAlign w:val="center"/>
                </w:tcPr>
                <w:p w14:paraId="0CA2B9A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1.288</w:t>
                  </w:r>
                </w:p>
              </w:tc>
              <w:tc>
                <w:tcPr>
                  <w:tcW w:w="366" w:type="pct"/>
                  <w:noWrap w:val="0"/>
                  <w:vAlign w:val="center"/>
                </w:tcPr>
                <w:p w14:paraId="39890F5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16.1</w:t>
                  </w:r>
                </w:p>
              </w:tc>
            </w:tr>
            <w:tr w14:paraId="1342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006EE2B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restart"/>
                  <w:noWrap w:val="0"/>
                  <w:vAlign w:val="center"/>
                </w:tcPr>
                <w:p w14:paraId="0B09044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ascii="Times New Roman" w:hAnsi="Times New Roman" w:eastAsia="宋体" w:cs="Times New Roman"/>
                      <w:bCs/>
                      <w:color w:val="auto"/>
                      <w:sz w:val="21"/>
                      <w:szCs w:val="21"/>
                      <w:lang w:eastAsia="zh-CN"/>
                    </w:rPr>
                    <w:t>沥青罐、搅拌机及成品仓废气</w:t>
                  </w:r>
                </w:p>
              </w:tc>
              <w:tc>
                <w:tcPr>
                  <w:tcW w:w="328" w:type="pct"/>
                  <w:vMerge w:val="continue"/>
                  <w:noWrap w:val="0"/>
                  <w:vAlign w:val="center"/>
                </w:tcPr>
                <w:p w14:paraId="0F78060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3AA725F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沥青烟</w:t>
                  </w:r>
                </w:p>
              </w:tc>
              <w:tc>
                <w:tcPr>
                  <w:tcW w:w="334" w:type="pct"/>
                  <w:vMerge w:val="restart"/>
                  <w:noWrap w:val="0"/>
                  <w:vAlign w:val="center"/>
                </w:tcPr>
                <w:p w14:paraId="48CEE97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58C116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0.918</w:t>
                  </w:r>
                </w:p>
              </w:tc>
              <w:tc>
                <w:tcPr>
                  <w:tcW w:w="412" w:type="pct"/>
                  <w:noWrap w:val="0"/>
                  <w:vAlign w:val="center"/>
                </w:tcPr>
                <w:p w14:paraId="10019E5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0.459</w:t>
                  </w:r>
                </w:p>
              </w:tc>
              <w:tc>
                <w:tcPr>
                  <w:tcW w:w="406" w:type="pct"/>
                  <w:noWrap w:val="0"/>
                  <w:vAlign w:val="center"/>
                </w:tcPr>
                <w:p w14:paraId="29477F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5.738</w:t>
                  </w:r>
                </w:p>
              </w:tc>
              <w:tc>
                <w:tcPr>
                  <w:tcW w:w="741" w:type="pct"/>
                  <w:vMerge w:val="continue"/>
                  <w:noWrap w:val="0"/>
                  <w:vAlign w:val="center"/>
                </w:tcPr>
                <w:p w14:paraId="511C057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vMerge w:val="restart"/>
                  <w:noWrap w:val="0"/>
                  <w:vAlign w:val="center"/>
                </w:tcPr>
                <w:p w14:paraId="7D162CF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color w:val="auto"/>
                      <w:kern w:val="0"/>
                      <w:sz w:val="21"/>
                      <w:szCs w:val="21"/>
                    </w:rPr>
                    <w:t>9</w:t>
                  </w:r>
                  <w:r>
                    <w:rPr>
                      <w:rFonts w:hint="eastAsia"/>
                      <w:color w:val="auto"/>
                      <w:kern w:val="0"/>
                      <w:sz w:val="21"/>
                      <w:szCs w:val="21"/>
                      <w:lang w:val="en-US" w:eastAsia="zh-CN"/>
                    </w:rPr>
                    <w:t>8</w:t>
                  </w:r>
                  <w:r>
                    <w:rPr>
                      <w:color w:val="auto"/>
                      <w:kern w:val="0"/>
                      <w:sz w:val="21"/>
                      <w:szCs w:val="21"/>
                    </w:rPr>
                    <w:t>%</w:t>
                  </w:r>
                </w:p>
              </w:tc>
              <w:tc>
                <w:tcPr>
                  <w:tcW w:w="394" w:type="pct"/>
                  <w:noWrap w:val="0"/>
                  <w:vAlign w:val="center"/>
                </w:tcPr>
                <w:p w14:paraId="175554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0.0184</w:t>
                  </w:r>
                </w:p>
              </w:tc>
              <w:tc>
                <w:tcPr>
                  <w:tcW w:w="388" w:type="pct"/>
                  <w:noWrap w:val="0"/>
                  <w:vAlign w:val="center"/>
                </w:tcPr>
                <w:p w14:paraId="68914C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
                    </w:rPr>
                    <w:t>0.0092</w:t>
                  </w:r>
                </w:p>
              </w:tc>
              <w:tc>
                <w:tcPr>
                  <w:tcW w:w="366" w:type="pct"/>
                  <w:noWrap w:val="0"/>
                  <w:vAlign w:val="center"/>
                </w:tcPr>
                <w:p w14:paraId="7C1E87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color w:val="auto"/>
                      <w:sz w:val="21"/>
                      <w:szCs w:val="21"/>
                      <w:lang w:val="en-US" w:eastAsia="zh-CN"/>
                    </w:rPr>
                    <w:t>0.115</w:t>
                  </w:r>
                </w:p>
              </w:tc>
            </w:tr>
            <w:tr w14:paraId="0823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66" w:type="pct"/>
                  <w:vMerge w:val="continue"/>
                  <w:noWrap w:val="0"/>
                  <w:vAlign w:val="center"/>
                </w:tcPr>
                <w:p w14:paraId="5672478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1CCCAC0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continue"/>
                  <w:noWrap w:val="0"/>
                  <w:vAlign w:val="center"/>
                </w:tcPr>
                <w:p w14:paraId="6EEC0B4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0667599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bCs/>
                      <w:color w:val="auto"/>
                      <w:kern w:val="0"/>
                      <w:sz w:val="21"/>
                      <w:szCs w:val="21"/>
                    </w:rPr>
                    <w:t>苯并[a]芘</w:t>
                  </w:r>
                </w:p>
              </w:tc>
              <w:tc>
                <w:tcPr>
                  <w:tcW w:w="334" w:type="pct"/>
                  <w:vMerge w:val="continue"/>
                  <w:noWrap w:val="0"/>
                  <w:vAlign w:val="center"/>
                </w:tcPr>
                <w:p w14:paraId="3F40777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3ACA41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sz w:val="21"/>
                      <w:szCs w:val="21"/>
                      <w:lang w:val="en-US" w:eastAsia="zh-CN"/>
                    </w:rPr>
                    <w:t>2.04</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w:t>
                  </w:r>
                  <w:r>
                    <w:rPr>
                      <w:rFonts w:hint="eastAsia" w:ascii="Times New Roman" w:hAnsi="Times New Roman" w:eastAsia="宋体" w:cs="Times New Roman"/>
                      <w:bCs/>
                      <w:color w:val="auto"/>
                      <w:sz w:val="21"/>
                      <w:szCs w:val="21"/>
                      <w:vertAlign w:val="superscript"/>
                      <w:lang w:val="en-US" w:eastAsia="zh-CN"/>
                    </w:rPr>
                    <w:t>3</w:t>
                  </w:r>
                </w:p>
              </w:tc>
              <w:tc>
                <w:tcPr>
                  <w:tcW w:w="412" w:type="pct"/>
                  <w:noWrap w:val="0"/>
                  <w:vAlign w:val="center"/>
                </w:tcPr>
                <w:p w14:paraId="5D788B9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1.02</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w:t>
                  </w:r>
                  <w:r>
                    <w:rPr>
                      <w:rFonts w:hint="eastAsia" w:ascii="Times New Roman" w:hAnsi="Times New Roman" w:eastAsia="宋体" w:cs="Times New Roman"/>
                      <w:bCs/>
                      <w:color w:val="auto"/>
                      <w:sz w:val="21"/>
                      <w:szCs w:val="21"/>
                      <w:vertAlign w:val="superscript"/>
                      <w:lang w:val="en-US" w:eastAsia="zh-CN"/>
                    </w:rPr>
                    <w:t>3</w:t>
                  </w:r>
                </w:p>
              </w:tc>
              <w:tc>
                <w:tcPr>
                  <w:tcW w:w="406" w:type="pct"/>
                  <w:noWrap w:val="0"/>
                  <w:vAlign w:val="center"/>
                </w:tcPr>
                <w:p w14:paraId="1A8BC3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0.0128</w:t>
                  </w:r>
                </w:p>
              </w:tc>
              <w:tc>
                <w:tcPr>
                  <w:tcW w:w="741" w:type="pct"/>
                  <w:vMerge w:val="continue"/>
                  <w:noWrap w:val="0"/>
                  <w:vAlign w:val="center"/>
                </w:tcPr>
                <w:p w14:paraId="6411A36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vMerge w:val="continue"/>
                  <w:noWrap w:val="0"/>
                  <w:vAlign w:val="center"/>
                </w:tcPr>
                <w:p w14:paraId="6F06DD2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94" w:type="pct"/>
                  <w:noWrap w:val="0"/>
                  <w:vAlign w:val="center"/>
                </w:tcPr>
                <w:p w14:paraId="3B636F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4.08</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w:t>
                  </w:r>
                  <w:r>
                    <w:rPr>
                      <w:rFonts w:hint="eastAsia" w:ascii="Times New Roman" w:hAnsi="Times New Roman" w:eastAsia="宋体" w:cs="Times New Roman"/>
                      <w:bCs/>
                      <w:color w:val="auto"/>
                      <w:sz w:val="21"/>
                      <w:szCs w:val="21"/>
                      <w:vertAlign w:val="superscript"/>
                      <w:lang w:val="en-US" w:eastAsia="zh-CN"/>
                    </w:rPr>
                    <w:t>5</w:t>
                  </w:r>
                </w:p>
              </w:tc>
              <w:tc>
                <w:tcPr>
                  <w:tcW w:w="388" w:type="pct"/>
                  <w:noWrap w:val="0"/>
                  <w:vAlign w:val="center"/>
                </w:tcPr>
                <w:p w14:paraId="11E7C0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
                    </w:rPr>
                    <w:t>2.04</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w:t>
                  </w:r>
                  <w:r>
                    <w:rPr>
                      <w:rFonts w:hint="eastAsia" w:ascii="Times New Roman" w:hAnsi="Times New Roman" w:eastAsia="宋体" w:cs="Times New Roman"/>
                      <w:bCs/>
                      <w:color w:val="auto"/>
                      <w:sz w:val="21"/>
                      <w:szCs w:val="21"/>
                      <w:vertAlign w:val="superscript"/>
                      <w:lang w:val="en-US" w:eastAsia="zh-CN"/>
                    </w:rPr>
                    <w:t>5</w:t>
                  </w:r>
                </w:p>
              </w:tc>
              <w:tc>
                <w:tcPr>
                  <w:tcW w:w="366" w:type="pct"/>
                  <w:noWrap w:val="0"/>
                  <w:vAlign w:val="center"/>
                </w:tcPr>
                <w:p w14:paraId="0B2769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color w:val="auto"/>
                      <w:sz w:val="21"/>
                      <w:szCs w:val="21"/>
                      <w:lang w:val="en-US" w:eastAsia="zh-CN"/>
                    </w:rPr>
                    <w:t>2.55</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w:t>
                  </w:r>
                  <w:r>
                    <w:rPr>
                      <w:rFonts w:hint="eastAsia" w:ascii="Times New Roman" w:hAnsi="Times New Roman" w:eastAsia="宋体" w:cs="Times New Roman"/>
                      <w:bCs/>
                      <w:color w:val="auto"/>
                      <w:sz w:val="21"/>
                      <w:szCs w:val="21"/>
                      <w:vertAlign w:val="superscript"/>
                      <w:lang w:val="en-US" w:eastAsia="zh-CN"/>
                    </w:rPr>
                    <w:t>4</w:t>
                  </w:r>
                </w:p>
              </w:tc>
            </w:tr>
            <w:tr w14:paraId="46ED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1E3E66E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63C0110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restart"/>
                  <w:noWrap w:val="0"/>
                  <w:vAlign w:val="center"/>
                </w:tcPr>
                <w:p w14:paraId="57D1A8A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无组织排放</w:t>
                  </w:r>
                </w:p>
              </w:tc>
              <w:tc>
                <w:tcPr>
                  <w:tcW w:w="364" w:type="pct"/>
                  <w:noWrap w:val="0"/>
                  <w:vAlign w:val="center"/>
                </w:tcPr>
                <w:p w14:paraId="458CAF7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沥青烟</w:t>
                  </w:r>
                </w:p>
              </w:tc>
              <w:tc>
                <w:tcPr>
                  <w:tcW w:w="334" w:type="pct"/>
                  <w:vMerge w:val="restart"/>
                  <w:noWrap w:val="0"/>
                  <w:vAlign w:val="center"/>
                </w:tcPr>
                <w:p w14:paraId="4D6CC39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6774265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0.0093</w:t>
                  </w:r>
                </w:p>
              </w:tc>
              <w:tc>
                <w:tcPr>
                  <w:tcW w:w="412" w:type="pct"/>
                  <w:noWrap w:val="0"/>
                  <w:vAlign w:val="center"/>
                </w:tcPr>
                <w:p w14:paraId="0AF24ED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0.00465</w:t>
                  </w:r>
                </w:p>
              </w:tc>
              <w:tc>
                <w:tcPr>
                  <w:tcW w:w="406" w:type="pct"/>
                  <w:noWrap w:val="0"/>
                  <w:vAlign w:val="center"/>
                </w:tcPr>
                <w:p w14:paraId="584F4A8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w:t>
                  </w:r>
                </w:p>
              </w:tc>
              <w:tc>
                <w:tcPr>
                  <w:tcW w:w="741" w:type="pct"/>
                  <w:vMerge w:val="restart"/>
                  <w:noWrap w:val="0"/>
                  <w:vAlign w:val="center"/>
                </w:tcPr>
                <w:p w14:paraId="4D929B2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eastAsia="zh-CN"/>
                    </w:rPr>
                  </w:pPr>
                  <w:r>
                    <w:rPr>
                      <w:rFonts w:hint="eastAsia"/>
                      <w:color w:val="auto"/>
                      <w:kern w:val="0"/>
                      <w:sz w:val="21"/>
                      <w:szCs w:val="21"/>
                      <w:lang w:val="en-US" w:eastAsia="zh-CN"/>
                    </w:rPr>
                    <w:t>/</w:t>
                  </w:r>
                </w:p>
              </w:tc>
              <w:tc>
                <w:tcPr>
                  <w:tcW w:w="274" w:type="pct"/>
                  <w:noWrap w:val="0"/>
                  <w:vAlign w:val="center"/>
                </w:tcPr>
                <w:p w14:paraId="65E52F9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394" w:type="pct"/>
                  <w:noWrap w:val="0"/>
                  <w:vAlign w:val="center"/>
                </w:tcPr>
                <w:p w14:paraId="4F3990F1">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0.0093</w:t>
                  </w:r>
                </w:p>
              </w:tc>
              <w:tc>
                <w:tcPr>
                  <w:tcW w:w="388" w:type="pct"/>
                  <w:noWrap w:val="0"/>
                  <w:vAlign w:val="center"/>
                </w:tcPr>
                <w:p w14:paraId="765F952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eastAsia="宋体"/>
                      <w:color w:val="auto"/>
                      <w:kern w:val="0"/>
                      <w:sz w:val="21"/>
                      <w:szCs w:val="21"/>
                      <w:lang w:val="en-US" w:eastAsia="zh-CN"/>
                    </w:rPr>
                    <w:t>0.00465</w:t>
                  </w:r>
                </w:p>
              </w:tc>
              <w:tc>
                <w:tcPr>
                  <w:tcW w:w="366" w:type="pct"/>
                  <w:noWrap w:val="0"/>
                  <w:vAlign w:val="center"/>
                </w:tcPr>
                <w:p w14:paraId="75B6C06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w:t>
                  </w:r>
                </w:p>
              </w:tc>
            </w:tr>
            <w:tr w14:paraId="60B5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66" w:type="pct"/>
                  <w:vMerge w:val="continue"/>
                  <w:noWrap w:val="0"/>
                  <w:vAlign w:val="center"/>
                </w:tcPr>
                <w:p w14:paraId="410A8BE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vMerge w:val="continue"/>
                  <w:noWrap w:val="0"/>
                  <w:vAlign w:val="center"/>
                </w:tcPr>
                <w:p w14:paraId="0A5395E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28" w:type="pct"/>
                  <w:vMerge w:val="continue"/>
                  <w:noWrap w:val="0"/>
                  <w:vAlign w:val="center"/>
                </w:tcPr>
                <w:p w14:paraId="0546ED3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64" w:type="pct"/>
                  <w:noWrap w:val="0"/>
                  <w:vAlign w:val="center"/>
                </w:tcPr>
                <w:p w14:paraId="6F72109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bCs/>
                      <w:color w:val="auto"/>
                      <w:kern w:val="0"/>
                      <w:sz w:val="21"/>
                      <w:szCs w:val="21"/>
                    </w:rPr>
                    <w:t>苯并[a]芘</w:t>
                  </w:r>
                </w:p>
              </w:tc>
              <w:tc>
                <w:tcPr>
                  <w:tcW w:w="334" w:type="pct"/>
                  <w:vMerge w:val="continue"/>
                  <w:noWrap w:val="0"/>
                  <w:vAlign w:val="center"/>
                </w:tcPr>
                <w:p w14:paraId="5C96418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82" w:type="pct"/>
                  <w:noWrap w:val="0"/>
                  <w:vAlign w:val="center"/>
                </w:tcPr>
                <w:p w14:paraId="5A96740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sz w:val="21"/>
                      <w:szCs w:val="21"/>
                      <w:lang w:val="en-US" w:eastAsia="zh-CN"/>
                    </w:rPr>
                    <w:t>2.06</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w:t>
                  </w:r>
                  <w:r>
                    <w:rPr>
                      <w:rFonts w:hint="eastAsia" w:ascii="Times New Roman" w:hAnsi="Times New Roman" w:eastAsia="宋体" w:cs="Times New Roman"/>
                      <w:bCs/>
                      <w:color w:val="auto"/>
                      <w:sz w:val="21"/>
                      <w:szCs w:val="21"/>
                      <w:vertAlign w:val="superscript"/>
                      <w:lang w:val="en-US" w:eastAsia="zh-CN"/>
                    </w:rPr>
                    <w:t>5</w:t>
                  </w:r>
                </w:p>
              </w:tc>
              <w:tc>
                <w:tcPr>
                  <w:tcW w:w="412" w:type="pct"/>
                  <w:noWrap w:val="0"/>
                  <w:vAlign w:val="center"/>
                </w:tcPr>
                <w:p w14:paraId="3839BAA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ascii="Times New Roman" w:hAnsi="Times New Roman" w:eastAsia="宋体" w:cs="Times New Roman"/>
                      <w:bCs/>
                      <w:color w:val="auto"/>
                      <w:sz w:val="21"/>
                      <w:szCs w:val="21"/>
                      <w:lang w:val="en-US" w:eastAsia="zh-CN"/>
                    </w:rPr>
                    <w:t>1.03</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w:t>
                  </w:r>
                  <w:r>
                    <w:rPr>
                      <w:rFonts w:hint="eastAsia" w:ascii="Times New Roman" w:hAnsi="Times New Roman" w:eastAsia="宋体" w:cs="Times New Roman"/>
                      <w:bCs/>
                      <w:color w:val="auto"/>
                      <w:sz w:val="21"/>
                      <w:szCs w:val="21"/>
                      <w:vertAlign w:val="superscript"/>
                      <w:lang w:val="en-US" w:eastAsia="zh-CN"/>
                    </w:rPr>
                    <w:t>5</w:t>
                  </w:r>
                </w:p>
              </w:tc>
              <w:tc>
                <w:tcPr>
                  <w:tcW w:w="406" w:type="pct"/>
                  <w:noWrap w:val="0"/>
                  <w:vAlign w:val="center"/>
                </w:tcPr>
                <w:p w14:paraId="29E6E93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w:t>
                  </w:r>
                </w:p>
              </w:tc>
              <w:tc>
                <w:tcPr>
                  <w:tcW w:w="741" w:type="pct"/>
                  <w:vMerge w:val="continue"/>
                  <w:noWrap w:val="0"/>
                  <w:vAlign w:val="center"/>
                </w:tcPr>
                <w:p w14:paraId="3326CC1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274" w:type="pct"/>
                  <w:noWrap w:val="0"/>
                  <w:vAlign w:val="center"/>
                </w:tcPr>
                <w:p w14:paraId="1DFDDA5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w:t>
                  </w:r>
                </w:p>
              </w:tc>
              <w:tc>
                <w:tcPr>
                  <w:tcW w:w="394" w:type="pct"/>
                  <w:noWrap w:val="0"/>
                  <w:vAlign w:val="center"/>
                </w:tcPr>
                <w:p w14:paraId="57291C3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sz w:val="21"/>
                      <w:szCs w:val="21"/>
                      <w:lang w:val="en-US" w:eastAsia="zh-CN"/>
                    </w:rPr>
                    <w:t>2.06</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w:t>
                  </w:r>
                  <w:r>
                    <w:rPr>
                      <w:rFonts w:hint="eastAsia" w:ascii="Times New Roman" w:hAnsi="Times New Roman" w:eastAsia="宋体" w:cs="Times New Roman"/>
                      <w:bCs/>
                      <w:color w:val="auto"/>
                      <w:sz w:val="21"/>
                      <w:szCs w:val="21"/>
                      <w:vertAlign w:val="superscript"/>
                      <w:lang w:val="en-US" w:eastAsia="zh-CN"/>
                    </w:rPr>
                    <w:t>5</w:t>
                  </w:r>
                </w:p>
              </w:tc>
              <w:tc>
                <w:tcPr>
                  <w:tcW w:w="388" w:type="pct"/>
                  <w:noWrap w:val="0"/>
                  <w:vAlign w:val="center"/>
                </w:tcPr>
                <w:p w14:paraId="09A9081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ascii="Times New Roman" w:hAnsi="Times New Roman" w:eastAsia="宋体" w:cs="Times New Roman"/>
                      <w:bCs/>
                      <w:color w:val="auto"/>
                      <w:sz w:val="21"/>
                      <w:szCs w:val="21"/>
                      <w:lang w:val="en-US" w:eastAsia="zh-CN"/>
                    </w:rPr>
                    <w:t>1.03</w:t>
                  </w:r>
                  <w:r>
                    <w:rPr>
                      <w:rFonts w:hint="default" w:ascii="Times New Roman" w:hAnsi="Times New Roman" w:eastAsia="宋体" w:cs="Times New Roman"/>
                      <w:bCs/>
                      <w:color w:val="auto"/>
                      <w:sz w:val="21"/>
                      <w:szCs w:val="21"/>
                    </w:rPr>
                    <w:t>×10</w:t>
                  </w:r>
                  <w:r>
                    <w:rPr>
                      <w:rFonts w:hint="default" w:ascii="Times New Roman" w:hAnsi="Times New Roman" w:eastAsia="宋体" w:cs="Times New Roman"/>
                      <w:bCs/>
                      <w:color w:val="auto"/>
                      <w:sz w:val="21"/>
                      <w:szCs w:val="21"/>
                      <w:vertAlign w:val="superscript"/>
                    </w:rPr>
                    <w:t>-</w:t>
                  </w:r>
                  <w:r>
                    <w:rPr>
                      <w:rFonts w:hint="eastAsia" w:ascii="Times New Roman" w:hAnsi="Times New Roman" w:eastAsia="宋体" w:cs="Times New Roman"/>
                      <w:bCs/>
                      <w:color w:val="auto"/>
                      <w:sz w:val="21"/>
                      <w:szCs w:val="21"/>
                      <w:vertAlign w:val="superscript"/>
                      <w:lang w:val="en-US" w:eastAsia="zh-CN"/>
                    </w:rPr>
                    <w:t>5</w:t>
                  </w:r>
                </w:p>
              </w:tc>
              <w:tc>
                <w:tcPr>
                  <w:tcW w:w="366" w:type="pct"/>
                  <w:noWrap w:val="0"/>
                  <w:vAlign w:val="center"/>
                </w:tcPr>
                <w:p w14:paraId="16618B5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w:t>
                  </w:r>
                </w:p>
              </w:tc>
            </w:tr>
            <w:tr w14:paraId="72B4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vMerge w:val="continue"/>
                  <w:noWrap w:val="0"/>
                  <w:vAlign w:val="center"/>
                </w:tcPr>
                <w:p w14:paraId="1F20452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p>
              </w:tc>
              <w:tc>
                <w:tcPr>
                  <w:tcW w:w="340" w:type="pct"/>
                  <w:noWrap w:val="0"/>
                  <w:vAlign w:val="center"/>
                </w:tcPr>
                <w:p w14:paraId="5F7CE1E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矿粉料仓</w:t>
                  </w:r>
                </w:p>
              </w:tc>
              <w:tc>
                <w:tcPr>
                  <w:tcW w:w="328" w:type="pct"/>
                  <w:noWrap w:val="0"/>
                  <w:vAlign w:val="center"/>
                </w:tcPr>
                <w:p w14:paraId="343654E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DA00</w:t>
                  </w:r>
                  <w:r>
                    <w:rPr>
                      <w:rFonts w:hint="eastAsia"/>
                      <w:color w:val="auto"/>
                      <w:kern w:val="0"/>
                      <w:sz w:val="21"/>
                      <w:szCs w:val="21"/>
                      <w:lang w:val="en-US" w:eastAsia="zh-CN"/>
                    </w:rPr>
                    <w:t>6</w:t>
                  </w:r>
                </w:p>
              </w:tc>
              <w:tc>
                <w:tcPr>
                  <w:tcW w:w="364" w:type="pct"/>
                  <w:noWrap w:val="0"/>
                  <w:vAlign w:val="center"/>
                </w:tcPr>
                <w:p w14:paraId="067F040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bCs/>
                      <w:color w:val="auto"/>
                      <w:kern w:val="0"/>
                      <w:sz w:val="21"/>
                      <w:szCs w:val="21"/>
                    </w:rPr>
                  </w:pPr>
                  <w:r>
                    <w:rPr>
                      <w:color w:val="auto"/>
                      <w:kern w:val="0"/>
                      <w:sz w:val="21"/>
                      <w:szCs w:val="21"/>
                    </w:rPr>
                    <w:t>粉尘</w:t>
                  </w:r>
                </w:p>
              </w:tc>
              <w:tc>
                <w:tcPr>
                  <w:tcW w:w="334" w:type="pct"/>
                  <w:noWrap w:val="0"/>
                  <w:vAlign w:val="center"/>
                </w:tcPr>
                <w:p w14:paraId="23BC058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440E19A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3.302</w:t>
                  </w:r>
                </w:p>
              </w:tc>
              <w:tc>
                <w:tcPr>
                  <w:tcW w:w="412" w:type="pct"/>
                  <w:noWrap w:val="0"/>
                  <w:vAlign w:val="center"/>
                </w:tcPr>
                <w:p w14:paraId="1D07A7C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1.651</w:t>
                  </w:r>
                </w:p>
              </w:tc>
              <w:tc>
                <w:tcPr>
                  <w:tcW w:w="406" w:type="pct"/>
                  <w:noWrap w:val="0"/>
                  <w:vAlign w:val="center"/>
                </w:tcPr>
                <w:p w14:paraId="621F0EE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rPr>
                  </w:pPr>
                  <w:r>
                    <w:rPr>
                      <w:rFonts w:hint="eastAsia"/>
                      <w:color w:val="auto"/>
                      <w:kern w:val="0"/>
                      <w:sz w:val="21"/>
                      <w:szCs w:val="21"/>
                      <w:lang w:val="en-US" w:eastAsia="zh-CN"/>
                    </w:rPr>
                    <w:t>550.333</w:t>
                  </w:r>
                </w:p>
              </w:tc>
              <w:tc>
                <w:tcPr>
                  <w:tcW w:w="741" w:type="pct"/>
                  <w:noWrap w:val="0"/>
                  <w:vAlign w:val="center"/>
                </w:tcPr>
                <w:p w14:paraId="6E73C30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脉冲式布袋除尘</w:t>
                  </w:r>
                </w:p>
              </w:tc>
              <w:tc>
                <w:tcPr>
                  <w:tcW w:w="274" w:type="pct"/>
                  <w:noWrap w:val="0"/>
                  <w:vAlign w:val="center"/>
                </w:tcPr>
                <w:p w14:paraId="7E52DC0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99%</w:t>
                  </w:r>
                </w:p>
              </w:tc>
              <w:tc>
                <w:tcPr>
                  <w:tcW w:w="394" w:type="pct"/>
                  <w:noWrap w:val="0"/>
                  <w:vAlign w:val="center"/>
                </w:tcPr>
                <w:p w14:paraId="67FD6E8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rPr>
                  </w:pPr>
                  <w:r>
                    <w:rPr>
                      <w:rFonts w:hint="eastAsia"/>
                      <w:color w:val="auto"/>
                      <w:kern w:val="0"/>
                      <w:sz w:val="21"/>
                      <w:szCs w:val="21"/>
                      <w:lang w:val="en-US" w:eastAsia="zh-CN"/>
                    </w:rPr>
                    <w:t>0.033</w:t>
                  </w:r>
                </w:p>
              </w:tc>
              <w:tc>
                <w:tcPr>
                  <w:tcW w:w="388" w:type="pct"/>
                  <w:noWrap w:val="0"/>
                  <w:vAlign w:val="center"/>
                </w:tcPr>
                <w:p w14:paraId="6B67347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rPr>
                  </w:pPr>
                  <w:r>
                    <w:rPr>
                      <w:rFonts w:hint="eastAsia"/>
                      <w:color w:val="auto"/>
                      <w:kern w:val="0"/>
                      <w:sz w:val="21"/>
                      <w:szCs w:val="21"/>
                      <w:lang w:val="en-US" w:eastAsia="zh-CN"/>
                    </w:rPr>
                    <w:t>0.0165</w:t>
                  </w:r>
                </w:p>
              </w:tc>
              <w:tc>
                <w:tcPr>
                  <w:tcW w:w="366" w:type="pct"/>
                  <w:noWrap w:val="0"/>
                  <w:vAlign w:val="center"/>
                </w:tcPr>
                <w:p w14:paraId="64A5E19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5.503</w:t>
                  </w:r>
                </w:p>
              </w:tc>
            </w:tr>
            <w:tr w14:paraId="03A2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noWrap w:val="0"/>
                  <w:vAlign w:val="center"/>
                </w:tcPr>
                <w:p w14:paraId="0DAA576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柴油储存</w:t>
                  </w:r>
                </w:p>
              </w:tc>
              <w:tc>
                <w:tcPr>
                  <w:tcW w:w="340" w:type="pct"/>
                  <w:noWrap w:val="0"/>
                  <w:vAlign w:val="center"/>
                </w:tcPr>
                <w:p w14:paraId="528278F3">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color w:val="auto"/>
                      <w:kern w:val="0"/>
                      <w:sz w:val="21"/>
                      <w:szCs w:val="21"/>
                    </w:rPr>
                    <w:t>柴油储罐</w:t>
                  </w:r>
                </w:p>
              </w:tc>
              <w:tc>
                <w:tcPr>
                  <w:tcW w:w="328" w:type="pct"/>
                  <w:noWrap w:val="0"/>
                  <w:vAlign w:val="center"/>
                </w:tcPr>
                <w:p w14:paraId="2C3CDB5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color w:val="auto"/>
                      <w:kern w:val="0"/>
                      <w:sz w:val="21"/>
                      <w:szCs w:val="21"/>
                    </w:rPr>
                    <w:t>无组织</w:t>
                  </w:r>
                </w:p>
              </w:tc>
              <w:tc>
                <w:tcPr>
                  <w:tcW w:w="364" w:type="pct"/>
                  <w:noWrap w:val="0"/>
                  <w:vAlign w:val="center"/>
                </w:tcPr>
                <w:p w14:paraId="099DAE1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bCs/>
                      <w:color w:val="auto"/>
                      <w:kern w:val="0"/>
                      <w:sz w:val="21"/>
                      <w:szCs w:val="21"/>
                    </w:rPr>
                  </w:pPr>
                  <w:r>
                    <w:rPr>
                      <w:rFonts w:hint="eastAsia"/>
                      <w:bCs/>
                      <w:color w:val="auto"/>
                      <w:kern w:val="0"/>
                      <w:sz w:val="21"/>
                      <w:szCs w:val="21"/>
                    </w:rPr>
                    <w:t>非甲烷总烃</w:t>
                  </w:r>
                </w:p>
              </w:tc>
              <w:tc>
                <w:tcPr>
                  <w:tcW w:w="334" w:type="pct"/>
                  <w:noWrap w:val="0"/>
                  <w:vAlign w:val="center"/>
                </w:tcPr>
                <w:p w14:paraId="56C4E9A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01DB600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rPr>
                    <w:t>0.</w:t>
                  </w:r>
                  <w:r>
                    <w:rPr>
                      <w:rFonts w:hint="eastAsia"/>
                      <w:color w:val="auto"/>
                      <w:kern w:val="0"/>
                      <w:sz w:val="21"/>
                      <w:szCs w:val="21"/>
                      <w:lang w:val="en-US" w:eastAsia="zh-CN"/>
                    </w:rPr>
                    <w:t>132</w:t>
                  </w:r>
                </w:p>
              </w:tc>
              <w:tc>
                <w:tcPr>
                  <w:tcW w:w="412" w:type="pct"/>
                  <w:noWrap w:val="0"/>
                  <w:vAlign w:val="center"/>
                </w:tcPr>
                <w:p w14:paraId="5DFA917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0.0275</w:t>
                  </w:r>
                </w:p>
              </w:tc>
              <w:tc>
                <w:tcPr>
                  <w:tcW w:w="406" w:type="pct"/>
                  <w:noWrap w:val="0"/>
                  <w:vAlign w:val="center"/>
                </w:tcPr>
                <w:p w14:paraId="29A9A79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color w:val="auto"/>
                      <w:kern w:val="0"/>
                      <w:sz w:val="21"/>
                      <w:szCs w:val="21"/>
                    </w:rPr>
                    <w:t>/</w:t>
                  </w:r>
                </w:p>
              </w:tc>
              <w:tc>
                <w:tcPr>
                  <w:tcW w:w="741" w:type="pct"/>
                  <w:noWrap w:val="0"/>
                  <w:vAlign w:val="center"/>
                </w:tcPr>
                <w:p w14:paraId="3DB9B0B9">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color w:val="auto"/>
                      <w:kern w:val="0"/>
                      <w:sz w:val="21"/>
                      <w:szCs w:val="21"/>
                    </w:rPr>
                    <w:t>密闭式储罐，密闭管道直连用油设备</w:t>
                  </w:r>
                </w:p>
              </w:tc>
              <w:tc>
                <w:tcPr>
                  <w:tcW w:w="274" w:type="pct"/>
                  <w:noWrap w:val="0"/>
                  <w:vAlign w:val="center"/>
                </w:tcPr>
                <w:p w14:paraId="23F614E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color w:val="auto"/>
                      <w:kern w:val="0"/>
                      <w:sz w:val="21"/>
                      <w:szCs w:val="21"/>
                    </w:rPr>
                    <w:t>/</w:t>
                  </w:r>
                </w:p>
              </w:tc>
              <w:tc>
                <w:tcPr>
                  <w:tcW w:w="394" w:type="pct"/>
                  <w:noWrap w:val="0"/>
                  <w:vAlign w:val="center"/>
                </w:tcPr>
                <w:p w14:paraId="290C462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color w:val="auto"/>
                      <w:kern w:val="0"/>
                      <w:sz w:val="21"/>
                      <w:szCs w:val="21"/>
                    </w:rPr>
                    <w:t>0.</w:t>
                  </w:r>
                  <w:r>
                    <w:rPr>
                      <w:rFonts w:hint="eastAsia"/>
                      <w:color w:val="auto"/>
                      <w:kern w:val="0"/>
                      <w:sz w:val="21"/>
                      <w:szCs w:val="21"/>
                      <w:lang w:val="en-US" w:eastAsia="zh-CN"/>
                    </w:rPr>
                    <w:t>132</w:t>
                  </w:r>
                </w:p>
              </w:tc>
              <w:tc>
                <w:tcPr>
                  <w:tcW w:w="388" w:type="pct"/>
                  <w:noWrap w:val="0"/>
                  <w:vAlign w:val="center"/>
                </w:tcPr>
                <w:p w14:paraId="32BAD08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color w:val="auto"/>
                      <w:kern w:val="0"/>
                      <w:sz w:val="21"/>
                      <w:szCs w:val="21"/>
                      <w:lang w:val="en-US" w:eastAsia="zh-CN"/>
                    </w:rPr>
                    <w:t>0.0275</w:t>
                  </w:r>
                </w:p>
              </w:tc>
              <w:tc>
                <w:tcPr>
                  <w:tcW w:w="366" w:type="pct"/>
                  <w:noWrap w:val="0"/>
                  <w:vAlign w:val="center"/>
                </w:tcPr>
                <w:p w14:paraId="7C2239E7">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olor w:val="auto"/>
                      <w:kern w:val="0"/>
                      <w:sz w:val="21"/>
                      <w:szCs w:val="21"/>
                    </w:rPr>
                  </w:pPr>
                  <w:r>
                    <w:rPr>
                      <w:rFonts w:hint="eastAsia"/>
                      <w:color w:val="auto"/>
                      <w:kern w:val="0"/>
                      <w:sz w:val="21"/>
                      <w:szCs w:val="21"/>
                    </w:rPr>
                    <w:t>/</w:t>
                  </w:r>
                </w:p>
              </w:tc>
            </w:tr>
            <w:tr w14:paraId="5572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noWrap w:val="0"/>
                  <w:vAlign w:val="center"/>
                </w:tcPr>
                <w:p w14:paraId="786960E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车运运输</w:t>
                  </w:r>
                </w:p>
              </w:tc>
              <w:tc>
                <w:tcPr>
                  <w:tcW w:w="340" w:type="pct"/>
                  <w:noWrap w:val="0"/>
                  <w:vAlign w:val="center"/>
                </w:tcPr>
                <w:p w14:paraId="22F3072F">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汽车扬尘</w:t>
                  </w:r>
                </w:p>
              </w:tc>
              <w:tc>
                <w:tcPr>
                  <w:tcW w:w="328" w:type="pct"/>
                  <w:noWrap w:val="0"/>
                  <w:vAlign w:val="center"/>
                </w:tcPr>
                <w:p w14:paraId="1E4B4B6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rFonts w:hint="eastAsia"/>
                      <w:color w:val="auto"/>
                      <w:kern w:val="0"/>
                      <w:sz w:val="21"/>
                      <w:szCs w:val="21"/>
                    </w:rPr>
                    <w:t>无组织</w:t>
                  </w:r>
                </w:p>
              </w:tc>
              <w:tc>
                <w:tcPr>
                  <w:tcW w:w="364" w:type="pct"/>
                  <w:noWrap w:val="0"/>
                  <w:vAlign w:val="center"/>
                </w:tcPr>
                <w:p w14:paraId="460D4A0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颗粒物</w:t>
                  </w:r>
                </w:p>
              </w:tc>
              <w:tc>
                <w:tcPr>
                  <w:tcW w:w="334" w:type="pct"/>
                  <w:noWrap w:val="0"/>
                  <w:vAlign w:val="center"/>
                </w:tcPr>
                <w:p w14:paraId="224B3BF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产物系数</w:t>
                  </w:r>
                  <w:r>
                    <w:rPr>
                      <w:color w:val="auto"/>
                      <w:kern w:val="0"/>
                      <w:sz w:val="21"/>
                      <w:szCs w:val="21"/>
                    </w:rPr>
                    <w:t>法</w:t>
                  </w:r>
                </w:p>
              </w:tc>
              <w:tc>
                <w:tcPr>
                  <w:tcW w:w="382" w:type="pct"/>
                  <w:noWrap w:val="0"/>
                  <w:vAlign w:val="center"/>
                </w:tcPr>
                <w:p w14:paraId="674EE4F8">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1.144</w:t>
                  </w:r>
                </w:p>
              </w:tc>
              <w:tc>
                <w:tcPr>
                  <w:tcW w:w="412" w:type="pct"/>
                  <w:noWrap w:val="0"/>
                  <w:vAlign w:val="center"/>
                </w:tcPr>
                <w:p w14:paraId="1940C83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0.572</w:t>
                  </w:r>
                </w:p>
              </w:tc>
              <w:tc>
                <w:tcPr>
                  <w:tcW w:w="406" w:type="pct"/>
                  <w:noWrap w:val="0"/>
                  <w:vAlign w:val="center"/>
                </w:tcPr>
                <w:p w14:paraId="1384BA9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w:t>
                  </w:r>
                </w:p>
              </w:tc>
              <w:tc>
                <w:tcPr>
                  <w:tcW w:w="741" w:type="pct"/>
                  <w:noWrap w:val="0"/>
                  <w:vAlign w:val="center"/>
                </w:tcPr>
                <w:p w14:paraId="002393AD">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洒水降尘、车辆冲洗</w:t>
                  </w:r>
                </w:p>
              </w:tc>
              <w:tc>
                <w:tcPr>
                  <w:tcW w:w="274" w:type="pct"/>
                  <w:noWrap w:val="0"/>
                  <w:vAlign w:val="center"/>
                </w:tcPr>
                <w:p w14:paraId="3909693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90</w:t>
                  </w:r>
                  <w:r>
                    <w:rPr>
                      <w:color w:val="auto"/>
                      <w:kern w:val="0"/>
                      <w:sz w:val="21"/>
                      <w:szCs w:val="21"/>
                    </w:rPr>
                    <w:t>%</w:t>
                  </w:r>
                </w:p>
              </w:tc>
              <w:tc>
                <w:tcPr>
                  <w:tcW w:w="394" w:type="pct"/>
                  <w:noWrap w:val="0"/>
                  <w:vAlign w:val="center"/>
                </w:tcPr>
                <w:p w14:paraId="49FDCB8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0.114</w:t>
                  </w:r>
                </w:p>
              </w:tc>
              <w:tc>
                <w:tcPr>
                  <w:tcW w:w="388" w:type="pct"/>
                  <w:noWrap w:val="0"/>
                  <w:vAlign w:val="center"/>
                </w:tcPr>
                <w:p w14:paraId="19510DE2">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0.057</w:t>
                  </w:r>
                </w:p>
              </w:tc>
              <w:tc>
                <w:tcPr>
                  <w:tcW w:w="366" w:type="pct"/>
                  <w:noWrap w:val="0"/>
                  <w:vAlign w:val="center"/>
                </w:tcPr>
                <w:p w14:paraId="4A07372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olor w:val="auto"/>
                      <w:kern w:val="0"/>
                      <w:sz w:val="21"/>
                      <w:szCs w:val="21"/>
                      <w:lang w:val="en-US" w:eastAsia="zh-CN"/>
                    </w:rPr>
                  </w:pPr>
                  <w:r>
                    <w:rPr>
                      <w:rFonts w:hint="eastAsia"/>
                      <w:color w:val="auto"/>
                      <w:kern w:val="0"/>
                      <w:sz w:val="21"/>
                      <w:szCs w:val="21"/>
                      <w:lang w:val="en-US" w:eastAsia="zh-CN"/>
                    </w:rPr>
                    <w:t>/</w:t>
                  </w:r>
                </w:p>
              </w:tc>
            </w:tr>
            <w:tr w14:paraId="30D0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 w:type="pct"/>
                  <w:noWrap w:val="0"/>
                  <w:vAlign w:val="center"/>
                </w:tcPr>
                <w:p w14:paraId="19128A90">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食堂</w:t>
                  </w:r>
                </w:p>
              </w:tc>
              <w:tc>
                <w:tcPr>
                  <w:tcW w:w="340" w:type="pct"/>
                  <w:noWrap w:val="0"/>
                  <w:vAlign w:val="center"/>
                </w:tcPr>
                <w:p w14:paraId="75029C4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灶头</w:t>
                  </w:r>
                </w:p>
              </w:tc>
              <w:tc>
                <w:tcPr>
                  <w:tcW w:w="328" w:type="pct"/>
                  <w:noWrap w:val="0"/>
                  <w:vAlign w:val="center"/>
                </w:tcPr>
                <w:p w14:paraId="027898AC">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油烟排口</w:t>
                  </w:r>
                </w:p>
              </w:tc>
              <w:tc>
                <w:tcPr>
                  <w:tcW w:w="364" w:type="pct"/>
                  <w:noWrap w:val="0"/>
                  <w:vAlign w:val="center"/>
                </w:tcPr>
                <w:p w14:paraId="21930C0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油烟</w:t>
                  </w:r>
                </w:p>
              </w:tc>
              <w:tc>
                <w:tcPr>
                  <w:tcW w:w="334" w:type="pct"/>
                  <w:noWrap w:val="0"/>
                  <w:vAlign w:val="center"/>
                </w:tcPr>
                <w:p w14:paraId="0BAA8F24">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产污系数法</w:t>
                  </w:r>
                </w:p>
              </w:tc>
              <w:tc>
                <w:tcPr>
                  <w:tcW w:w="382" w:type="pct"/>
                  <w:noWrap w:val="0"/>
                  <w:vAlign w:val="center"/>
                </w:tcPr>
                <w:p w14:paraId="0F14401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color w:val="auto"/>
                      <w:kern w:val="0"/>
                      <w:sz w:val="21"/>
                      <w:szCs w:val="21"/>
                    </w:rPr>
                    <w:t>0.0</w:t>
                  </w:r>
                  <w:r>
                    <w:rPr>
                      <w:rFonts w:hint="eastAsia"/>
                      <w:color w:val="auto"/>
                      <w:kern w:val="0"/>
                      <w:sz w:val="21"/>
                      <w:szCs w:val="21"/>
                      <w:lang w:val="en-US" w:eastAsia="zh-CN"/>
                    </w:rPr>
                    <w:t>045</w:t>
                  </w:r>
                </w:p>
              </w:tc>
              <w:tc>
                <w:tcPr>
                  <w:tcW w:w="412" w:type="pct"/>
                  <w:noWrap w:val="0"/>
                  <w:vAlign w:val="center"/>
                </w:tcPr>
                <w:p w14:paraId="003B775E">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0.0056</w:t>
                  </w:r>
                </w:p>
              </w:tc>
              <w:tc>
                <w:tcPr>
                  <w:tcW w:w="406" w:type="pct"/>
                  <w:noWrap w:val="0"/>
                  <w:vAlign w:val="center"/>
                </w:tcPr>
                <w:p w14:paraId="2BE35A6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1.875</w:t>
                  </w:r>
                </w:p>
              </w:tc>
              <w:tc>
                <w:tcPr>
                  <w:tcW w:w="741" w:type="pct"/>
                  <w:noWrap w:val="0"/>
                  <w:vAlign w:val="center"/>
                </w:tcPr>
                <w:p w14:paraId="33D04A16">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油烟净化器</w:t>
                  </w:r>
                </w:p>
              </w:tc>
              <w:tc>
                <w:tcPr>
                  <w:tcW w:w="274" w:type="pct"/>
                  <w:noWrap w:val="0"/>
                  <w:vAlign w:val="center"/>
                </w:tcPr>
                <w:p w14:paraId="68AFA23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kern w:val="0"/>
                      <w:sz w:val="21"/>
                      <w:szCs w:val="21"/>
                    </w:rPr>
                  </w:pPr>
                  <w:r>
                    <w:rPr>
                      <w:color w:val="auto"/>
                      <w:kern w:val="0"/>
                      <w:sz w:val="21"/>
                      <w:szCs w:val="21"/>
                    </w:rPr>
                    <w:t>60%</w:t>
                  </w:r>
                </w:p>
              </w:tc>
              <w:tc>
                <w:tcPr>
                  <w:tcW w:w="394" w:type="pct"/>
                  <w:noWrap w:val="0"/>
                  <w:vAlign w:val="center"/>
                </w:tcPr>
                <w:p w14:paraId="6E5FF22B">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color w:val="auto"/>
                      <w:kern w:val="0"/>
                      <w:sz w:val="21"/>
                      <w:szCs w:val="21"/>
                    </w:rPr>
                    <w:t>0.00</w:t>
                  </w:r>
                  <w:r>
                    <w:rPr>
                      <w:rFonts w:hint="eastAsia"/>
                      <w:color w:val="auto"/>
                      <w:kern w:val="0"/>
                      <w:sz w:val="21"/>
                      <w:szCs w:val="21"/>
                      <w:lang w:val="en-US" w:eastAsia="zh-CN"/>
                    </w:rPr>
                    <w:t>18</w:t>
                  </w:r>
                </w:p>
              </w:tc>
              <w:tc>
                <w:tcPr>
                  <w:tcW w:w="388" w:type="pct"/>
                  <w:noWrap w:val="0"/>
                  <w:vAlign w:val="center"/>
                </w:tcPr>
                <w:p w14:paraId="5147270A">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color w:val="auto"/>
                      <w:kern w:val="0"/>
                      <w:sz w:val="21"/>
                      <w:szCs w:val="21"/>
                    </w:rPr>
                    <w:t>0.00</w:t>
                  </w:r>
                  <w:r>
                    <w:rPr>
                      <w:rFonts w:hint="eastAsia"/>
                      <w:color w:val="auto"/>
                      <w:kern w:val="0"/>
                      <w:sz w:val="21"/>
                      <w:szCs w:val="21"/>
                      <w:lang w:val="en-US" w:eastAsia="zh-CN"/>
                    </w:rPr>
                    <w:t>23</w:t>
                  </w:r>
                </w:p>
              </w:tc>
              <w:tc>
                <w:tcPr>
                  <w:tcW w:w="366" w:type="pct"/>
                  <w:noWrap w:val="0"/>
                  <w:vAlign w:val="center"/>
                </w:tcPr>
                <w:p w14:paraId="69FFB4E5">
                  <w:pPr>
                    <w:pStyle w:val="68"/>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0.75</w:t>
                  </w:r>
                </w:p>
              </w:tc>
            </w:tr>
          </w:tbl>
          <w:p w14:paraId="3A3E6331">
            <w:pPr>
              <w:pStyle w:val="2"/>
              <w:rPr>
                <w:rFonts w:hint="eastAsia"/>
                <w:vertAlign w:val="baseline"/>
                <w:lang w:eastAsia="zh-CN"/>
              </w:rPr>
            </w:pPr>
          </w:p>
        </w:tc>
      </w:tr>
    </w:tbl>
    <w:p w14:paraId="69E30AAD">
      <w:pPr>
        <w:pStyle w:val="2"/>
        <w:rPr>
          <w:rFonts w:hint="eastAsia"/>
          <w:lang w:eastAsia="zh-CN"/>
        </w:rPr>
      </w:pPr>
    </w:p>
    <w:p w14:paraId="37BEB5AA">
      <w:pPr>
        <w:pStyle w:val="14"/>
        <w:rPr>
          <w:color w:val="auto"/>
        </w:rPr>
      </w:pPr>
    </w:p>
    <w:p w14:paraId="63A72645">
      <w:pPr>
        <w:rPr>
          <w:color w:val="auto"/>
        </w:rPr>
      </w:pPr>
    </w:p>
    <w:p w14:paraId="48DDB474">
      <w:pPr>
        <w:pStyle w:val="2"/>
        <w:rPr>
          <w:color w:val="auto"/>
        </w:rPr>
      </w:pPr>
    </w:p>
    <w:p w14:paraId="759CB0D6">
      <w:pPr>
        <w:rPr>
          <w:color w:val="auto"/>
        </w:rPr>
      </w:pPr>
    </w:p>
    <w:p w14:paraId="625C97AE">
      <w:pPr>
        <w:pStyle w:val="2"/>
        <w:rPr>
          <w:color w:val="auto"/>
        </w:rPr>
      </w:pPr>
    </w:p>
    <w:p w14:paraId="0A3E725F">
      <w:pPr>
        <w:rPr>
          <w:color w:val="auto"/>
        </w:rPr>
      </w:pPr>
    </w:p>
    <w:p w14:paraId="382C9569">
      <w:pPr>
        <w:pStyle w:val="2"/>
        <w:ind w:left="0" w:leftChars="0" w:firstLine="0" w:firstLineChars="0"/>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7835"/>
      </w:tblGrid>
      <w:tr w14:paraId="51F1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0FBD7B05">
            <w:pPr>
              <w:pStyle w:val="5"/>
              <w:jc w:val="both"/>
              <w:rPr>
                <w:rFonts w:hint="eastAsia"/>
                <w:color w:val="auto"/>
                <w:highlight w:val="none"/>
                <w:vertAlign w:val="baseline"/>
              </w:rPr>
            </w:pPr>
            <w:bookmarkStart w:id="6" w:name="_Toc18391"/>
            <w:r>
              <w:rPr>
                <w:rFonts w:hint="eastAsia"/>
                <w:color w:val="auto"/>
                <w:sz w:val="24"/>
                <w:szCs w:val="24"/>
                <w:highlight w:val="none"/>
              </w:rPr>
              <w:t>运营期环境影响和保护措施</w:t>
            </w:r>
          </w:p>
        </w:tc>
        <w:tc>
          <w:tcPr>
            <w:tcW w:w="7835" w:type="dxa"/>
          </w:tcPr>
          <w:p w14:paraId="2417EA0B">
            <w:pPr>
              <w:widowControl/>
              <w:snapToGrid w:val="0"/>
              <w:spacing w:line="360" w:lineRule="auto"/>
              <w:ind w:firstLine="480" w:firstLineChars="200"/>
              <w:rPr>
                <w:rFonts w:hint="default" w:eastAsia="宋体"/>
                <w:bCs/>
                <w:color w:val="auto"/>
                <w:sz w:val="24"/>
                <w:lang w:val="en-US" w:eastAsia="zh-CN"/>
              </w:rPr>
            </w:pPr>
            <w:r>
              <w:rPr>
                <w:rFonts w:hint="eastAsia"/>
                <w:color w:val="auto"/>
                <w:sz w:val="24"/>
              </w:rPr>
              <w:t>根据工程分析及大气影响估算，正常工况下，有组织排放的各污染因子最大落地浓度及占标率最大的为</w:t>
            </w:r>
            <w:r>
              <w:rPr>
                <w:rFonts w:hint="default" w:ascii="Times New Roman" w:hAnsi="Times New Roman" w:eastAsia="宋体" w:cs="Times New Roman"/>
                <w:bCs/>
                <w:snapToGrid w:val="0"/>
                <w:color w:val="auto"/>
                <w:kern w:val="0"/>
                <w:sz w:val="24"/>
                <w:szCs w:val="21"/>
              </w:rPr>
              <w:t>烘干滚筒</w:t>
            </w:r>
            <w:r>
              <w:rPr>
                <w:rFonts w:hint="eastAsia" w:ascii="Times New Roman" w:hAnsi="Times New Roman" w:eastAsia="宋体" w:cs="Times New Roman"/>
                <w:bCs/>
                <w:snapToGrid w:val="0"/>
                <w:color w:val="auto"/>
                <w:kern w:val="0"/>
                <w:sz w:val="24"/>
                <w:szCs w:val="21"/>
                <w:lang w:eastAsia="zh-CN"/>
              </w:rPr>
              <w:t>、</w:t>
            </w:r>
            <w:r>
              <w:rPr>
                <w:rFonts w:hint="eastAsia" w:ascii="Times New Roman" w:hAnsi="Times New Roman" w:eastAsia="宋体" w:cs="Times New Roman"/>
                <w:bCs/>
                <w:snapToGrid w:val="0"/>
                <w:color w:val="auto"/>
                <w:kern w:val="0"/>
                <w:sz w:val="24"/>
                <w:szCs w:val="21"/>
                <w:lang w:val="en-US" w:eastAsia="zh-CN"/>
              </w:rPr>
              <w:t>筛分粉尘、</w:t>
            </w:r>
            <w:r>
              <w:rPr>
                <w:rFonts w:hint="eastAsia" w:ascii="Times New Roman" w:hAnsi="Times New Roman" w:eastAsia="宋体" w:cs="Times New Roman"/>
                <w:bCs/>
                <w:color w:val="auto"/>
                <w:sz w:val="24"/>
                <w:lang w:val="en-US" w:eastAsia="zh-CN"/>
              </w:rPr>
              <w:t>热骨料仓粉尘</w:t>
            </w:r>
            <w:r>
              <w:rPr>
                <w:rFonts w:hint="eastAsia" w:ascii="Times New Roman" w:hAnsi="Times New Roman" w:eastAsia="宋体" w:cs="Times New Roman"/>
                <w:bCs/>
                <w:snapToGrid w:val="0"/>
                <w:color w:val="auto"/>
                <w:kern w:val="0"/>
                <w:sz w:val="24"/>
                <w:szCs w:val="21"/>
                <w:lang w:val="en-US" w:eastAsia="zh-CN"/>
              </w:rPr>
              <w:t>、</w:t>
            </w:r>
            <w:r>
              <w:rPr>
                <w:rFonts w:hint="default" w:ascii="Times New Roman" w:hAnsi="Times New Roman" w:eastAsia="宋体" w:cs="Times New Roman"/>
                <w:bCs/>
                <w:snapToGrid w:val="0"/>
                <w:color w:val="auto"/>
                <w:kern w:val="0"/>
                <w:sz w:val="24"/>
                <w:szCs w:val="21"/>
              </w:rPr>
              <w:t>燃烧器废气</w:t>
            </w:r>
            <w:r>
              <w:rPr>
                <w:rFonts w:hint="eastAsia" w:ascii="Times New Roman" w:hAnsi="Times New Roman" w:eastAsia="宋体" w:cs="Times New Roman"/>
                <w:bCs/>
                <w:snapToGrid w:val="0"/>
                <w:color w:val="auto"/>
                <w:kern w:val="0"/>
                <w:sz w:val="24"/>
                <w:szCs w:val="21"/>
                <w:lang w:val="en-US" w:eastAsia="zh-CN"/>
              </w:rPr>
              <w:t>及沥青烟废气</w:t>
            </w:r>
            <w:r>
              <w:rPr>
                <w:rFonts w:hint="eastAsia" w:ascii="Times New Roman" w:hAnsi="Times New Roman" w:eastAsia="宋体" w:cs="Times New Roman"/>
                <w:color w:val="auto"/>
                <w:sz w:val="24"/>
              </w:rPr>
              <w:t>排气</w:t>
            </w:r>
            <w:r>
              <w:rPr>
                <w:rFonts w:hint="eastAsia"/>
                <w:color w:val="auto"/>
                <w:sz w:val="24"/>
              </w:rPr>
              <w:t>筒（DA00</w:t>
            </w:r>
            <w:r>
              <w:rPr>
                <w:rFonts w:hint="eastAsia"/>
                <w:color w:val="auto"/>
                <w:sz w:val="24"/>
                <w:lang w:val="en-US" w:eastAsia="zh-CN"/>
              </w:rPr>
              <w:t>5</w:t>
            </w:r>
            <w:r>
              <w:rPr>
                <w:rFonts w:hint="eastAsia"/>
                <w:color w:val="auto"/>
                <w:sz w:val="24"/>
              </w:rPr>
              <w:t>）</w:t>
            </w:r>
            <w:r>
              <w:rPr>
                <w:rFonts w:hint="eastAsia"/>
                <w:bCs/>
                <w:color w:val="auto"/>
                <w:sz w:val="24"/>
              </w:rPr>
              <w:t>。最大落地浓度</w:t>
            </w:r>
            <w:r>
              <w:rPr>
                <w:rFonts w:hint="eastAsia"/>
                <w:bCs/>
                <w:color w:val="auto"/>
                <w:sz w:val="24"/>
                <w:lang w:val="en-US" w:eastAsia="zh-CN"/>
              </w:rPr>
              <w:t>为</w:t>
            </w:r>
            <w:r>
              <w:rPr>
                <w:rFonts w:hint="eastAsia"/>
                <w:bCs/>
                <w:color w:val="auto"/>
                <w:sz w:val="24"/>
              </w:rPr>
              <w:t>：</w:t>
            </w:r>
            <w:r>
              <w:rPr>
                <w:b w:val="0"/>
                <w:bCs/>
                <w:color w:val="auto"/>
                <w:kern w:val="0"/>
                <w:sz w:val="24"/>
                <w:szCs w:val="24"/>
              </w:rPr>
              <w:t>NO</w:t>
            </w:r>
            <w:r>
              <w:rPr>
                <w:b w:val="0"/>
                <w:bCs/>
                <w:color w:val="auto"/>
                <w:kern w:val="0"/>
                <w:sz w:val="24"/>
                <w:szCs w:val="24"/>
                <w:vertAlign w:val="subscript"/>
              </w:rPr>
              <w:t>X</w:t>
            </w:r>
            <w:r>
              <w:rPr>
                <w:rFonts w:hint="default" w:ascii="Times New Roman" w:hAnsi="Times New Roman" w:eastAsia="宋体" w:cs="Times New Roman"/>
                <w:b w:val="0"/>
                <w:bCs/>
                <w:i w:val="0"/>
                <w:iCs w:val="0"/>
                <w:color w:val="000000"/>
                <w:kern w:val="0"/>
                <w:sz w:val="24"/>
                <w:szCs w:val="24"/>
                <w:u w:val="none"/>
                <w:lang w:val="en-US" w:eastAsia="zh-CN" w:bidi="ar"/>
              </w:rPr>
              <w:t>1.23E-02</w:t>
            </w:r>
            <w:r>
              <w:rPr>
                <w:rFonts w:hint="eastAsia"/>
                <w:color w:val="auto"/>
                <w:sz w:val="24"/>
              </w:rPr>
              <w:t>m</w:t>
            </w:r>
            <w:r>
              <w:rPr>
                <w:color w:val="auto"/>
                <w:sz w:val="24"/>
              </w:rPr>
              <w:t>g/</w:t>
            </w:r>
            <w:r>
              <w:rPr>
                <w:rFonts w:hint="eastAsia"/>
                <w:color w:val="auto"/>
                <w:sz w:val="24"/>
              </w:rPr>
              <w:t>m</w:t>
            </w:r>
            <w:r>
              <w:rPr>
                <w:color w:val="auto"/>
                <w:sz w:val="24"/>
                <w:vertAlign w:val="superscript"/>
              </w:rPr>
              <w:t>3</w:t>
            </w:r>
            <w:r>
              <w:rPr>
                <w:rFonts w:hint="eastAsia"/>
                <w:color w:val="auto"/>
                <w:sz w:val="24"/>
              </w:rPr>
              <w:t>，占标率</w:t>
            </w:r>
            <w:r>
              <w:rPr>
                <w:color w:val="auto"/>
                <w:sz w:val="24"/>
              </w:rPr>
              <w:t>P</w:t>
            </w:r>
            <w:r>
              <w:rPr>
                <w:color w:val="auto"/>
                <w:sz w:val="24"/>
                <w:vertAlign w:val="subscript"/>
              </w:rPr>
              <w:t>max</w:t>
            </w:r>
            <w:r>
              <w:rPr>
                <w:rFonts w:hint="eastAsia"/>
                <w:color w:val="auto"/>
                <w:sz w:val="24"/>
              </w:rPr>
              <w:t>=</w:t>
            </w:r>
            <w:r>
              <w:rPr>
                <w:rFonts w:hint="eastAsia"/>
                <w:color w:val="auto"/>
                <w:sz w:val="24"/>
                <w:lang w:val="en-US" w:eastAsia="zh-CN"/>
              </w:rPr>
              <w:t>6.15</w:t>
            </w:r>
            <w:r>
              <w:rPr>
                <w:rFonts w:hint="eastAsia"/>
                <w:color w:val="auto"/>
                <w:sz w:val="24"/>
              </w:rPr>
              <w:t>%，最大落地浓度</w:t>
            </w:r>
            <w:r>
              <w:rPr>
                <w:color w:val="auto"/>
                <w:sz w:val="24"/>
              </w:rPr>
              <w:t>出现距离为下风向</w:t>
            </w:r>
            <w:r>
              <w:rPr>
                <w:rFonts w:hint="eastAsia"/>
                <w:color w:val="auto"/>
                <w:sz w:val="24"/>
                <w:lang w:val="en-US" w:eastAsia="zh-CN"/>
              </w:rPr>
              <w:t>235</w:t>
            </w:r>
            <w:r>
              <w:rPr>
                <w:color w:val="auto"/>
                <w:sz w:val="24"/>
              </w:rPr>
              <w:t>m</w:t>
            </w:r>
            <w:r>
              <w:rPr>
                <w:rFonts w:hint="eastAsia"/>
                <w:color w:val="auto"/>
                <w:sz w:val="24"/>
              </w:rPr>
              <w:t>。正常工况下，有组织排放的各污染因子</w:t>
            </w:r>
            <w:r>
              <w:rPr>
                <w:rFonts w:hint="eastAsia"/>
                <w:color w:val="auto"/>
                <w:sz w:val="24"/>
                <w:lang w:val="en-US" w:eastAsia="zh-CN"/>
              </w:rPr>
              <w:t>到达最近</w:t>
            </w:r>
            <w:r>
              <w:rPr>
                <w:rFonts w:hint="eastAsia"/>
                <w:color w:val="auto"/>
                <w:sz w:val="24"/>
                <w:szCs w:val="24"/>
                <w:lang w:val="en-US" w:eastAsia="zh-CN"/>
              </w:rPr>
              <w:t>敏感点</w:t>
            </w:r>
            <w:r>
              <w:rPr>
                <w:rFonts w:hint="default" w:ascii="Times New Roman" w:hAnsi="Times New Roman" w:cs="Times New Roman"/>
                <w:color w:val="auto"/>
                <w:kern w:val="0"/>
                <w:sz w:val="24"/>
                <w:szCs w:val="24"/>
              </w:rPr>
              <w:t>等岗村</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312m</w:t>
            </w:r>
            <w:r>
              <w:rPr>
                <w:rFonts w:hint="eastAsia" w:ascii="Times New Roman" w:hAnsi="Times New Roman" w:cs="Times New Roman"/>
                <w:color w:val="auto"/>
                <w:kern w:val="0"/>
                <w:sz w:val="24"/>
                <w:szCs w:val="24"/>
                <w:lang w:eastAsia="zh-CN"/>
              </w:rPr>
              <w:t>）</w:t>
            </w:r>
            <w:r>
              <w:rPr>
                <w:rFonts w:hint="eastAsia"/>
                <w:color w:val="auto"/>
                <w:sz w:val="24"/>
                <w:szCs w:val="24"/>
                <w:lang w:val="en-US" w:eastAsia="zh-CN"/>
              </w:rPr>
              <w:t>处</w:t>
            </w:r>
            <w:r>
              <w:rPr>
                <w:rFonts w:hint="eastAsia"/>
                <w:bCs/>
                <w:color w:val="auto"/>
                <w:sz w:val="24"/>
                <w:szCs w:val="24"/>
              </w:rPr>
              <w:t>最</w:t>
            </w:r>
            <w:r>
              <w:rPr>
                <w:rFonts w:hint="eastAsia"/>
                <w:bCs/>
                <w:color w:val="auto"/>
                <w:sz w:val="24"/>
              </w:rPr>
              <w:t>大落地浓度</w:t>
            </w:r>
            <w:r>
              <w:rPr>
                <w:rFonts w:hint="eastAsia"/>
                <w:bCs/>
                <w:color w:val="auto"/>
                <w:sz w:val="24"/>
                <w:lang w:val="en-US" w:eastAsia="zh-CN"/>
              </w:rPr>
              <w:t>为</w:t>
            </w:r>
            <w:r>
              <w:rPr>
                <w:rFonts w:hint="eastAsia"/>
                <w:bCs/>
                <w:color w:val="auto"/>
                <w:sz w:val="24"/>
              </w:rPr>
              <w:t>：</w:t>
            </w:r>
            <w:r>
              <w:rPr>
                <w:b w:val="0"/>
                <w:bCs/>
                <w:color w:val="auto"/>
                <w:kern w:val="0"/>
                <w:sz w:val="24"/>
                <w:szCs w:val="24"/>
              </w:rPr>
              <w:t>NO</w:t>
            </w:r>
            <w:r>
              <w:rPr>
                <w:b w:val="0"/>
                <w:bCs/>
                <w:color w:val="auto"/>
                <w:kern w:val="0"/>
                <w:sz w:val="24"/>
                <w:szCs w:val="24"/>
                <w:vertAlign w:val="subscript"/>
              </w:rPr>
              <w:t>X</w:t>
            </w:r>
            <w:r>
              <w:rPr>
                <w:rFonts w:hint="eastAsia" w:ascii="Times New Roman" w:hAnsi="Times New Roman" w:eastAsia="宋体" w:cs="Times New Roman"/>
                <w:b w:val="0"/>
                <w:bCs/>
                <w:i w:val="0"/>
                <w:iCs w:val="0"/>
                <w:color w:val="auto"/>
                <w:kern w:val="0"/>
                <w:sz w:val="24"/>
                <w:szCs w:val="24"/>
                <w:u w:val="none"/>
                <w:lang w:val="en-US" w:eastAsia="zh-CN" w:bidi="ar"/>
              </w:rPr>
              <w:t>1.18E-02</w:t>
            </w:r>
            <w:r>
              <w:rPr>
                <w:rFonts w:hint="eastAsia"/>
                <w:b w:val="0"/>
                <w:bCs/>
                <w:color w:val="auto"/>
                <w:sz w:val="24"/>
                <w:szCs w:val="24"/>
              </w:rPr>
              <w:t>m</w:t>
            </w:r>
            <w:r>
              <w:rPr>
                <w:color w:val="auto"/>
                <w:sz w:val="24"/>
              </w:rPr>
              <w:t>g/</w:t>
            </w:r>
            <w:r>
              <w:rPr>
                <w:rFonts w:hint="eastAsia"/>
                <w:color w:val="auto"/>
                <w:sz w:val="24"/>
              </w:rPr>
              <w:t>m</w:t>
            </w:r>
            <w:r>
              <w:rPr>
                <w:color w:val="auto"/>
                <w:sz w:val="24"/>
                <w:vertAlign w:val="superscript"/>
              </w:rPr>
              <w:t>3</w:t>
            </w:r>
            <w:r>
              <w:rPr>
                <w:rFonts w:hint="eastAsia"/>
                <w:color w:val="auto"/>
                <w:sz w:val="24"/>
              </w:rPr>
              <w:t>，占标率</w:t>
            </w:r>
            <w:r>
              <w:rPr>
                <w:color w:val="auto"/>
                <w:sz w:val="24"/>
              </w:rPr>
              <w:t>P</w:t>
            </w:r>
            <w:r>
              <w:rPr>
                <w:color w:val="auto"/>
                <w:sz w:val="24"/>
                <w:vertAlign w:val="subscript"/>
              </w:rPr>
              <w:t>max</w:t>
            </w:r>
            <w:r>
              <w:rPr>
                <w:rFonts w:hint="eastAsia"/>
                <w:color w:val="auto"/>
                <w:sz w:val="24"/>
              </w:rPr>
              <w:t>=</w:t>
            </w:r>
            <w:r>
              <w:rPr>
                <w:rFonts w:hint="eastAsia"/>
                <w:color w:val="auto"/>
                <w:sz w:val="24"/>
                <w:lang w:val="en-US" w:eastAsia="zh-CN"/>
              </w:rPr>
              <w:t>5.89</w:t>
            </w:r>
            <w:r>
              <w:rPr>
                <w:rFonts w:hint="eastAsia"/>
                <w:color w:val="auto"/>
                <w:sz w:val="24"/>
              </w:rPr>
              <w:t>%。</w:t>
            </w:r>
            <w:r>
              <w:rPr>
                <w:rFonts w:hint="eastAsia"/>
                <w:color w:val="auto"/>
                <w:sz w:val="24"/>
                <w:lang w:val="en-US" w:eastAsia="zh-CN"/>
              </w:rPr>
              <w:t>对敏感点影响小。</w:t>
            </w:r>
          </w:p>
          <w:p w14:paraId="4112FCC9">
            <w:pPr>
              <w:widowControl/>
              <w:snapToGrid w:val="0"/>
              <w:spacing w:line="360" w:lineRule="auto"/>
              <w:ind w:firstLine="480" w:firstLineChars="200"/>
              <w:rPr>
                <w:rFonts w:hint="eastAsia"/>
                <w:color w:val="auto"/>
                <w:sz w:val="24"/>
                <w:szCs w:val="24"/>
              </w:rPr>
            </w:pPr>
            <w:r>
              <w:rPr>
                <w:rFonts w:hint="eastAsia"/>
                <w:color w:val="auto"/>
                <w:sz w:val="24"/>
                <w:szCs w:val="24"/>
              </w:rPr>
              <w:t>无组织排放</w:t>
            </w:r>
            <w:r>
              <w:rPr>
                <w:bCs/>
                <w:color w:val="auto"/>
                <w:sz w:val="24"/>
                <w:szCs w:val="24"/>
              </w:rPr>
              <w:t>苯并[a]芘</w:t>
            </w:r>
            <w:r>
              <w:rPr>
                <w:rFonts w:hint="eastAsia"/>
                <w:bCs/>
                <w:color w:val="auto"/>
                <w:sz w:val="24"/>
                <w:szCs w:val="24"/>
              </w:rPr>
              <w:t>最大落地浓度</w:t>
            </w:r>
            <w:r>
              <w:rPr>
                <w:rFonts w:hint="default" w:ascii="Times New Roman" w:hAnsi="Times New Roman" w:eastAsia="宋体" w:cs="Times New Roman"/>
                <w:b w:val="0"/>
                <w:bCs/>
                <w:i w:val="0"/>
                <w:iCs w:val="0"/>
                <w:color w:val="000000"/>
                <w:kern w:val="0"/>
                <w:sz w:val="24"/>
                <w:szCs w:val="24"/>
                <w:u w:val="none"/>
                <w:lang w:val="en-US" w:eastAsia="zh-CN" w:bidi="ar"/>
              </w:rPr>
              <w:t>6.34E-07</w:t>
            </w:r>
            <w:r>
              <w:rPr>
                <w:rFonts w:hint="eastAsia"/>
                <w:color w:val="auto"/>
                <w:sz w:val="24"/>
                <w:szCs w:val="24"/>
              </w:rPr>
              <w:t>m</w:t>
            </w:r>
            <w:r>
              <w:rPr>
                <w:color w:val="auto"/>
                <w:sz w:val="24"/>
                <w:szCs w:val="24"/>
              </w:rPr>
              <w:t>g/</w:t>
            </w:r>
            <w:r>
              <w:rPr>
                <w:rFonts w:hint="eastAsia"/>
                <w:color w:val="auto"/>
                <w:sz w:val="24"/>
                <w:szCs w:val="24"/>
              </w:rPr>
              <w:t>m</w:t>
            </w:r>
            <w:r>
              <w:rPr>
                <w:color w:val="auto"/>
                <w:sz w:val="24"/>
                <w:szCs w:val="24"/>
                <w:vertAlign w:val="superscript"/>
              </w:rPr>
              <w:t>3</w:t>
            </w:r>
            <w:r>
              <w:rPr>
                <w:rFonts w:hint="eastAsia"/>
                <w:color w:val="auto"/>
                <w:sz w:val="24"/>
                <w:szCs w:val="24"/>
              </w:rPr>
              <w:t>，占标率</w:t>
            </w:r>
            <w:r>
              <w:rPr>
                <w:color w:val="auto"/>
                <w:sz w:val="24"/>
                <w:szCs w:val="24"/>
              </w:rPr>
              <w:t>P</w:t>
            </w:r>
            <w:r>
              <w:rPr>
                <w:color w:val="auto"/>
                <w:sz w:val="24"/>
                <w:szCs w:val="24"/>
                <w:vertAlign w:val="subscript"/>
              </w:rPr>
              <w:t>max</w:t>
            </w:r>
            <w:r>
              <w:rPr>
                <w:rFonts w:hint="eastAsia"/>
                <w:color w:val="auto"/>
                <w:sz w:val="24"/>
                <w:szCs w:val="24"/>
              </w:rPr>
              <w:t>=</w:t>
            </w:r>
            <w:r>
              <w:rPr>
                <w:rFonts w:hint="eastAsia"/>
                <w:color w:val="auto"/>
                <w:sz w:val="24"/>
                <w:szCs w:val="24"/>
                <w:lang w:val="en-US" w:eastAsia="zh-CN"/>
              </w:rPr>
              <w:t>8.46</w:t>
            </w:r>
            <w:r>
              <w:rPr>
                <w:rFonts w:hint="eastAsia"/>
                <w:color w:val="auto"/>
                <w:sz w:val="24"/>
                <w:szCs w:val="24"/>
              </w:rPr>
              <w:t>%，非甲烷总烃</w:t>
            </w:r>
            <w:r>
              <w:rPr>
                <w:color w:val="auto"/>
                <w:sz w:val="24"/>
                <w:szCs w:val="24"/>
              </w:rPr>
              <w:t>最大落地浓度为</w:t>
            </w:r>
            <w:r>
              <w:rPr>
                <w:rFonts w:hint="default" w:ascii="Times New Roman" w:hAnsi="Times New Roman" w:eastAsia="宋体" w:cs="Times New Roman"/>
                <w:b w:val="0"/>
                <w:bCs/>
                <w:i w:val="0"/>
                <w:iCs w:val="0"/>
                <w:color w:val="000000"/>
                <w:kern w:val="0"/>
                <w:sz w:val="24"/>
                <w:szCs w:val="24"/>
                <w:u w:val="none"/>
                <w:lang w:val="en-US" w:eastAsia="zh-CN" w:bidi="ar"/>
              </w:rPr>
              <w:t>4.36E-03</w:t>
            </w:r>
            <w:r>
              <w:rPr>
                <w:rFonts w:hint="eastAsia"/>
                <w:color w:val="auto"/>
                <w:sz w:val="24"/>
                <w:szCs w:val="24"/>
              </w:rPr>
              <w:t>m</w:t>
            </w:r>
            <w:r>
              <w:rPr>
                <w:color w:val="auto"/>
                <w:sz w:val="24"/>
                <w:szCs w:val="24"/>
              </w:rPr>
              <w:t>g/</w:t>
            </w:r>
            <w:r>
              <w:rPr>
                <w:rFonts w:hint="eastAsia"/>
                <w:color w:val="auto"/>
                <w:sz w:val="24"/>
                <w:szCs w:val="24"/>
              </w:rPr>
              <w:t>m</w:t>
            </w:r>
            <w:r>
              <w:rPr>
                <w:color w:val="auto"/>
                <w:sz w:val="24"/>
                <w:szCs w:val="24"/>
                <w:vertAlign w:val="superscript"/>
              </w:rPr>
              <w:t>3</w:t>
            </w:r>
            <w:r>
              <w:rPr>
                <w:rFonts w:hint="eastAsia"/>
                <w:color w:val="auto"/>
                <w:sz w:val="24"/>
                <w:szCs w:val="24"/>
              </w:rPr>
              <w:t>，占标率</w:t>
            </w:r>
            <w:r>
              <w:rPr>
                <w:color w:val="auto"/>
                <w:sz w:val="24"/>
                <w:szCs w:val="24"/>
              </w:rPr>
              <w:t>P</w:t>
            </w:r>
            <w:r>
              <w:rPr>
                <w:color w:val="auto"/>
                <w:sz w:val="24"/>
                <w:szCs w:val="24"/>
                <w:vertAlign w:val="subscript"/>
              </w:rPr>
              <w:t>max</w:t>
            </w:r>
            <w:r>
              <w:rPr>
                <w:rFonts w:hint="eastAsia"/>
                <w:color w:val="auto"/>
                <w:sz w:val="24"/>
                <w:szCs w:val="24"/>
              </w:rPr>
              <w:t>=0.</w:t>
            </w:r>
            <w:r>
              <w:rPr>
                <w:rFonts w:hint="eastAsia"/>
                <w:color w:val="auto"/>
                <w:sz w:val="24"/>
                <w:szCs w:val="24"/>
                <w:lang w:val="en-US" w:eastAsia="zh-CN"/>
              </w:rPr>
              <w:t>22</w:t>
            </w:r>
            <w:r>
              <w:rPr>
                <w:rFonts w:hint="eastAsia"/>
                <w:color w:val="auto"/>
                <w:sz w:val="24"/>
                <w:szCs w:val="24"/>
              </w:rPr>
              <w:t>%，TSP</w:t>
            </w:r>
            <w:r>
              <w:rPr>
                <w:color w:val="auto"/>
                <w:sz w:val="24"/>
                <w:szCs w:val="24"/>
              </w:rPr>
              <w:t>最大落地浓度为</w:t>
            </w:r>
            <w:r>
              <w:rPr>
                <w:rFonts w:hint="default" w:ascii="Times New Roman" w:hAnsi="Times New Roman" w:eastAsia="宋体" w:cs="Times New Roman"/>
                <w:b w:val="0"/>
                <w:bCs/>
                <w:i w:val="0"/>
                <w:iCs w:val="0"/>
                <w:color w:val="000000"/>
                <w:kern w:val="0"/>
                <w:sz w:val="24"/>
                <w:szCs w:val="24"/>
                <w:u w:val="none"/>
                <w:lang w:val="en-US" w:eastAsia="zh-CN" w:bidi="ar"/>
              </w:rPr>
              <w:t>3.77E-02</w:t>
            </w:r>
            <w:r>
              <w:rPr>
                <w:rFonts w:hint="eastAsia"/>
                <w:color w:val="auto"/>
                <w:sz w:val="24"/>
                <w:szCs w:val="24"/>
              </w:rPr>
              <w:t>m</w:t>
            </w:r>
            <w:r>
              <w:rPr>
                <w:color w:val="auto"/>
                <w:sz w:val="24"/>
                <w:szCs w:val="24"/>
              </w:rPr>
              <w:t>g/</w:t>
            </w:r>
            <w:r>
              <w:rPr>
                <w:rFonts w:hint="eastAsia"/>
                <w:color w:val="auto"/>
                <w:sz w:val="24"/>
                <w:szCs w:val="24"/>
              </w:rPr>
              <w:t>m</w:t>
            </w:r>
            <w:r>
              <w:rPr>
                <w:color w:val="auto"/>
                <w:sz w:val="24"/>
                <w:szCs w:val="24"/>
                <w:vertAlign w:val="superscript"/>
              </w:rPr>
              <w:t>3</w:t>
            </w:r>
            <w:r>
              <w:rPr>
                <w:rFonts w:hint="eastAsia"/>
                <w:color w:val="auto"/>
                <w:sz w:val="24"/>
                <w:szCs w:val="24"/>
              </w:rPr>
              <w:t>，占标率</w:t>
            </w:r>
            <w:r>
              <w:rPr>
                <w:color w:val="auto"/>
                <w:sz w:val="24"/>
                <w:szCs w:val="24"/>
              </w:rPr>
              <w:t>P</w:t>
            </w:r>
            <w:r>
              <w:rPr>
                <w:color w:val="auto"/>
                <w:sz w:val="24"/>
                <w:szCs w:val="24"/>
                <w:vertAlign w:val="subscript"/>
              </w:rPr>
              <w:t>max</w:t>
            </w:r>
            <w:r>
              <w:rPr>
                <w:rFonts w:hint="eastAsia"/>
                <w:color w:val="auto"/>
                <w:sz w:val="24"/>
                <w:szCs w:val="24"/>
              </w:rPr>
              <w:t>=</w:t>
            </w:r>
            <w:r>
              <w:rPr>
                <w:rFonts w:hint="eastAsia"/>
                <w:color w:val="auto"/>
                <w:sz w:val="24"/>
                <w:szCs w:val="24"/>
                <w:lang w:val="en-US" w:eastAsia="zh-CN"/>
              </w:rPr>
              <w:t>8.38</w:t>
            </w:r>
            <w:r>
              <w:rPr>
                <w:rFonts w:hint="eastAsia"/>
                <w:color w:val="auto"/>
                <w:sz w:val="24"/>
                <w:szCs w:val="24"/>
              </w:rPr>
              <w:t>%，最大落地浓度</w:t>
            </w:r>
            <w:r>
              <w:rPr>
                <w:color w:val="auto"/>
                <w:sz w:val="24"/>
                <w:szCs w:val="24"/>
              </w:rPr>
              <w:t>出现距离为下风向</w:t>
            </w:r>
            <w:r>
              <w:rPr>
                <w:rFonts w:hint="eastAsia"/>
                <w:color w:val="auto"/>
                <w:sz w:val="24"/>
                <w:szCs w:val="24"/>
                <w:lang w:val="en-US" w:eastAsia="zh-CN"/>
              </w:rPr>
              <w:t>151</w:t>
            </w:r>
            <w:r>
              <w:rPr>
                <w:color w:val="auto"/>
                <w:sz w:val="24"/>
                <w:szCs w:val="24"/>
              </w:rPr>
              <w:t>m</w:t>
            </w:r>
            <w:r>
              <w:rPr>
                <w:rFonts w:hint="eastAsia"/>
                <w:color w:val="auto"/>
                <w:sz w:val="24"/>
                <w:szCs w:val="24"/>
              </w:rPr>
              <w:t>。</w:t>
            </w:r>
          </w:p>
          <w:p w14:paraId="354AD40B">
            <w:pPr>
              <w:widowControl/>
              <w:snapToGrid w:val="0"/>
              <w:spacing w:line="360" w:lineRule="auto"/>
              <w:ind w:firstLine="480" w:firstLineChars="200"/>
              <w:rPr>
                <w:rFonts w:hint="eastAsia"/>
                <w:color w:val="auto"/>
                <w:sz w:val="24"/>
              </w:rPr>
            </w:pPr>
            <w:r>
              <w:rPr>
                <w:rFonts w:hint="eastAsia"/>
                <w:color w:val="auto"/>
                <w:sz w:val="24"/>
              </w:rPr>
              <w:t>正常工况下各大气污染物排放对环境空气质量的影响不大。</w:t>
            </w:r>
          </w:p>
          <w:p w14:paraId="3EA75C3C">
            <w:pPr>
              <w:widowControl/>
              <w:snapToGrid w:val="0"/>
              <w:spacing w:line="360" w:lineRule="auto"/>
              <w:ind w:firstLine="480" w:firstLineChars="200"/>
              <w:rPr>
                <w:rFonts w:hint="eastAsia"/>
                <w:color w:val="auto"/>
                <w:sz w:val="24"/>
              </w:rPr>
            </w:pPr>
            <w:r>
              <w:rPr>
                <w:rFonts w:hint="eastAsia"/>
                <w:color w:val="auto"/>
                <w:sz w:val="24"/>
              </w:rPr>
              <w:t>非正常工况下，各污染因子的最大落地浓度、占标率等较正常排放时有所增加，且较为明显。各污染因子最大落地浓度及占标率最大的为</w:t>
            </w:r>
            <w:r>
              <w:rPr>
                <w:rFonts w:hint="default" w:ascii="Times New Roman" w:hAnsi="Times New Roman" w:eastAsia="宋体" w:cs="Times New Roman"/>
                <w:bCs/>
                <w:snapToGrid w:val="0"/>
                <w:color w:val="auto"/>
                <w:kern w:val="0"/>
                <w:sz w:val="24"/>
                <w:szCs w:val="21"/>
              </w:rPr>
              <w:t>烘干滚筒</w:t>
            </w:r>
            <w:r>
              <w:rPr>
                <w:rFonts w:hint="eastAsia" w:ascii="Times New Roman" w:hAnsi="Times New Roman" w:eastAsia="宋体" w:cs="Times New Roman"/>
                <w:bCs/>
                <w:snapToGrid w:val="0"/>
                <w:color w:val="auto"/>
                <w:kern w:val="0"/>
                <w:sz w:val="24"/>
                <w:szCs w:val="21"/>
                <w:lang w:eastAsia="zh-CN"/>
              </w:rPr>
              <w:t>、</w:t>
            </w:r>
            <w:r>
              <w:rPr>
                <w:rFonts w:hint="eastAsia" w:ascii="Times New Roman" w:hAnsi="Times New Roman" w:eastAsia="宋体" w:cs="Times New Roman"/>
                <w:bCs/>
                <w:snapToGrid w:val="0"/>
                <w:color w:val="auto"/>
                <w:kern w:val="0"/>
                <w:sz w:val="24"/>
                <w:szCs w:val="21"/>
                <w:lang w:val="en-US" w:eastAsia="zh-CN"/>
              </w:rPr>
              <w:t>筛分粉尘、</w:t>
            </w:r>
            <w:r>
              <w:rPr>
                <w:rFonts w:hint="eastAsia" w:ascii="Times New Roman" w:hAnsi="Times New Roman" w:eastAsia="宋体" w:cs="Times New Roman"/>
                <w:bCs/>
                <w:color w:val="auto"/>
                <w:sz w:val="24"/>
                <w:lang w:val="en-US" w:eastAsia="zh-CN"/>
              </w:rPr>
              <w:t>热骨料仓粉尘</w:t>
            </w:r>
            <w:r>
              <w:rPr>
                <w:rFonts w:hint="eastAsia" w:ascii="Times New Roman" w:hAnsi="Times New Roman" w:eastAsia="宋体" w:cs="Times New Roman"/>
                <w:bCs/>
                <w:snapToGrid w:val="0"/>
                <w:color w:val="auto"/>
                <w:kern w:val="0"/>
                <w:sz w:val="24"/>
                <w:szCs w:val="21"/>
                <w:lang w:val="en-US" w:eastAsia="zh-CN"/>
              </w:rPr>
              <w:t>、</w:t>
            </w:r>
            <w:r>
              <w:rPr>
                <w:rFonts w:hint="default" w:ascii="Times New Roman" w:hAnsi="Times New Roman" w:eastAsia="宋体" w:cs="Times New Roman"/>
                <w:bCs/>
                <w:snapToGrid w:val="0"/>
                <w:color w:val="auto"/>
                <w:kern w:val="0"/>
                <w:sz w:val="24"/>
                <w:szCs w:val="21"/>
              </w:rPr>
              <w:t>燃烧器废气</w:t>
            </w:r>
            <w:r>
              <w:rPr>
                <w:rFonts w:hint="eastAsia" w:ascii="Times New Roman" w:hAnsi="Times New Roman" w:eastAsia="宋体" w:cs="Times New Roman"/>
                <w:bCs/>
                <w:snapToGrid w:val="0"/>
                <w:color w:val="auto"/>
                <w:kern w:val="0"/>
                <w:sz w:val="24"/>
                <w:szCs w:val="21"/>
                <w:lang w:val="en-US" w:eastAsia="zh-CN"/>
              </w:rPr>
              <w:t>及沥青烟废气</w:t>
            </w:r>
            <w:r>
              <w:rPr>
                <w:rFonts w:hint="eastAsia" w:ascii="Times New Roman" w:hAnsi="Times New Roman" w:eastAsia="宋体" w:cs="Times New Roman"/>
                <w:color w:val="auto"/>
                <w:sz w:val="24"/>
              </w:rPr>
              <w:t>排气</w:t>
            </w:r>
            <w:r>
              <w:rPr>
                <w:rFonts w:hint="eastAsia"/>
                <w:color w:val="auto"/>
                <w:sz w:val="24"/>
              </w:rPr>
              <w:t>筒（DA00</w:t>
            </w:r>
            <w:r>
              <w:rPr>
                <w:rFonts w:hint="eastAsia"/>
                <w:color w:val="auto"/>
                <w:sz w:val="24"/>
                <w:lang w:val="en-US" w:eastAsia="zh-CN"/>
              </w:rPr>
              <w:t>5</w:t>
            </w:r>
            <w:r>
              <w:rPr>
                <w:rFonts w:hint="eastAsia"/>
                <w:color w:val="auto"/>
                <w:sz w:val="24"/>
              </w:rPr>
              <w:t>）</w:t>
            </w:r>
            <w:r>
              <w:rPr>
                <w:rFonts w:hint="eastAsia"/>
                <w:bCs/>
                <w:color w:val="auto"/>
                <w:sz w:val="24"/>
              </w:rPr>
              <w:t>。最大落地浓度</w:t>
            </w:r>
            <w:r>
              <w:rPr>
                <w:rFonts w:hint="eastAsia"/>
                <w:bCs/>
                <w:color w:val="auto"/>
                <w:sz w:val="24"/>
                <w:lang w:val="en-US" w:eastAsia="zh-CN"/>
              </w:rPr>
              <w:t>为</w:t>
            </w:r>
            <w:r>
              <w:rPr>
                <w:rFonts w:hint="eastAsia"/>
                <w:bCs/>
                <w:color w:val="auto"/>
                <w:sz w:val="24"/>
              </w:rPr>
              <w:t>：</w:t>
            </w:r>
            <w:r>
              <w:rPr>
                <w:rFonts w:hint="eastAsia"/>
                <w:bCs/>
                <w:color w:val="auto"/>
                <w:sz w:val="24"/>
                <w:lang w:val="en-US" w:eastAsia="zh-CN"/>
              </w:rPr>
              <w:t>颗粒物</w:t>
            </w:r>
            <w:r>
              <w:rPr>
                <w:rFonts w:hint="eastAsia" w:ascii="Times New Roman" w:hAnsi="Times New Roman" w:eastAsia="宋体" w:cs="Times New Roman"/>
                <w:b w:val="0"/>
                <w:bCs w:val="0"/>
                <w:i w:val="0"/>
                <w:iCs w:val="0"/>
                <w:color w:val="auto"/>
                <w:kern w:val="0"/>
                <w:sz w:val="24"/>
                <w:szCs w:val="24"/>
                <w:u w:val="none"/>
                <w:lang w:val="en-US" w:eastAsia="zh-CN" w:bidi="ar"/>
              </w:rPr>
              <w:t>1.04</w:t>
            </w:r>
            <w:r>
              <w:rPr>
                <w:rFonts w:hint="eastAsia"/>
                <w:color w:val="auto"/>
                <w:sz w:val="24"/>
                <w:szCs w:val="24"/>
              </w:rPr>
              <w:t>m</w:t>
            </w:r>
            <w:r>
              <w:rPr>
                <w:color w:val="auto"/>
                <w:sz w:val="24"/>
                <w:szCs w:val="24"/>
              </w:rPr>
              <w:t>g/</w:t>
            </w:r>
            <w:r>
              <w:rPr>
                <w:rFonts w:hint="eastAsia"/>
                <w:color w:val="auto"/>
                <w:sz w:val="24"/>
                <w:szCs w:val="24"/>
              </w:rPr>
              <w:t>m</w:t>
            </w:r>
            <w:r>
              <w:rPr>
                <w:color w:val="auto"/>
                <w:sz w:val="24"/>
                <w:szCs w:val="24"/>
                <w:vertAlign w:val="superscript"/>
              </w:rPr>
              <w:t>3</w:t>
            </w:r>
            <w:r>
              <w:rPr>
                <w:rFonts w:hint="eastAsia"/>
                <w:color w:val="auto"/>
                <w:sz w:val="24"/>
                <w:szCs w:val="24"/>
              </w:rPr>
              <w:t>，</w:t>
            </w:r>
            <w:r>
              <w:rPr>
                <w:rFonts w:hint="eastAsia"/>
                <w:color w:val="auto"/>
                <w:sz w:val="24"/>
              </w:rPr>
              <w:t>占标率</w:t>
            </w:r>
            <w:r>
              <w:rPr>
                <w:color w:val="auto"/>
                <w:sz w:val="24"/>
              </w:rPr>
              <w:t>P</w:t>
            </w:r>
            <w:r>
              <w:rPr>
                <w:color w:val="auto"/>
                <w:sz w:val="24"/>
                <w:vertAlign w:val="subscript"/>
              </w:rPr>
              <w:t>max</w:t>
            </w:r>
            <w:r>
              <w:rPr>
                <w:rFonts w:hint="eastAsia"/>
                <w:color w:val="auto"/>
                <w:sz w:val="24"/>
              </w:rPr>
              <w:t>=</w:t>
            </w:r>
            <w:r>
              <w:rPr>
                <w:rFonts w:hint="eastAsia"/>
                <w:color w:val="auto"/>
                <w:sz w:val="24"/>
                <w:lang w:val="en-US" w:eastAsia="zh-CN"/>
              </w:rPr>
              <w:t>231.47</w:t>
            </w:r>
            <w:r>
              <w:rPr>
                <w:rFonts w:hint="eastAsia"/>
                <w:color w:val="auto"/>
                <w:sz w:val="24"/>
              </w:rPr>
              <w:t>%，最大落地浓度</w:t>
            </w:r>
            <w:r>
              <w:rPr>
                <w:color w:val="auto"/>
                <w:sz w:val="24"/>
              </w:rPr>
              <w:t>出现距离为下风向</w:t>
            </w:r>
            <w:r>
              <w:rPr>
                <w:rFonts w:hint="eastAsia"/>
                <w:color w:val="auto"/>
                <w:sz w:val="24"/>
                <w:lang w:val="en-US" w:eastAsia="zh-CN"/>
              </w:rPr>
              <w:t>235</w:t>
            </w:r>
            <w:r>
              <w:rPr>
                <w:color w:val="auto"/>
                <w:sz w:val="24"/>
              </w:rPr>
              <w:t>m</w:t>
            </w:r>
            <w:r>
              <w:rPr>
                <w:rFonts w:hint="eastAsia"/>
                <w:color w:val="auto"/>
                <w:sz w:val="24"/>
              </w:rPr>
              <w:t>。</w:t>
            </w:r>
            <w:r>
              <w:rPr>
                <w:rFonts w:hint="eastAsia"/>
                <w:bCs/>
                <w:color w:val="auto"/>
                <w:sz w:val="24"/>
              </w:rPr>
              <w:t>非正常情况对环境空气影响较大。</w:t>
            </w:r>
          </w:p>
          <w:p w14:paraId="1713A8FB">
            <w:pPr>
              <w:adjustRightInd w:val="0"/>
              <w:snapToGrid w:val="0"/>
              <w:spacing w:line="360" w:lineRule="auto"/>
              <w:ind w:firstLine="480" w:firstLineChars="200"/>
              <w:rPr>
                <w:rFonts w:hint="eastAsia"/>
                <w:color w:val="auto"/>
                <w:sz w:val="24"/>
              </w:rPr>
            </w:pPr>
            <w:r>
              <w:rPr>
                <w:color w:val="auto"/>
                <w:sz w:val="24"/>
              </w:rPr>
              <w:t>本项目不需设大气环境防护距离。</w:t>
            </w:r>
            <w:r>
              <w:rPr>
                <w:rFonts w:hint="eastAsia"/>
                <w:color w:val="auto"/>
                <w:sz w:val="24"/>
              </w:rPr>
              <w:t>本项目卫生防护距离为污染物生产单元边界</w:t>
            </w:r>
            <w:r>
              <w:rPr>
                <w:rFonts w:hint="eastAsia"/>
                <w:color w:val="auto"/>
                <w:sz w:val="24"/>
                <w:lang w:val="en-US" w:eastAsia="zh-CN"/>
              </w:rPr>
              <w:t>100</w:t>
            </w:r>
            <w:r>
              <w:rPr>
                <w:color w:val="auto"/>
                <w:sz w:val="24"/>
              </w:rPr>
              <w:t>m</w:t>
            </w:r>
            <w:r>
              <w:rPr>
                <w:rFonts w:hint="eastAsia"/>
                <w:color w:val="auto"/>
                <w:sz w:val="24"/>
              </w:rPr>
              <w:t>范围</w:t>
            </w:r>
            <w:r>
              <w:rPr>
                <w:color w:val="auto"/>
                <w:sz w:val="24"/>
              </w:rPr>
              <w:t>，</w:t>
            </w:r>
            <w:r>
              <w:rPr>
                <w:rFonts w:hint="eastAsia"/>
                <w:color w:val="auto"/>
                <w:sz w:val="24"/>
              </w:rPr>
              <w:t>卫生防护距离内无</w:t>
            </w:r>
            <w:r>
              <w:rPr>
                <w:color w:val="auto"/>
                <w:sz w:val="24"/>
              </w:rPr>
              <w:t>居民</w:t>
            </w:r>
            <w:r>
              <w:rPr>
                <w:rFonts w:hint="eastAsia"/>
                <w:color w:val="auto"/>
                <w:sz w:val="24"/>
              </w:rPr>
              <w:t>集中</w:t>
            </w:r>
            <w:r>
              <w:rPr>
                <w:color w:val="auto"/>
                <w:sz w:val="24"/>
              </w:rPr>
              <w:t>住宅</w:t>
            </w:r>
            <w:r>
              <w:rPr>
                <w:rFonts w:hint="eastAsia"/>
                <w:color w:val="auto"/>
                <w:sz w:val="24"/>
              </w:rPr>
              <w:t>区</w:t>
            </w:r>
            <w:r>
              <w:rPr>
                <w:color w:val="auto"/>
                <w:sz w:val="24"/>
              </w:rPr>
              <w:t>、医院、学校等环境敏感保护目标分布。</w:t>
            </w:r>
          </w:p>
          <w:p w14:paraId="50646872">
            <w:pPr>
              <w:adjustRightInd w:val="0"/>
              <w:snapToGrid w:val="0"/>
              <w:spacing w:line="360" w:lineRule="auto"/>
              <w:ind w:firstLine="480" w:firstLineChars="200"/>
              <w:rPr>
                <w:color w:val="auto"/>
                <w:sz w:val="24"/>
              </w:rPr>
            </w:pPr>
            <w:r>
              <w:rPr>
                <w:rFonts w:hint="eastAsia"/>
                <w:color w:val="auto"/>
                <w:sz w:val="24"/>
              </w:rPr>
              <w:t>综上，项目在落实大气污染防治措施后，对大气环境影响可接受。</w:t>
            </w:r>
          </w:p>
          <w:p w14:paraId="7FB973E9">
            <w:pPr>
              <w:adjustRightInd w:val="0"/>
              <w:snapToGrid w:val="0"/>
              <w:spacing w:line="360" w:lineRule="auto"/>
              <w:ind w:left="0" w:leftChars="0" w:firstLine="0" w:firstLineChars="0"/>
              <w:jc w:val="left"/>
              <w:rPr>
                <w:rFonts w:ascii="Times New Roman" w:hAnsi="Times New Roman"/>
                <w:b/>
                <w:bCs/>
                <w:color w:val="auto"/>
              </w:rPr>
            </w:pPr>
            <w:r>
              <w:rPr>
                <w:rFonts w:hint="eastAsia"/>
                <w:b/>
                <w:bCs/>
                <w:color w:val="auto"/>
                <w:highlight w:val="none"/>
                <w:lang w:val="en-US" w:eastAsia="zh-CN"/>
              </w:rPr>
              <w:t>（二）废</w:t>
            </w:r>
            <w:r>
              <w:rPr>
                <w:rFonts w:ascii="Times New Roman" w:hAnsi="Times New Roman"/>
                <w:b/>
                <w:bCs/>
                <w:color w:val="auto"/>
              </w:rPr>
              <w:t>水</w:t>
            </w:r>
          </w:p>
          <w:p w14:paraId="64AFFF60">
            <w:pPr>
              <w:adjustRightInd w:val="0"/>
              <w:snapToGrid w:val="0"/>
              <w:spacing w:line="360" w:lineRule="auto"/>
              <w:ind w:firstLine="482" w:firstLineChars="200"/>
              <w:rPr>
                <w:rFonts w:ascii="Times New Roman" w:hAnsi="Times New Roman"/>
                <w:b/>
                <w:bCs/>
                <w:color w:val="auto"/>
              </w:rPr>
            </w:pPr>
            <w:r>
              <w:rPr>
                <w:rFonts w:ascii="Times New Roman" w:hAnsi="Times New Roman"/>
                <w:b/>
                <w:bCs/>
                <w:color w:val="auto"/>
              </w:rPr>
              <w:t>（1）项目</w:t>
            </w:r>
            <w:r>
              <w:rPr>
                <w:rFonts w:hint="eastAsia"/>
                <w:b/>
                <w:bCs/>
                <w:color w:val="auto"/>
                <w:lang w:val="en-US" w:eastAsia="zh-CN"/>
              </w:rPr>
              <w:t>废水产生</w:t>
            </w:r>
            <w:r>
              <w:rPr>
                <w:rFonts w:ascii="Times New Roman" w:hAnsi="Times New Roman"/>
                <w:b/>
                <w:bCs/>
                <w:color w:val="auto"/>
              </w:rPr>
              <w:t>情况</w:t>
            </w:r>
          </w:p>
          <w:p w14:paraId="3855613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运营期废水主要来源于地面冲洗废水、初期雨水、</w:t>
            </w:r>
            <w:r>
              <w:rPr>
                <w:rFonts w:hint="eastAsia" w:cs="Times New Roman"/>
                <w:color w:val="auto"/>
                <w:sz w:val="24"/>
                <w:lang w:val="en-US" w:eastAsia="zh-CN"/>
              </w:rPr>
              <w:t>车辆和设备冲洗</w:t>
            </w:r>
            <w:r>
              <w:rPr>
                <w:rFonts w:hint="default" w:ascii="Times New Roman" w:hAnsi="Times New Roman" w:cs="Times New Roman"/>
                <w:color w:val="auto"/>
                <w:sz w:val="24"/>
              </w:rPr>
              <w:t>废水、职工人员日</w:t>
            </w:r>
            <w:r>
              <w:rPr>
                <w:rFonts w:hint="eastAsia" w:cs="Times New Roman"/>
                <w:color w:val="auto"/>
                <w:sz w:val="24"/>
                <w:lang w:val="en-US" w:eastAsia="zh-CN"/>
              </w:rPr>
              <w:t>生活污水</w:t>
            </w:r>
            <w:r>
              <w:rPr>
                <w:rFonts w:hint="default" w:ascii="Times New Roman" w:hAnsi="Times New Roman" w:cs="Times New Roman"/>
                <w:color w:val="auto"/>
                <w:sz w:val="24"/>
              </w:rPr>
              <w:t>等</w:t>
            </w:r>
            <w:r>
              <w:rPr>
                <w:rFonts w:hint="default" w:ascii="Times New Roman" w:hAnsi="Times New Roman" w:cs="Times New Roman"/>
                <w:color w:val="auto"/>
                <w:sz w:val="24"/>
                <w:szCs w:val="24"/>
              </w:rPr>
              <w:t>。</w:t>
            </w:r>
            <w:r>
              <w:rPr>
                <w:rFonts w:hint="eastAsia" w:cs="Times New Roman"/>
                <w:color w:val="auto"/>
                <w:sz w:val="24"/>
                <w:szCs w:val="24"/>
                <w:lang w:val="en-US" w:eastAsia="zh-CN"/>
              </w:rPr>
              <w:t>根据上文计算，项目用水量为近期5086.6；远期5566.6</w:t>
            </w:r>
            <w:r>
              <w:rPr>
                <w:rFonts w:hint="default" w:ascii="Times New Roman" w:hAnsi="Times New Roman" w:cs="Times New Roman"/>
                <w:color w:val="auto"/>
                <w:spacing w:val="2"/>
                <w:sz w:val="24"/>
                <w:szCs w:val="24"/>
                <w:highlight w:val="none"/>
              </w:rPr>
              <w:t>m</w:t>
            </w:r>
            <w:r>
              <w:rPr>
                <w:rFonts w:hint="default" w:ascii="Times New Roman" w:hAnsi="Times New Roman" w:cs="Times New Roman"/>
                <w:color w:val="auto"/>
                <w:spacing w:val="2"/>
                <w:sz w:val="24"/>
                <w:szCs w:val="24"/>
                <w:highlight w:val="none"/>
                <w:vertAlign w:val="superscript"/>
              </w:rPr>
              <w:t>3</w:t>
            </w:r>
            <w:r>
              <w:rPr>
                <w:rFonts w:hint="default" w:ascii="Times New Roman" w:hAnsi="Times New Roman" w:cs="Times New Roman"/>
                <w:color w:val="auto"/>
                <w:spacing w:val="2"/>
                <w:sz w:val="24"/>
                <w:szCs w:val="24"/>
                <w:highlight w:val="none"/>
              </w:rPr>
              <w:t>/</w:t>
            </w:r>
            <w:r>
              <w:rPr>
                <w:rFonts w:hint="eastAsia" w:cs="Times New Roman"/>
                <w:color w:val="auto"/>
                <w:spacing w:val="2"/>
                <w:sz w:val="24"/>
                <w:szCs w:val="24"/>
                <w:highlight w:val="none"/>
                <w:lang w:val="en-US" w:eastAsia="zh-CN"/>
              </w:rPr>
              <w:t>a（</w:t>
            </w:r>
            <w:r>
              <w:rPr>
                <w:rFonts w:hint="default" w:ascii="Times New Roman" w:hAnsi="Times New Roman" w:eastAsia="宋体" w:cs="Times New Roman"/>
                <w:color w:val="auto"/>
                <w:sz w:val="24"/>
                <w:szCs w:val="24"/>
              </w:rPr>
              <w:t>晴天：</w:t>
            </w:r>
            <w:r>
              <w:rPr>
                <w:rFonts w:hint="eastAsia" w:cs="Times New Roman"/>
                <w:color w:val="auto"/>
                <w:sz w:val="24"/>
                <w:szCs w:val="24"/>
                <w:lang w:val="en-US" w:eastAsia="zh-CN"/>
              </w:rPr>
              <w:t>35.5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rPr>
              <w:t>雨天：</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d）</w:t>
            </w:r>
            <w:r>
              <w:rPr>
                <w:rFonts w:hint="eastAsia" w:cs="Times New Roman"/>
                <w:color w:val="auto"/>
                <w:spacing w:val="2"/>
                <w:sz w:val="24"/>
                <w:szCs w:val="24"/>
                <w:highlight w:val="none"/>
                <w:lang w:val="en-US" w:eastAsia="zh-CN"/>
              </w:rPr>
              <w:t>，</w:t>
            </w:r>
            <w:r>
              <w:rPr>
                <w:rFonts w:hint="eastAsia" w:cs="Times New Roman"/>
                <w:color w:val="auto"/>
                <w:sz w:val="24"/>
                <w:szCs w:val="24"/>
                <w:lang w:val="en-US" w:eastAsia="zh-CN"/>
              </w:rPr>
              <w:t>产生</w:t>
            </w:r>
            <w:r>
              <w:rPr>
                <w:rFonts w:hint="eastAsia" w:cs="Times New Roman"/>
                <w:color w:val="auto"/>
                <w:spacing w:val="2"/>
                <w:sz w:val="24"/>
                <w:szCs w:val="24"/>
                <w:highlight w:val="none"/>
                <w:lang w:val="en-US" w:eastAsia="zh-CN"/>
              </w:rPr>
              <w:t>废水量4213.4</w:t>
            </w:r>
            <w:r>
              <w:rPr>
                <w:rFonts w:hint="default" w:ascii="Times New Roman" w:hAnsi="Times New Roman" w:cs="Times New Roman"/>
                <w:color w:val="auto"/>
                <w:spacing w:val="2"/>
                <w:sz w:val="24"/>
                <w:szCs w:val="24"/>
                <w:highlight w:val="none"/>
              </w:rPr>
              <w:t>m</w:t>
            </w:r>
            <w:r>
              <w:rPr>
                <w:rFonts w:hint="default" w:ascii="Times New Roman" w:hAnsi="Times New Roman" w:cs="Times New Roman"/>
                <w:color w:val="auto"/>
                <w:spacing w:val="2"/>
                <w:sz w:val="24"/>
                <w:szCs w:val="24"/>
                <w:highlight w:val="none"/>
                <w:vertAlign w:val="superscript"/>
              </w:rPr>
              <w:t>3</w:t>
            </w:r>
            <w:r>
              <w:rPr>
                <w:rFonts w:hint="default" w:ascii="Times New Roman" w:hAnsi="Times New Roman" w:cs="Times New Roman"/>
                <w:color w:val="auto"/>
                <w:spacing w:val="2"/>
                <w:sz w:val="24"/>
                <w:szCs w:val="24"/>
                <w:highlight w:val="none"/>
              </w:rPr>
              <w:t>/</w:t>
            </w:r>
            <w:r>
              <w:rPr>
                <w:rFonts w:hint="eastAsia" w:cs="Times New Roman"/>
                <w:color w:val="auto"/>
                <w:spacing w:val="2"/>
                <w:sz w:val="24"/>
                <w:szCs w:val="24"/>
                <w:highlight w:val="none"/>
                <w:lang w:val="en-US" w:eastAsia="zh-CN"/>
              </w:rPr>
              <w:t>a（</w:t>
            </w:r>
            <w:r>
              <w:rPr>
                <w:rFonts w:hint="eastAsia" w:cs="Times New Roman"/>
                <w:color w:val="auto"/>
                <w:sz w:val="24"/>
                <w:szCs w:val="24"/>
                <w:lang w:val="en-US" w:eastAsia="zh-CN"/>
              </w:rPr>
              <w:t>28.83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d）</w:t>
            </w:r>
            <w:r>
              <w:rPr>
                <w:rFonts w:hint="eastAsia" w:cs="Times New Roman"/>
                <w:color w:val="auto"/>
                <w:spacing w:val="2"/>
                <w:sz w:val="24"/>
                <w:szCs w:val="24"/>
                <w:highlight w:val="none"/>
                <w:lang w:val="en-US" w:eastAsia="zh-CN"/>
              </w:rPr>
              <w:t>。</w:t>
            </w:r>
          </w:p>
          <w:p w14:paraId="6CF720FB">
            <w:pPr>
              <w:adjustRightInd w:val="0"/>
              <w:snapToGrid w:val="0"/>
              <w:spacing w:line="360" w:lineRule="auto"/>
              <w:ind w:firstLine="482" w:firstLineChars="200"/>
              <w:rPr>
                <w:rFonts w:ascii="Times New Roman" w:hAnsi="Times New Roman"/>
                <w:b/>
                <w:bCs/>
                <w:color w:val="auto"/>
              </w:rPr>
            </w:pPr>
            <w:r>
              <w:rPr>
                <w:rFonts w:ascii="Times New Roman" w:hAnsi="Times New Roman"/>
                <w:b/>
                <w:bCs/>
                <w:color w:val="auto"/>
              </w:rPr>
              <w:t>（2）污染工序及源强分析</w:t>
            </w:r>
          </w:p>
          <w:p w14:paraId="05C07EA0">
            <w:pPr>
              <w:adjustRightInd w:val="0"/>
              <w:snapToGrid w:val="0"/>
              <w:spacing w:line="360" w:lineRule="auto"/>
              <w:ind w:firstLine="480" w:firstLineChars="200"/>
              <w:rPr>
                <w:rFonts w:hint="default" w:ascii="Times New Roman" w:hAnsi="Times New Roman" w:eastAsia="宋体" w:cs="Times New Roman"/>
                <w:smallCaps w:val="0"/>
                <w:color w:val="auto"/>
                <w:sz w:val="24"/>
                <w:szCs w:val="24"/>
                <w:lang w:val="en-US" w:eastAsia="zh-CN"/>
              </w:rPr>
            </w:pPr>
            <w:r>
              <w:rPr>
                <w:rFonts w:ascii="Times New Roman" w:hAnsi="Times New Roman"/>
                <w:color w:val="auto"/>
              </w:rPr>
              <w:t>根据用水分析，</w:t>
            </w:r>
            <w:r>
              <w:rPr>
                <w:rFonts w:hint="default" w:ascii="Times New Roman" w:hAnsi="Times New Roman" w:cs="Times New Roman"/>
                <w:color w:val="auto"/>
                <w:sz w:val="24"/>
              </w:rPr>
              <w:t>项目地面冲洗废水、</w:t>
            </w:r>
            <w:r>
              <w:rPr>
                <w:rFonts w:hint="eastAsia" w:cs="Times New Roman"/>
                <w:color w:val="auto"/>
                <w:sz w:val="24"/>
                <w:lang w:val="en-US" w:eastAsia="zh-CN"/>
              </w:rPr>
              <w:t>车辆和设备冲洗废水、</w:t>
            </w:r>
            <w:r>
              <w:rPr>
                <w:rFonts w:hint="default" w:ascii="Times New Roman" w:hAnsi="Times New Roman" w:cs="Times New Roman"/>
                <w:color w:val="auto"/>
                <w:sz w:val="24"/>
              </w:rPr>
              <w:t>初期雨水</w:t>
            </w:r>
            <w:r>
              <w:rPr>
                <w:rFonts w:hint="eastAsia" w:cs="Times New Roman"/>
                <w:smallCaps w:val="0"/>
                <w:color w:val="auto"/>
                <w:sz w:val="24"/>
                <w:szCs w:val="24"/>
                <w:lang w:val="en-US" w:eastAsia="zh-CN"/>
              </w:rPr>
              <w:t>等废水</w:t>
            </w:r>
            <w:r>
              <w:rPr>
                <w:rFonts w:hint="default" w:ascii="Times New Roman" w:hAnsi="Times New Roman" w:cs="Times New Roman"/>
                <w:color w:val="auto"/>
                <w:sz w:val="24"/>
              </w:rPr>
              <w:t>排入三级隔油沉淀池处</w:t>
            </w:r>
            <w:r>
              <w:rPr>
                <w:rFonts w:hint="default" w:ascii="Times New Roman" w:hAnsi="Times New Roman" w:cs="Times New Roman"/>
                <w:color w:val="auto"/>
                <w:sz w:val="24"/>
                <w:szCs w:val="24"/>
              </w:rPr>
              <w:t>理</w:t>
            </w:r>
            <w:r>
              <w:rPr>
                <w:rFonts w:hint="eastAsia" w:ascii="Times New Roman" w:hAnsi="Times New Roman" w:eastAsia="宋体" w:cs="Times New Roman"/>
                <w:smallCaps w:val="0"/>
                <w:color w:val="auto"/>
                <w:sz w:val="24"/>
                <w:szCs w:val="24"/>
                <w:lang w:val="en-US" w:eastAsia="zh-CN"/>
              </w:rPr>
              <w:t>回</w:t>
            </w:r>
            <w:r>
              <w:rPr>
                <w:rFonts w:hint="default" w:ascii="Times New Roman" w:hAnsi="Times New Roman" w:eastAsia="宋体" w:cs="Times New Roman"/>
                <w:smallCaps w:val="0"/>
                <w:color w:val="auto"/>
                <w:sz w:val="24"/>
                <w:szCs w:val="24"/>
                <w:lang w:val="en-US" w:eastAsia="zh-CN"/>
              </w:rPr>
              <w:t>用于</w:t>
            </w:r>
            <w:r>
              <w:rPr>
                <w:rFonts w:hint="eastAsia" w:ascii="Times New Roman" w:hAnsi="Times New Roman" w:eastAsia="宋体" w:cs="Times New Roman"/>
                <w:smallCaps w:val="0"/>
                <w:color w:val="auto"/>
                <w:sz w:val="24"/>
                <w:szCs w:val="24"/>
                <w:lang w:val="en-US" w:eastAsia="zh-CN"/>
              </w:rPr>
              <w:t>厂区地面</w:t>
            </w:r>
            <w:r>
              <w:rPr>
                <w:rFonts w:hint="default" w:ascii="Times New Roman" w:hAnsi="Times New Roman" w:eastAsia="宋体" w:cs="Times New Roman"/>
                <w:smallCaps w:val="0"/>
                <w:color w:val="auto"/>
                <w:sz w:val="24"/>
                <w:szCs w:val="24"/>
                <w:lang w:val="en-US" w:eastAsia="zh-CN"/>
              </w:rPr>
              <w:t>冲洗</w:t>
            </w:r>
            <w:r>
              <w:rPr>
                <w:rFonts w:hint="eastAsia" w:ascii="Times New Roman" w:hAnsi="Times New Roman" w:eastAsia="宋体" w:cs="Times New Roman"/>
                <w:smallCaps w:val="0"/>
                <w:color w:val="auto"/>
                <w:sz w:val="24"/>
                <w:szCs w:val="24"/>
                <w:lang w:val="en-US" w:eastAsia="zh-CN"/>
              </w:rPr>
              <w:t>及洒水降尘</w:t>
            </w:r>
            <w:r>
              <w:rPr>
                <w:rFonts w:hint="eastAsia" w:cs="Times New Roman"/>
                <w:smallCaps w:val="0"/>
                <w:color w:val="auto"/>
                <w:sz w:val="24"/>
                <w:szCs w:val="24"/>
                <w:lang w:val="en-US" w:eastAsia="zh-CN"/>
              </w:rPr>
              <w:t>。生产废水全部回用不外排。</w:t>
            </w:r>
          </w:p>
          <w:p w14:paraId="4C98E9F5">
            <w:pPr>
              <w:tabs>
                <w:tab w:val="left" w:pos="900"/>
              </w:tabs>
              <w:spacing w:line="360" w:lineRule="auto"/>
              <w:ind w:firstLine="482"/>
              <w:rPr>
                <w:rFonts w:hint="default" w:ascii="Times New Roman" w:hAnsi="Times New Roman" w:cs="Times New Roman"/>
                <w:color w:val="auto"/>
                <w:sz w:val="24"/>
                <w:highlight w:val="yellow"/>
              </w:rPr>
            </w:pPr>
            <w:r>
              <w:rPr>
                <w:rFonts w:ascii="Times New Roman" w:hAnsi="Times New Roman"/>
                <w:color w:val="auto"/>
              </w:rPr>
              <w:t>项目</w:t>
            </w:r>
            <w:r>
              <w:rPr>
                <w:rFonts w:hint="eastAsia"/>
                <w:color w:val="auto"/>
                <w:lang w:val="en-US" w:eastAsia="zh-CN"/>
              </w:rPr>
              <w:t>生活污水产生浓度</w:t>
            </w:r>
            <w:r>
              <w:rPr>
                <w:rFonts w:hint="default" w:ascii="Times New Roman" w:hAnsi="Times New Roman" w:cs="Times New Roman"/>
                <w:color w:val="auto"/>
                <w:sz w:val="24"/>
              </w:rPr>
              <w:t>根据环境保护部华南环境科学研究所发布的《生活源产排污系数及使用说明》（2010年修订），第二部分生活源污水污染物产污系数及使用说明中“表1人均用水量和排水量、表2生活源污水污染物人均产生系数、表3各区域城市分类”计算得到，生活污水中污染物浓度分别为CODcr：392mg/L、氨氮：35mg/L、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：158mg/L，SS产生浓度按214mg/L计，动植物油产生浓度按7.92mg/L计。</w:t>
            </w:r>
          </w:p>
          <w:p w14:paraId="0ADF2907">
            <w:pPr>
              <w:tabs>
                <w:tab w:val="left" w:pos="900"/>
              </w:tabs>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防渗化粪池的去除率</w:t>
            </w:r>
            <w:r>
              <w:rPr>
                <w:rFonts w:hint="default" w:ascii="Times New Roman" w:hAnsi="Times New Roman" w:cs="Times New Roman"/>
                <w:color w:val="auto"/>
                <w:kern w:val="0"/>
                <w:sz w:val="24"/>
              </w:rPr>
              <w:t>根据环评手册技术资料中“常用污水处理设备及去除效率”防渗化粪池对污水的污染物去除效率分别为COD：15%，BOD</w:t>
            </w:r>
            <w:r>
              <w:rPr>
                <w:rFonts w:hint="default" w:ascii="Times New Roman" w:hAnsi="Times New Roman" w:cs="Times New Roman"/>
                <w:color w:val="auto"/>
                <w:kern w:val="0"/>
                <w:sz w:val="24"/>
                <w:vertAlign w:val="subscript"/>
              </w:rPr>
              <w:t>5</w:t>
            </w:r>
            <w:r>
              <w:rPr>
                <w:rFonts w:hint="default" w:ascii="Times New Roman" w:hAnsi="Times New Roman" w:cs="Times New Roman"/>
                <w:color w:val="auto"/>
                <w:kern w:val="0"/>
                <w:sz w:val="24"/>
              </w:rPr>
              <w:t>：9%，NH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-N：3%，SS：30%。</w:t>
            </w:r>
            <w:r>
              <w:rPr>
                <w:rFonts w:hint="eastAsia" w:cs="Times New Roman"/>
                <w:color w:val="auto"/>
                <w:kern w:val="0"/>
                <w:sz w:val="24"/>
                <w:lang w:eastAsia="zh-CN"/>
              </w:rPr>
              <w:t>隔油池</w:t>
            </w:r>
            <w:r>
              <w:rPr>
                <w:rFonts w:hint="default" w:ascii="Times New Roman" w:hAnsi="Times New Roman" w:cs="Times New Roman"/>
                <w:color w:val="auto"/>
                <w:sz w:val="24"/>
              </w:rPr>
              <w:t>的去除率</w:t>
            </w:r>
            <w:r>
              <w:rPr>
                <w:rFonts w:hint="default" w:ascii="Times New Roman" w:hAnsi="Times New Roman" w:cs="Times New Roman"/>
                <w:color w:val="auto"/>
                <w:kern w:val="0"/>
                <w:sz w:val="24"/>
              </w:rPr>
              <w:t>根据《第一次全国污染源普查：城镇生活源产排污系数手册》（2008年3月），第二分册住宿餐饮业污染物产生、排放系数中 “表9其他餐饮服务（6730、6790）产排污系数表”计算得到，油水分离器对动植物油的去除效率为50%。</w:t>
            </w:r>
          </w:p>
          <w:p w14:paraId="1F7F9986">
            <w:pPr>
              <w:spacing w:line="360" w:lineRule="auto"/>
              <w:ind w:firstLine="424" w:firstLineChars="177"/>
              <w:rPr>
                <w:rFonts w:hint="default" w:ascii="Times New Roman" w:hAnsi="Times New Roman" w:cs="Times New Roman"/>
                <w:color w:val="auto"/>
                <w:sz w:val="24"/>
                <w:highlight w:val="yellow"/>
              </w:rPr>
            </w:pPr>
            <w:r>
              <w:rPr>
                <w:rFonts w:hint="default" w:ascii="Times New Roman" w:hAnsi="Times New Roman" w:cs="Times New Roman"/>
                <w:color w:val="auto"/>
                <w:kern w:val="0"/>
                <w:sz w:val="24"/>
              </w:rPr>
              <w:t>根据项目污水处理设计方案，</w:t>
            </w:r>
            <w:r>
              <w:rPr>
                <w:rFonts w:hint="default" w:ascii="Times New Roman" w:hAnsi="Times New Roman" w:cs="Times New Roman"/>
                <w:color w:val="auto"/>
                <w:sz w:val="24"/>
              </w:rPr>
              <w:t>本项目污水处理站选用以“厌氧+接触氧化+MBR+消毒”工艺为核心的高效微生物处理工艺，结合项目实际情况，该工艺对污染物的去除效率如下：COD：90%、BOD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：94%、NH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-N：89%、SS：95%、动植物油：78%。</w:t>
            </w:r>
          </w:p>
          <w:p w14:paraId="31A09DFE">
            <w:pPr>
              <w:spacing w:line="360" w:lineRule="auto"/>
              <w:ind w:firstLine="424" w:firstLineChars="177"/>
              <w:rPr>
                <w:rFonts w:hint="default" w:ascii="Times New Roman" w:hAnsi="Times New Roman" w:cs="Times New Roman"/>
                <w:color w:val="auto"/>
                <w:sz w:val="24"/>
                <w:highlight w:val="yellow"/>
              </w:rPr>
            </w:pPr>
            <w:r>
              <w:rPr>
                <w:rFonts w:hint="eastAsia" w:cs="Times New Roman"/>
                <w:color w:val="auto"/>
                <w:sz w:val="24"/>
                <w:lang w:eastAsia="zh-CN"/>
              </w:rPr>
              <w:t>综上，隔油池</w:t>
            </w:r>
            <w:r>
              <w:rPr>
                <w:rFonts w:hint="eastAsia" w:cs="Times New Roman"/>
                <w:color w:val="auto"/>
                <w:sz w:val="24"/>
                <w:lang w:val="en-US" w:eastAsia="zh-CN"/>
              </w:rPr>
              <w:t>/化粪池+污水处理站</w:t>
            </w:r>
            <w:r>
              <w:rPr>
                <w:rFonts w:hint="default" w:ascii="Times New Roman" w:hAnsi="Times New Roman" w:cs="Times New Roman"/>
                <w:color w:val="auto"/>
                <w:sz w:val="24"/>
              </w:rPr>
              <w:t>对</w:t>
            </w:r>
            <w:r>
              <w:rPr>
                <w:rFonts w:hint="eastAsia" w:cs="Times New Roman"/>
                <w:color w:val="auto"/>
                <w:sz w:val="24"/>
                <w:lang w:eastAsia="zh-CN"/>
              </w:rPr>
              <w:t>生活污水</w:t>
            </w:r>
            <w:r>
              <w:rPr>
                <w:rFonts w:hint="default" w:ascii="Times New Roman" w:hAnsi="Times New Roman" w:cs="Times New Roman"/>
                <w:color w:val="auto"/>
                <w:sz w:val="24"/>
              </w:rPr>
              <w:t>污染物的</w:t>
            </w:r>
            <w:r>
              <w:rPr>
                <w:rFonts w:hint="eastAsia" w:cs="Times New Roman"/>
                <w:color w:val="auto"/>
                <w:sz w:val="24"/>
                <w:lang w:eastAsia="zh-CN"/>
              </w:rPr>
              <w:t>综合</w:t>
            </w:r>
            <w:r>
              <w:rPr>
                <w:rFonts w:hint="default" w:ascii="Times New Roman" w:hAnsi="Times New Roman" w:cs="Times New Roman"/>
                <w:color w:val="auto"/>
                <w:sz w:val="24"/>
              </w:rPr>
              <w:t>去除效率如下：COD：9</w:t>
            </w:r>
            <w:r>
              <w:rPr>
                <w:rFonts w:hint="eastAsia" w:cs="Times New Roman"/>
                <w:color w:val="auto"/>
                <w:sz w:val="24"/>
                <w:lang w:val="en-US" w:eastAsia="zh-CN"/>
              </w:rPr>
              <w:t>1.5</w:t>
            </w:r>
            <w:r>
              <w:rPr>
                <w:rFonts w:hint="default" w:ascii="Times New Roman" w:hAnsi="Times New Roman" w:cs="Times New Roman"/>
                <w:color w:val="auto"/>
                <w:sz w:val="24"/>
              </w:rPr>
              <w:t>%、BOD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：94</w:t>
            </w:r>
            <w:r>
              <w:rPr>
                <w:rFonts w:hint="eastAsia" w:cs="Times New Roman"/>
                <w:color w:val="auto"/>
                <w:sz w:val="24"/>
                <w:lang w:val="en-US" w:eastAsia="zh-CN"/>
              </w:rPr>
              <w:t>.64</w:t>
            </w:r>
            <w:r>
              <w:rPr>
                <w:rFonts w:hint="default" w:ascii="Times New Roman" w:hAnsi="Times New Roman" w:cs="Times New Roman"/>
                <w:color w:val="auto"/>
                <w:sz w:val="24"/>
              </w:rPr>
              <w:t>%、NH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-N：89</w:t>
            </w:r>
            <w:r>
              <w:rPr>
                <w:rFonts w:hint="eastAsia" w:cs="Times New Roman"/>
                <w:color w:val="auto"/>
                <w:sz w:val="24"/>
                <w:lang w:val="en-US" w:eastAsia="zh-CN"/>
              </w:rPr>
              <w:t>.33</w:t>
            </w:r>
            <w:r>
              <w:rPr>
                <w:rFonts w:hint="default" w:ascii="Times New Roman" w:hAnsi="Times New Roman" w:cs="Times New Roman"/>
                <w:color w:val="auto"/>
                <w:sz w:val="24"/>
              </w:rPr>
              <w:t>%、SS：</w:t>
            </w:r>
            <w:r>
              <w:rPr>
                <w:rFonts w:hint="eastAsia" w:cs="Times New Roman"/>
                <w:color w:val="auto"/>
                <w:sz w:val="24"/>
                <w:lang w:val="en-US" w:eastAsia="zh-CN"/>
              </w:rPr>
              <w:t>96.5</w:t>
            </w:r>
            <w:r>
              <w:rPr>
                <w:rFonts w:hint="default" w:ascii="Times New Roman" w:hAnsi="Times New Roman" w:cs="Times New Roman"/>
                <w:color w:val="auto"/>
                <w:sz w:val="24"/>
              </w:rPr>
              <w:t>%、动植物油：</w:t>
            </w:r>
            <w:r>
              <w:rPr>
                <w:rFonts w:hint="eastAsia" w:cs="Times New Roman"/>
                <w:color w:val="auto"/>
                <w:sz w:val="24"/>
                <w:lang w:val="en-US" w:eastAsia="zh-CN"/>
              </w:rPr>
              <w:t>89</w:t>
            </w:r>
            <w:r>
              <w:rPr>
                <w:rFonts w:hint="default" w:ascii="Times New Roman" w:hAnsi="Times New Roman" w:cs="Times New Roman"/>
                <w:color w:val="auto"/>
                <w:sz w:val="24"/>
              </w:rPr>
              <w:t>%。</w:t>
            </w:r>
          </w:p>
          <w:p w14:paraId="4AEE0754">
            <w:pPr>
              <w:spacing w:line="360" w:lineRule="auto"/>
              <w:ind w:firstLine="484" w:firstLineChars="202"/>
              <w:rPr>
                <w:rFonts w:hint="default" w:ascii="Times New Roman" w:hAnsi="Times New Roman" w:cs="Times New Roman"/>
                <w:color w:val="auto"/>
                <w:sz w:val="24"/>
                <w:szCs w:val="28"/>
              </w:rPr>
            </w:pPr>
            <w:r>
              <w:rPr>
                <w:rFonts w:hint="default" w:ascii="Times New Roman" w:hAnsi="Times New Roman" w:cs="Times New Roman"/>
                <w:color w:val="auto"/>
                <w:sz w:val="24"/>
                <w:szCs w:val="22"/>
              </w:rPr>
              <w:t>本项目生活污水经</w:t>
            </w:r>
            <w:r>
              <w:rPr>
                <w:rFonts w:hint="eastAsia" w:cs="Times New Roman"/>
                <w:color w:val="auto"/>
                <w:sz w:val="24"/>
                <w:lang w:eastAsia="zh-CN"/>
              </w:rPr>
              <w:t>隔油池</w:t>
            </w:r>
            <w:r>
              <w:rPr>
                <w:rFonts w:hint="eastAsia" w:cs="Times New Roman"/>
                <w:color w:val="auto"/>
                <w:sz w:val="24"/>
                <w:lang w:val="en-US" w:eastAsia="zh-CN"/>
              </w:rPr>
              <w:t>/化粪池+污水处理站</w:t>
            </w:r>
            <w:r>
              <w:rPr>
                <w:rFonts w:hint="default" w:ascii="Times New Roman" w:hAnsi="Times New Roman" w:cs="Times New Roman"/>
                <w:color w:val="auto"/>
                <w:sz w:val="24"/>
                <w:szCs w:val="22"/>
              </w:rPr>
              <w:t>处理后的水质及污染量见表</w:t>
            </w:r>
            <w:r>
              <w:rPr>
                <w:rFonts w:hint="eastAsia" w:cs="Times New Roman"/>
                <w:color w:val="auto"/>
                <w:sz w:val="24"/>
                <w:szCs w:val="22"/>
                <w:lang w:val="en-US" w:eastAsia="zh-CN"/>
              </w:rPr>
              <w:t>4-2</w:t>
            </w:r>
            <w:r>
              <w:rPr>
                <w:rFonts w:hint="default" w:ascii="Times New Roman" w:hAnsi="Times New Roman" w:cs="Times New Roman"/>
                <w:color w:val="auto"/>
                <w:sz w:val="24"/>
                <w:szCs w:val="22"/>
              </w:rPr>
              <w:t>。</w:t>
            </w:r>
          </w:p>
          <w:p w14:paraId="131AFF67">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cs="Times New Roman"/>
                <w:b/>
                <w:color w:val="auto"/>
                <w:sz w:val="21"/>
                <w:szCs w:val="21"/>
                <w:lang w:val="en-US" w:eastAsia="zh-CN"/>
              </w:rPr>
              <w:t>4-2</w:t>
            </w:r>
            <w:r>
              <w:rPr>
                <w:rFonts w:hint="default" w:ascii="Times New Roman" w:hAnsi="Times New Roman" w:cs="Times New Roman"/>
                <w:b/>
                <w:color w:val="auto"/>
                <w:sz w:val="21"/>
                <w:szCs w:val="21"/>
              </w:rPr>
              <w:t xml:space="preserve">  生活污水污染物产生量及排放量</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380"/>
              <w:gridCol w:w="690"/>
              <w:gridCol w:w="1005"/>
              <w:gridCol w:w="883"/>
              <w:gridCol w:w="840"/>
              <w:gridCol w:w="823"/>
              <w:gridCol w:w="966"/>
            </w:tblGrid>
            <w:tr w14:paraId="6BA2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4" w:space="0"/>
                    <w:bottom w:val="single" w:color="auto" w:sz="4" w:space="0"/>
                    <w:right w:val="single" w:color="auto" w:sz="4" w:space="0"/>
                  </w:tcBorders>
                  <w:noWrap w:val="0"/>
                  <w:vAlign w:val="center"/>
                </w:tcPr>
                <w:p w14:paraId="6A777CD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项目</w:t>
                  </w:r>
                </w:p>
              </w:tc>
              <w:tc>
                <w:tcPr>
                  <w:tcW w:w="907" w:type="pct"/>
                  <w:tcBorders>
                    <w:top w:val="single" w:color="auto" w:sz="4" w:space="0"/>
                    <w:left w:val="single" w:color="auto" w:sz="4" w:space="0"/>
                    <w:bottom w:val="single" w:color="auto" w:sz="4" w:space="0"/>
                    <w:right w:val="single" w:color="auto" w:sz="4" w:space="0"/>
                  </w:tcBorders>
                  <w:noWrap w:val="0"/>
                  <w:vAlign w:val="center"/>
                </w:tcPr>
                <w:p w14:paraId="69FEDFC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单位</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0A582D0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水量</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2D86A9A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COD</w:t>
                  </w:r>
                  <w:r>
                    <w:rPr>
                      <w:rFonts w:hint="default" w:ascii="Times New Roman" w:hAnsi="Times New Roman" w:cs="Times New Roman"/>
                      <w:b/>
                      <w:bCs/>
                      <w:color w:val="auto"/>
                      <w:sz w:val="21"/>
                      <w:szCs w:val="21"/>
                      <w:vertAlign w:val="subscript"/>
                    </w:rPr>
                    <w:t>cr</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47E1C5D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BOD</w:t>
                  </w:r>
                  <w:r>
                    <w:rPr>
                      <w:rFonts w:hint="default" w:ascii="Times New Roman" w:hAnsi="Times New Roman" w:cs="Times New Roman"/>
                      <w:b/>
                      <w:bCs/>
                      <w:color w:val="auto"/>
                      <w:sz w:val="21"/>
                      <w:szCs w:val="21"/>
                      <w:vertAlign w:val="subscript"/>
                    </w:rPr>
                    <w:t>5</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4A51644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NH</w:t>
                  </w:r>
                  <w:r>
                    <w:rPr>
                      <w:rFonts w:hint="default" w:ascii="Times New Roman" w:hAnsi="Times New Roman" w:cs="Times New Roman"/>
                      <w:b/>
                      <w:bCs/>
                      <w:color w:val="auto"/>
                      <w:sz w:val="21"/>
                      <w:szCs w:val="21"/>
                      <w:vertAlign w:val="subscript"/>
                    </w:rPr>
                    <w:t>3</w:t>
                  </w:r>
                  <w:r>
                    <w:rPr>
                      <w:rFonts w:hint="default" w:ascii="Times New Roman" w:hAnsi="Times New Roman" w:cs="Times New Roman"/>
                      <w:b/>
                      <w:bCs/>
                      <w:color w:val="auto"/>
                      <w:sz w:val="21"/>
                      <w:szCs w:val="21"/>
                    </w:rPr>
                    <w:t>-N</w:t>
                  </w:r>
                </w:p>
              </w:tc>
              <w:tc>
                <w:tcPr>
                  <w:tcW w:w="541" w:type="pct"/>
                  <w:tcBorders>
                    <w:top w:val="single" w:color="auto" w:sz="4" w:space="0"/>
                    <w:left w:val="single" w:color="auto" w:sz="4" w:space="0"/>
                    <w:bottom w:val="single" w:color="auto" w:sz="4" w:space="0"/>
                    <w:right w:val="single" w:color="auto" w:sz="4" w:space="0"/>
                  </w:tcBorders>
                  <w:noWrap w:val="0"/>
                  <w:vAlign w:val="center"/>
                </w:tcPr>
                <w:p w14:paraId="4C7CBEA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49EB199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动</w:t>
                  </w:r>
                  <w:r>
                    <w:rPr>
                      <w:rFonts w:hint="default" w:ascii="Times New Roman" w:hAnsi="Times New Roman" w:eastAsia="宋体" w:cs="Times New Roman"/>
                      <w:b/>
                      <w:bCs/>
                      <w:color w:val="auto"/>
                      <w:sz w:val="21"/>
                      <w:szCs w:val="21"/>
                      <w:lang w:eastAsia="zh-CN"/>
                    </w:rPr>
                    <w:t>植</w:t>
                  </w:r>
                  <w:r>
                    <w:rPr>
                      <w:rFonts w:hint="default" w:ascii="Times New Roman" w:hAnsi="Times New Roman" w:cs="Times New Roman"/>
                      <w:b/>
                      <w:bCs/>
                      <w:color w:val="auto"/>
                      <w:sz w:val="21"/>
                      <w:szCs w:val="21"/>
                    </w:rPr>
                    <w:t>物油</w:t>
                  </w:r>
                </w:p>
              </w:tc>
            </w:tr>
            <w:tr w14:paraId="30EB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vMerge w:val="restart"/>
                  <w:tcBorders>
                    <w:top w:val="single" w:color="auto" w:sz="4" w:space="0"/>
                    <w:left w:val="single" w:color="auto" w:sz="4" w:space="0"/>
                    <w:bottom w:val="single" w:color="auto" w:sz="4" w:space="0"/>
                    <w:right w:val="single" w:color="auto" w:sz="4" w:space="0"/>
                  </w:tcBorders>
                  <w:noWrap w:val="0"/>
                  <w:vAlign w:val="center"/>
                </w:tcPr>
                <w:p w14:paraId="412252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处理前</w:t>
                  </w:r>
                </w:p>
              </w:tc>
              <w:tc>
                <w:tcPr>
                  <w:tcW w:w="907" w:type="pct"/>
                  <w:tcBorders>
                    <w:top w:val="single" w:color="auto" w:sz="4" w:space="0"/>
                    <w:left w:val="single" w:color="auto" w:sz="4" w:space="0"/>
                    <w:bottom w:val="single" w:color="auto" w:sz="4" w:space="0"/>
                    <w:right w:val="single" w:color="auto" w:sz="4" w:space="0"/>
                  </w:tcBorders>
                  <w:noWrap w:val="0"/>
                  <w:vAlign w:val="center"/>
                </w:tcPr>
                <w:p w14:paraId="5A57D9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3BD383E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74A26B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392</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32A452A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158</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4E99C74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541" w:type="pct"/>
                  <w:tcBorders>
                    <w:top w:val="single" w:color="auto" w:sz="4" w:space="0"/>
                    <w:left w:val="single" w:color="auto" w:sz="4" w:space="0"/>
                    <w:bottom w:val="single" w:color="auto" w:sz="4" w:space="0"/>
                    <w:right w:val="single" w:color="auto" w:sz="4" w:space="0"/>
                  </w:tcBorders>
                  <w:noWrap w:val="0"/>
                  <w:vAlign w:val="center"/>
                </w:tcPr>
                <w:p w14:paraId="4B070C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214</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1F118FD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7.92</w:t>
                  </w:r>
                </w:p>
              </w:tc>
            </w:tr>
            <w:tr w14:paraId="3EC4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vMerge w:val="continue"/>
                  <w:tcBorders>
                    <w:top w:val="single" w:color="auto" w:sz="4" w:space="0"/>
                    <w:left w:val="single" w:color="auto" w:sz="4" w:space="0"/>
                    <w:bottom w:val="single" w:color="auto" w:sz="4" w:space="0"/>
                    <w:right w:val="single" w:color="auto" w:sz="4" w:space="0"/>
                  </w:tcBorders>
                  <w:noWrap w:val="0"/>
                  <w:vAlign w:val="center"/>
                </w:tcPr>
                <w:p w14:paraId="59E4A5B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rPr>
                  </w:pPr>
                </w:p>
              </w:tc>
              <w:tc>
                <w:tcPr>
                  <w:tcW w:w="907" w:type="pct"/>
                  <w:tcBorders>
                    <w:top w:val="single" w:color="auto" w:sz="4" w:space="0"/>
                    <w:left w:val="single" w:color="auto" w:sz="4" w:space="0"/>
                    <w:bottom w:val="single" w:color="auto" w:sz="4" w:space="0"/>
                    <w:right w:val="single" w:color="auto" w:sz="4" w:space="0"/>
                  </w:tcBorders>
                  <w:noWrap w:val="0"/>
                  <w:vAlign w:val="center"/>
                </w:tcPr>
                <w:p w14:paraId="2CBCFD7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1BB2ED4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480</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6A4B0B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0.1882 </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0909C5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0.0758 </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6B8B6B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0.0216 </w:t>
                  </w:r>
                </w:p>
              </w:tc>
              <w:tc>
                <w:tcPr>
                  <w:tcW w:w="541" w:type="pct"/>
                  <w:tcBorders>
                    <w:top w:val="single" w:color="auto" w:sz="4" w:space="0"/>
                    <w:left w:val="single" w:color="auto" w:sz="4" w:space="0"/>
                    <w:bottom w:val="single" w:color="auto" w:sz="4" w:space="0"/>
                    <w:right w:val="single" w:color="auto" w:sz="4" w:space="0"/>
                  </w:tcBorders>
                  <w:noWrap w:val="0"/>
                  <w:vAlign w:val="center"/>
                </w:tcPr>
                <w:p w14:paraId="2CF5A08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0.1027 </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05E21AD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xml:space="preserve">0.0038 </w:t>
                  </w:r>
                </w:p>
              </w:tc>
            </w:tr>
            <w:tr w14:paraId="6FD1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75" w:type="pct"/>
                  <w:gridSpan w:val="2"/>
                  <w:tcBorders>
                    <w:top w:val="single" w:color="auto" w:sz="4" w:space="0"/>
                    <w:left w:val="single" w:color="auto" w:sz="4" w:space="0"/>
                    <w:bottom w:val="single" w:color="auto" w:sz="4" w:space="0"/>
                    <w:right w:val="single" w:color="auto" w:sz="4" w:space="0"/>
                  </w:tcBorders>
                  <w:noWrap w:val="0"/>
                  <w:vAlign w:val="center"/>
                </w:tcPr>
                <w:p w14:paraId="368357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处理效率（%）</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029FEB9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47450A2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91.5</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5DF2155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94.64</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66FF59B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89.33</w:t>
                  </w:r>
                </w:p>
              </w:tc>
              <w:tc>
                <w:tcPr>
                  <w:tcW w:w="541" w:type="pct"/>
                  <w:tcBorders>
                    <w:top w:val="single" w:color="auto" w:sz="4" w:space="0"/>
                    <w:left w:val="single" w:color="auto" w:sz="4" w:space="0"/>
                    <w:bottom w:val="single" w:color="auto" w:sz="4" w:space="0"/>
                    <w:right w:val="single" w:color="auto" w:sz="4" w:space="0"/>
                  </w:tcBorders>
                  <w:noWrap w:val="0"/>
                  <w:vAlign w:val="center"/>
                </w:tcPr>
                <w:p w14:paraId="4B96802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96.5</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1D6E2FC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89</w:t>
                  </w:r>
                </w:p>
              </w:tc>
            </w:tr>
            <w:tr w14:paraId="440C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68" w:type="pct"/>
                  <w:vMerge w:val="restart"/>
                  <w:tcBorders>
                    <w:top w:val="single" w:color="auto" w:sz="4" w:space="0"/>
                    <w:left w:val="single" w:color="auto" w:sz="4" w:space="0"/>
                    <w:bottom w:val="single" w:color="auto" w:sz="4" w:space="0"/>
                    <w:right w:val="single" w:color="auto" w:sz="4" w:space="0"/>
                  </w:tcBorders>
                  <w:noWrap w:val="0"/>
                  <w:vAlign w:val="center"/>
                </w:tcPr>
                <w:p w14:paraId="7BDD6D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处理后</w:t>
                  </w:r>
                </w:p>
              </w:tc>
              <w:tc>
                <w:tcPr>
                  <w:tcW w:w="907" w:type="pct"/>
                  <w:tcBorders>
                    <w:top w:val="single" w:color="auto" w:sz="4" w:space="0"/>
                    <w:left w:val="single" w:color="auto" w:sz="4" w:space="0"/>
                    <w:bottom w:val="single" w:color="auto" w:sz="4" w:space="0"/>
                    <w:right w:val="single" w:color="auto" w:sz="4" w:space="0"/>
                  </w:tcBorders>
                  <w:noWrap w:val="0"/>
                  <w:vAlign w:val="center"/>
                </w:tcPr>
                <w:p w14:paraId="32CCBC1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5CA1DE3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221C7D4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32</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0CEA6FA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7</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4F47744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8</w:t>
                  </w:r>
                </w:p>
              </w:tc>
              <w:tc>
                <w:tcPr>
                  <w:tcW w:w="541" w:type="pct"/>
                  <w:tcBorders>
                    <w:top w:val="single" w:color="auto" w:sz="4" w:space="0"/>
                    <w:left w:val="single" w:color="auto" w:sz="4" w:space="0"/>
                    <w:bottom w:val="single" w:color="auto" w:sz="4" w:space="0"/>
                    <w:right w:val="single" w:color="auto" w:sz="4" w:space="0"/>
                  </w:tcBorders>
                  <w:noWrap w:val="0"/>
                  <w:vAlign w:val="center"/>
                </w:tcPr>
                <w:p w14:paraId="57DBAE6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49</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3B27F59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87</w:t>
                  </w:r>
                </w:p>
              </w:tc>
            </w:tr>
            <w:tr w14:paraId="6460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vMerge w:val="continue"/>
                  <w:tcBorders>
                    <w:top w:val="single" w:color="auto" w:sz="4" w:space="0"/>
                    <w:left w:val="single" w:color="auto" w:sz="4" w:space="0"/>
                    <w:bottom w:val="single" w:color="auto" w:sz="4" w:space="0"/>
                    <w:right w:val="single" w:color="auto" w:sz="4" w:space="0"/>
                  </w:tcBorders>
                  <w:noWrap w:val="0"/>
                  <w:vAlign w:val="center"/>
                </w:tcPr>
                <w:p w14:paraId="29DDCC77">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rPr>
                  </w:pPr>
                </w:p>
              </w:tc>
              <w:tc>
                <w:tcPr>
                  <w:tcW w:w="907" w:type="pct"/>
                  <w:tcBorders>
                    <w:top w:val="single" w:color="auto" w:sz="4" w:space="0"/>
                    <w:left w:val="single" w:color="auto" w:sz="4" w:space="0"/>
                    <w:bottom w:val="single" w:color="auto" w:sz="4" w:space="0"/>
                    <w:right w:val="single" w:color="auto" w:sz="4" w:space="0"/>
                  </w:tcBorders>
                  <w:noWrap w:val="0"/>
                  <w:vAlign w:val="center"/>
                </w:tcPr>
                <w:p w14:paraId="7AC3746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总量（t/a）</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767DDC0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480</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7640ED8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0.0160 </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79F4649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0.0041 </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0B7C8AC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0.0023 </w:t>
                  </w:r>
                </w:p>
              </w:tc>
              <w:tc>
                <w:tcPr>
                  <w:tcW w:w="541" w:type="pct"/>
                  <w:tcBorders>
                    <w:top w:val="single" w:color="auto" w:sz="4" w:space="0"/>
                    <w:left w:val="single" w:color="auto" w:sz="4" w:space="0"/>
                    <w:bottom w:val="single" w:color="auto" w:sz="4" w:space="0"/>
                    <w:right w:val="single" w:color="auto" w:sz="4" w:space="0"/>
                  </w:tcBorders>
                  <w:noWrap w:val="0"/>
                  <w:vAlign w:val="center"/>
                </w:tcPr>
                <w:p w14:paraId="5C6E97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0.0036 </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3034CEE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0.0004 </w:t>
                  </w:r>
                </w:p>
              </w:tc>
            </w:tr>
            <w:tr w14:paraId="440B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4" w:space="0"/>
                    <w:bottom w:val="single" w:color="auto" w:sz="4" w:space="0"/>
                    <w:right w:val="single" w:color="auto" w:sz="4" w:space="0"/>
                  </w:tcBorders>
                  <w:noWrap w:val="0"/>
                  <w:vAlign w:val="center"/>
                </w:tcPr>
                <w:p w14:paraId="2DFF8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近期标准</w:t>
                  </w:r>
                </w:p>
              </w:tc>
              <w:tc>
                <w:tcPr>
                  <w:tcW w:w="907" w:type="pct"/>
                  <w:tcBorders>
                    <w:top w:val="single" w:color="auto" w:sz="4" w:space="0"/>
                    <w:left w:val="single" w:color="auto" w:sz="4" w:space="0"/>
                    <w:bottom w:val="single" w:color="auto" w:sz="4" w:space="0"/>
                    <w:right w:val="single" w:color="auto" w:sz="4" w:space="0"/>
                  </w:tcBorders>
                  <w:noWrap w:val="0"/>
                  <w:vAlign w:val="center"/>
                </w:tcPr>
                <w:p w14:paraId="10E29A5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0EF07B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6F241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13260E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10</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118A3E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8</w:t>
                  </w:r>
                </w:p>
              </w:tc>
              <w:tc>
                <w:tcPr>
                  <w:tcW w:w="541" w:type="pct"/>
                  <w:tcBorders>
                    <w:top w:val="single" w:color="auto" w:sz="4" w:space="0"/>
                    <w:left w:val="single" w:color="auto" w:sz="4" w:space="0"/>
                    <w:bottom w:val="single" w:color="auto" w:sz="4" w:space="0"/>
                    <w:right w:val="single" w:color="auto" w:sz="4" w:space="0"/>
                  </w:tcBorders>
                  <w:noWrap w:val="0"/>
                  <w:vAlign w:val="center"/>
                </w:tcPr>
                <w:p w14:paraId="4F3447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488C62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14:paraId="5AC5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4" w:space="0"/>
                    <w:bottom w:val="single" w:color="auto" w:sz="4" w:space="0"/>
                    <w:right w:val="single" w:color="auto" w:sz="4" w:space="0"/>
                  </w:tcBorders>
                  <w:noWrap w:val="0"/>
                  <w:vAlign w:val="center"/>
                </w:tcPr>
                <w:p w14:paraId="027789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远期标准</w:t>
                  </w:r>
                </w:p>
              </w:tc>
              <w:tc>
                <w:tcPr>
                  <w:tcW w:w="907" w:type="pct"/>
                  <w:tcBorders>
                    <w:top w:val="single" w:color="auto" w:sz="4" w:space="0"/>
                    <w:left w:val="single" w:color="auto" w:sz="4" w:space="0"/>
                    <w:bottom w:val="single" w:color="auto" w:sz="4" w:space="0"/>
                    <w:right w:val="single" w:color="auto" w:sz="4" w:space="0"/>
                  </w:tcBorders>
                  <w:noWrap w:val="0"/>
                  <w:vAlign w:val="center"/>
                </w:tcPr>
                <w:p w14:paraId="51AF834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30C1235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4BD5F8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7C9E0D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350</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0E7719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541" w:type="pct"/>
                  <w:tcBorders>
                    <w:top w:val="single" w:color="auto" w:sz="4" w:space="0"/>
                    <w:left w:val="single" w:color="auto" w:sz="4" w:space="0"/>
                    <w:bottom w:val="single" w:color="auto" w:sz="4" w:space="0"/>
                    <w:right w:val="single" w:color="auto" w:sz="4" w:space="0"/>
                  </w:tcBorders>
                  <w:noWrap w:val="0"/>
                  <w:vAlign w:val="center"/>
                </w:tcPr>
                <w:p w14:paraId="75DA9A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5B5DCC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r>
            <w:tr w14:paraId="2E79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8" w:type="pct"/>
                  <w:tcBorders>
                    <w:top w:val="single" w:color="auto" w:sz="4" w:space="0"/>
                    <w:left w:val="single" w:color="auto" w:sz="4" w:space="0"/>
                    <w:bottom w:val="single" w:color="auto" w:sz="4" w:space="0"/>
                    <w:right w:val="single" w:color="auto" w:sz="4" w:space="0"/>
                  </w:tcBorders>
                  <w:noWrap w:val="0"/>
                  <w:vAlign w:val="center"/>
                </w:tcPr>
                <w:p w14:paraId="168FB91E">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达标情况</w:t>
                  </w:r>
                </w:p>
              </w:tc>
              <w:tc>
                <w:tcPr>
                  <w:tcW w:w="907" w:type="pct"/>
                  <w:tcBorders>
                    <w:top w:val="single" w:color="auto" w:sz="4" w:space="0"/>
                    <w:left w:val="single" w:color="auto" w:sz="4" w:space="0"/>
                    <w:bottom w:val="single" w:color="auto" w:sz="4" w:space="0"/>
                    <w:right w:val="single" w:color="auto" w:sz="4" w:space="0"/>
                  </w:tcBorders>
                  <w:noWrap w:val="0"/>
                  <w:vAlign w:val="center"/>
                </w:tcPr>
                <w:p w14:paraId="0387C47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1F9829D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207F0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580" w:type="pct"/>
                  <w:tcBorders>
                    <w:top w:val="single" w:color="auto" w:sz="4" w:space="0"/>
                    <w:left w:val="single" w:color="auto" w:sz="4" w:space="0"/>
                    <w:bottom w:val="single" w:color="auto" w:sz="4" w:space="0"/>
                    <w:right w:val="single" w:color="auto" w:sz="4" w:space="0"/>
                  </w:tcBorders>
                  <w:noWrap w:val="0"/>
                  <w:vAlign w:val="center"/>
                </w:tcPr>
                <w:p w14:paraId="118B35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0D23F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541" w:type="pct"/>
                  <w:tcBorders>
                    <w:top w:val="single" w:color="auto" w:sz="4" w:space="0"/>
                    <w:left w:val="single" w:color="auto" w:sz="4" w:space="0"/>
                    <w:bottom w:val="single" w:color="auto" w:sz="4" w:space="0"/>
                    <w:right w:val="single" w:color="auto" w:sz="4" w:space="0"/>
                  </w:tcBorders>
                  <w:noWrap w:val="0"/>
                  <w:vAlign w:val="center"/>
                </w:tcPr>
                <w:p w14:paraId="4D7DC8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635" w:type="pct"/>
                  <w:tcBorders>
                    <w:top w:val="single" w:color="auto" w:sz="4" w:space="0"/>
                    <w:left w:val="single" w:color="auto" w:sz="4" w:space="0"/>
                    <w:bottom w:val="single" w:color="auto" w:sz="4" w:space="0"/>
                    <w:right w:val="single" w:color="auto" w:sz="4" w:space="0"/>
                  </w:tcBorders>
                  <w:noWrap w:val="0"/>
                  <w:vAlign w:val="center"/>
                </w:tcPr>
                <w:p w14:paraId="2CF4D9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14:paraId="472CB1E2">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eastAsia="宋体" w:cs="Times New Roman"/>
                <w:color w:val="auto"/>
                <w:sz w:val="24"/>
                <w:lang w:val="en-US" w:eastAsia="zh-CN"/>
              </w:rPr>
              <w:t>根据上表，</w:t>
            </w:r>
            <w:r>
              <w:rPr>
                <w:rFonts w:hint="default" w:ascii="Times New Roman" w:hAnsi="Times New Roman" w:eastAsia="宋体" w:cs="Times New Roman"/>
                <w:color w:val="auto"/>
                <w:sz w:val="24"/>
                <w:lang w:val="en-US" w:eastAsia="zh-CN"/>
              </w:rPr>
              <w:t>项</w:t>
            </w:r>
            <w:r>
              <w:rPr>
                <w:rFonts w:hint="default" w:ascii="Times New Roman" w:hAnsi="Times New Roman" w:cs="Times New Roman"/>
                <w:color w:val="auto"/>
                <w:sz w:val="24"/>
              </w:rPr>
              <w:t>目生活区产生的食堂废水先经</w:t>
            </w:r>
            <w:r>
              <w:rPr>
                <w:rFonts w:hint="eastAsia" w:cs="Times New Roman"/>
                <w:color w:val="auto"/>
                <w:sz w:val="24"/>
                <w:lang w:eastAsia="zh-CN"/>
              </w:rPr>
              <w:t>隔油池</w:t>
            </w:r>
            <w:r>
              <w:rPr>
                <w:rFonts w:hint="default" w:ascii="Times New Roman" w:hAnsi="Times New Roman" w:cs="Times New Roman"/>
                <w:color w:val="auto"/>
                <w:sz w:val="24"/>
              </w:rPr>
              <w:t>预处理后同其他生活污水一起排入化粪池进行处理，再排入自建污水处理站处理，</w:t>
            </w:r>
            <w:r>
              <w:rPr>
                <w:rFonts w:hint="default" w:ascii="Times New Roman" w:hAnsi="Times New Roman" w:cs="Times New Roman"/>
                <w:color w:val="auto"/>
                <w:sz w:val="24"/>
                <w:szCs w:val="24"/>
              </w:rPr>
              <w:t>近期达《城市污水再生利用 城市杂用水质》（GB/T18920-2002）中“</w:t>
            </w:r>
            <w:r>
              <w:rPr>
                <w:rFonts w:hint="eastAsia" w:ascii="Times New Roman" w:hAnsi="Times New Roman" w:cs="Times New Roman"/>
                <w:color w:val="auto"/>
                <w:sz w:val="24"/>
                <w:szCs w:val="24"/>
                <w:lang w:val="en-US" w:eastAsia="zh-CN"/>
              </w:rPr>
              <w:t>城市绿化</w:t>
            </w:r>
            <w:r>
              <w:rPr>
                <w:rFonts w:hint="default" w:ascii="Times New Roman" w:hAnsi="Times New Roman" w:cs="Times New Roman"/>
                <w:color w:val="auto"/>
                <w:sz w:val="24"/>
                <w:szCs w:val="24"/>
              </w:rPr>
              <w:t>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远期在污水管网覆盖项目区域后达</w:t>
            </w:r>
            <w:r>
              <w:rPr>
                <w:rFonts w:hint="default" w:ascii="Times New Roman" w:hAnsi="Times New Roman" w:cs="Times New Roman"/>
                <w:bCs/>
                <w:color w:val="auto"/>
                <w:sz w:val="24"/>
                <w:szCs w:val="24"/>
              </w:rPr>
              <w:t>《污水排入城镇下水道水质标准》（GB/T31962-2015）中的B级标准</w:t>
            </w:r>
            <w:r>
              <w:rPr>
                <w:rFonts w:hint="eastAsia" w:cs="Times New Roman"/>
                <w:bCs/>
                <w:color w:val="auto"/>
                <w:sz w:val="24"/>
                <w:szCs w:val="24"/>
                <w:lang w:eastAsia="zh-CN"/>
              </w:rPr>
              <w:t>。</w:t>
            </w:r>
          </w:p>
          <w:p w14:paraId="7CA856FD">
            <w:pPr>
              <w:snapToGrid w:val="0"/>
              <w:spacing w:before="120" w:beforeLines="50" w:line="360" w:lineRule="auto"/>
              <w:ind w:firstLine="482" w:firstLineChars="200"/>
              <w:rPr>
                <w:rFonts w:ascii="Times New Roman" w:hAnsi="Times New Roman"/>
                <w:b/>
                <w:bCs/>
                <w:color w:val="auto"/>
              </w:rPr>
            </w:pPr>
            <w:r>
              <w:rPr>
                <w:rFonts w:ascii="Times New Roman" w:hAnsi="Times New Roman"/>
                <w:b/>
                <w:bCs/>
                <w:color w:val="auto"/>
              </w:rPr>
              <w:t>（3）废水处理设施的可行性分析</w:t>
            </w:r>
          </w:p>
          <w:p w14:paraId="3654C0F9">
            <w:pPr>
              <w:snapToGrid w:val="0"/>
              <w:spacing w:line="360" w:lineRule="auto"/>
              <w:ind w:firstLine="482" w:firstLineChars="200"/>
              <w:rPr>
                <w:rFonts w:ascii="Times New Roman" w:hAnsi="Times New Roman"/>
                <w:b/>
                <w:color w:val="auto"/>
              </w:rPr>
            </w:pPr>
            <w:r>
              <w:rPr>
                <w:rFonts w:hint="eastAsia" w:ascii="宋体" w:hAnsi="宋体" w:cs="宋体"/>
                <w:b/>
                <w:color w:val="auto"/>
              </w:rPr>
              <w:t>①</w:t>
            </w:r>
            <w:r>
              <w:rPr>
                <w:rFonts w:ascii="Times New Roman" w:hAnsi="Times New Roman"/>
                <w:b/>
                <w:color w:val="auto"/>
              </w:rPr>
              <w:t>隔油池设置的可行性</w:t>
            </w:r>
          </w:p>
          <w:p w14:paraId="7A6F7438">
            <w:pPr>
              <w:snapToGrid w:val="0"/>
              <w:spacing w:line="360" w:lineRule="auto"/>
              <w:ind w:firstLine="480" w:firstLineChars="200"/>
              <w:rPr>
                <w:rFonts w:ascii="Times New Roman" w:hAnsi="Times New Roman"/>
                <w:color w:val="auto"/>
              </w:rPr>
            </w:pPr>
            <w:r>
              <w:rPr>
                <w:rFonts w:ascii="Times New Roman" w:hAnsi="Times New Roman"/>
                <w:color w:val="auto"/>
              </w:rPr>
              <w:t>项目食堂废水产生量为0.</w:t>
            </w:r>
            <w:r>
              <w:rPr>
                <w:rFonts w:hint="eastAsia"/>
                <w:color w:val="auto"/>
                <w:lang w:val="en-US" w:eastAsia="zh-CN"/>
              </w:rPr>
              <w:t>6</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/d，考虑食堂运行时间为4h，则食堂废水产生量为0.</w:t>
            </w:r>
            <w:r>
              <w:rPr>
                <w:rFonts w:hint="eastAsia"/>
                <w:color w:val="auto"/>
                <w:lang w:val="en-US" w:eastAsia="zh-CN"/>
              </w:rPr>
              <w:t>15</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/h，隔油池废水停留时间约为30min考虑，且预留25%的存油空间，则隔油池理论容积应不小于0.</w:t>
            </w:r>
            <w:r>
              <w:rPr>
                <w:rFonts w:hint="eastAsia"/>
                <w:color w:val="auto"/>
                <w:lang w:val="en-US" w:eastAsia="zh-CN"/>
              </w:rPr>
              <w:t>1</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。因此，本项目设置1座0.</w:t>
            </w:r>
            <w:r>
              <w:rPr>
                <w:rFonts w:hint="eastAsia"/>
                <w:color w:val="auto"/>
                <w:lang w:val="en-US" w:eastAsia="zh-CN"/>
              </w:rPr>
              <w:t>5</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的隔油池，可满足食堂废水的处理需求，该措施合理可行。</w:t>
            </w:r>
          </w:p>
          <w:p w14:paraId="4ABBF418">
            <w:pPr>
              <w:snapToGrid w:val="0"/>
              <w:spacing w:line="360" w:lineRule="auto"/>
              <w:ind w:firstLine="482" w:firstLineChars="200"/>
              <w:rPr>
                <w:rFonts w:ascii="Times New Roman" w:hAnsi="Times New Roman"/>
                <w:b/>
                <w:color w:val="auto"/>
              </w:rPr>
            </w:pPr>
            <w:r>
              <w:rPr>
                <w:rFonts w:hint="eastAsia" w:ascii="宋体" w:hAnsi="宋体" w:cs="宋体"/>
                <w:b/>
                <w:color w:val="auto"/>
              </w:rPr>
              <w:t>②</w:t>
            </w:r>
            <w:r>
              <w:rPr>
                <w:rFonts w:ascii="Times New Roman" w:hAnsi="Times New Roman"/>
                <w:b/>
                <w:color w:val="auto"/>
              </w:rPr>
              <w:t>化粪池设置的可行性</w:t>
            </w:r>
          </w:p>
          <w:p w14:paraId="5F5DF758">
            <w:pPr>
              <w:snapToGrid w:val="0"/>
              <w:spacing w:line="360" w:lineRule="auto"/>
              <w:ind w:firstLine="480" w:firstLineChars="200"/>
              <w:rPr>
                <w:rFonts w:hint="default" w:ascii="Times New Roman" w:hAnsi="Times New Roman" w:eastAsia="宋体"/>
                <w:color w:val="auto"/>
                <w:lang w:val="en-US" w:eastAsia="zh-CN"/>
              </w:rPr>
            </w:pPr>
            <w:r>
              <w:rPr>
                <w:rFonts w:ascii="Times New Roman" w:hAnsi="Times New Roman"/>
                <w:color w:val="auto"/>
              </w:rPr>
              <w:t>根据项目场地地势条件及平面规划，项目在</w:t>
            </w:r>
            <w:r>
              <w:rPr>
                <w:rFonts w:hint="eastAsia"/>
                <w:color w:val="auto"/>
                <w:lang w:eastAsia="zh-CN"/>
              </w:rPr>
              <w:t>宿舍楼</w:t>
            </w:r>
            <w:r>
              <w:rPr>
                <w:rFonts w:ascii="Times New Roman" w:hAnsi="Times New Roman"/>
                <w:color w:val="auto"/>
              </w:rPr>
              <w:t>西侧设置一个化粪池，容积为</w:t>
            </w:r>
            <w:r>
              <w:rPr>
                <w:rFonts w:hint="eastAsia"/>
                <w:color w:val="auto"/>
                <w:lang w:val="en-US" w:eastAsia="zh-CN"/>
              </w:rPr>
              <w:t>3</w:t>
            </w:r>
            <w:r>
              <w:rPr>
                <w:rFonts w:ascii="Times New Roman" w:hAnsi="Times New Roman"/>
                <w:color w:val="auto"/>
              </w:rPr>
              <w:t>0m</w:t>
            </w:r>
            <w:r>
              <w:rPr>
                <w:rFonts w:ascii="Times New Roman" w:hAnsi="Times New Roman"/>
                <w:color w:val="auto"/>
                <w:vertAlign w:val="superscript"/>
              </w:rPr>
              <w:t>3</w:t>
            </w:r>
            <w:r>
              <w:rPr>
                <w:rFonts w:ascii="Times New Roman" w:hAnsi="Times New Roman"/>
                <w:color w:val="auto"/>
              </w:rPr>
              <w:t>，</w:t>
            </w:r>
            <w:r>
              <w:rPr>
                <w:rFonts w:hint="eastAsia"/>
                <w:color w:val="auto"/>
                <w:lang w:val="en-US" w:eastAsia="zh-CN"/>
              </w:rPr>
              <w:t>进入化粪池的</w:t>
            </w:r>
            <w:r>
              <w:rPr>
                <w:rFonts w:ascii="Times New Roman" w:hAnsi="Times New Roman"/>
                <w:color w:val="auto"/>
              </w:rPr>
              <w:t>生活废水量为</w:t>
            </w:r>
            <w:r>
              <w:rPr>
                <w:rFonts w:hint="eastAsia"/>
                <w:color w:val="auto"/>
                <w:lang w:val="en-US" w:eastAsia="zh-CN"/>
              </w:rPr>
              <w:t>3</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/d。化粪池停留时间一般取12-24小时，本次评价停留时间以24h计，</w:t>
            </w:r>
            <w:r>
              <w:rPr>
                <w:rFonts w:hint="default" w:ascii="Times New Roman" w:hAnsi="Times New Roman" w:cs="Times New Roman"/>
                <w:color w:val="auto"/>
                <w:sz w:val="24"/>
                <w:szCs w:val="24"/>
              </w:rPr>
              <w:t>容积按污水产生量的1.2倍计算</w:t>
            </w:r>
            <w:r>
              <w:rPr>
                <w:rFonts w:hint="eastAsia" w:ascii="Times New Roman" w:hAnsi="Times New Roman" w:eastAsia="宋体" w:cs="Times New Roman"/>
                <w:color w:val="auto"/>
                <w:kern w:val="0"/>
                <w:sz w:val="24"/>
                <w:szCs w:val="24"/>
                <w:lang w:val="en-US" w:eastAsia="zh-CN" w:bidi="ar"/>
              </w:rPr>
              <w:t>，</w:t>
            </w:r>
            <w:r>
              <w:rPr>
                <w:rFonts w:ascii="Times New Roman" w:hAnsi="Times New Roman"/>
                <w:color w:val="auto"/>
              </w:rPr>
              <w:t>化粪池容积理论应不小于</w:t>
            </w:r>
            <w:r>
              <w:rPr>
                <w:rFonts w:hint="eastAsia"/>
                <w:color w:val="auto"/>
                <w:lang w:val="en-US" w:eastAsia="zh-CN"/>
              </w:rPr>
              <w:t>3.6</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，项目设置的化粪池容积为</w:t>
            </w:r>
            <w:r>
              <w:rPr>
                <w:rFonts w:hint="eastAsia"/>
                <w:color w:val="auto"/>
                <w:lang w:val="en-US" w:eastAsia="zh-CN"/>
              </w:rPr>
              <w:t>3</w:t>
            </w:r>
            <w:r>
              <w:rPr>
                <w:rFonts w:ascii="Times New Roman" w:hAnsi="Times New Roman"/>
                <w:color w:val="auto"/>
              </w:rPr>
              <w:t>0m</w:t>
            </w:r>
            <w:r>
              <w:rPr>
                <w:rFonts w:ascii="Times New Roman" w:hAnsi="Times New Roman"/>
                <w:color w:val="auto"/>
                <w:vertAlign w:val="superscript"/>
              </w:rPr>
              <w:t>3</w:t>
            </w:r>
            <w:r>
              <w:rPr>
                <w:rFonts w:ascii="Times New Roman" w:hAnsi="Times New Roman"/>
                <w:color w:val="auto"/>
              </w:rPr>
              <w:t>，能满足项目区生活污水处理要求。</w:t>
            </w:r>
          </w:p>
          <w:p w14:paraId="40AD5CDD">
            <w:pPr>
              <w:snapToGrid w:val="0"/>
              <w:spacing w:line="360" w:lineRule="auto"/>
              <w:ind w:firstLine="482" w:firstLineChars="200"/>
              <w:rPr>
                <w:rFonts w:ascii="Times New Roman" w:hAnsi="Times New Roman"/>
                <w:b/>
                <w:bCs/>
                <w:color w:val="auto"/>
              </w:rPr>
            </w:pPr>
            <w:r>
              <w:rPr>
                <w:rFonts w:hint="eastAsia"/>
                <w:b/>
                <w:bCs/>
                <w:color w:val="auto"/>
                <w:lang w:val="en-US" w:eastAsia="zh-CN"/>
              </w:rPr>
              <w:t>③</w:t>
            </w:r>
            <w:r>
              <w:rPr>
                <w:rFonts w:hint="default" w:ascii="Times New Roman" w:hAnsi="Times New Roman"/>
                <w:b/>
                <w:bCs/>
                <w:color w:val="auto"/>
              </w:rPr>
              <w:t>三级隔油沉淀池</w:t>
            </w:r>
            <w:r>
              <w:rPr>
                <w:rFonts w:hint="eastAsia"/>
                <w:b/>
                <w:bCs/>
                <w:color w:val="auto"/>
                <w:lang w:val="en-US" w:eastAsia="zh-CN"/>
              </w:rPr>
              <w:t>设置</w:t>
            </w:r>
            <w:r>
              <w:rPr>
                <w:rFonts w:ascii="Times New Roman" w:hAnsi="Times New Roman"/>
                <w:b/>
                <w:bCs/>
                <w:color w:val="auto"/>
              </w:rPr>
              <w:t>可行性分析</w:t>
            </w:r>
          </w:p>
          <w:p w14:paraId="66B48871">
            <w:pPr>
              <w:tabs>
                <w:tab w:val="left" w:pos="3386"/>
                <w:tab w:val="left" w:pos="5812"/>
              </w:tabs>
              <w:autoSpaceDE w:val="0"/>
              <w:autoSpaceDN w:val="0"/>
              <w:snapToGrid w:val="0"/>
              <w:spacing w:line="360" w:lineRule="auto"/>
              <w:ind w:firstLine="480" w:firstLineChars="200"/>
              <w:rPr>
                <w:rFonts w:hint="default" w:ascii="Times New Roman" w:hAnsi="Times New Roman" w:eastAsia="宋体" w:cs="Times New Roman"/>
                <w:smallCaps w:val="0"/>
                <w:color w:val="auto"/>
                <w:sz w:val="24"/>
                <w:szCs w:val="24"/>
                <w:lang w:val="en-US" w:eastAsia="zh-CN"/>
              </w:rPr>
            </w:pPr>
            <w:r>
              <w:rPr>
                <w:rFonts w:hint="eastAsia" w:ascii="Times New Roman" w:hAnsi="Times New Roman" w:eastAsia="宋体" w:cs="Times New Roman"/>
                <w:smallCaps w:val="0"/>
                <w:color w:val="auto"/>
                <w:sz w:val="24"/>
                <w:szCs w:val="24"/>
                <w:lang w:val="en-US" w:eastAsia="zh-CN"/>
              </w:rPr>
              <w:t>项目</w:t>
            </w:r>
            <w:r>
              <w:rPr>
                <w:rFonts w:hint="default" w:ascii="Times New Roman" w:hAnsi="Times New Roman" w:eastAsia="宋体" w:cs="Times New Roman"/>
                <w:smallCaps w:val="0"/>
                <w:color w:val="auto"/>
                <w:sz w:val="24"/>
                <w:szCs w:val="24"/>
                <w:lang w:val="en-US" w:eastAsia="zh-CN"/>
              </w:rPr>
              <w:t>地面冲洗废水</w:t>
            </w:r>
            <w:r>
              <w:rPr>
                <w:rFonts w:hint="eastAsia" w:cs="Times New Roman"/>
                <w:smallCaps w:val="0"/>
                <w:color w:val="auto"/>
                <w:sz w:val="24"/>
                <w:szCs w:val="24"/>
                <w:lang w:val="en-US" w:eastAsia="zh-CN"/>
              </w:rPr>
              <w:t>、</w:t>
            </w:r>
            <w:r>
              <w:rPr>
                <w:rFonts w:hint="eastAsia" w:cs="Times New Roman"/>
                <w:color w:val="auto"/>
                <w:sz w:val="24"/>
                <w:szCs w:val="24"/>
                <w:lang w:val="en-US" w:eastAsia="zh-CN"/>
              </w:rPr>
              <w:t>车辆及设备冲洗废水、</w:t>
            </w:r>
            <w:r>
              <w:rPr>
                <w:rFonts w:hint="default" w:ascii="Times New Roman" w:hAnsi="Times New Roman" w:eastAsia="宋体" w:cs="Times New Roman"/>
                <w:smallCaps w:val="0"/>
                <w:color w:val="auto"/>
                <w:sz w:val="24"/>
                <w:szCs w:val="24"/>
                <w:lang w:val="en-US" w:eastAsia="zh-CN"/>
              </w:rPr>
              <w:t>初期雨水</w:t>
            </w:r>
            <w:r>
              <w:rPr>
                <w:rFonts w:hint="eastAsia" w:cs="Times New Roman"/>
                <w:smallCaps w:val="0"/>
                <w:color w:val="auto"/>
                <w:sz w:val="24"/>
                <w:szCs w:val="24"/>
                <w:lang w:val="en-US" w:eastAsia="zh-CN"/>
              </w:rPr>
              <w:t>等废水</w:t>
            </w:r>
            <w:r>
              <w:rPr>
                <w:rFonts w:hint="default" w:ascii="Times New Roman" w:hAnsi="Times New Roman" w:eastAsia="宋体" w:cs="Times New Roman"/>
                <w:smallCaps w:val="0"/>
                <w:color w:val="auto"/>
                <w:sz w:val="24"/>
                <w:szCs w:val="24"/>
                <w:lang w:val="en-US" w:eastAsia="zh-CN"/>
              </w:rPr>
              <w:t>排入三级隔油沉淀池处理</w:t>
            </w:r>
            <w:r>
              <w:rPr>
                <w:rFonts w:hint="eastAsia" w:ascii="Times New Roman" w:hAnsi="Times New Roman" w:eastAsia="宋体" w:cs="Times New Roman"/>
                <w:smallCaps w:val="0"/>
                <w:color w:val="auto"/>
                <w:sz w:val="24"/>
                <w:szCs w:val="24"/>
                <w:lang w:val="en-US" w:eastAsia="zh-CN"/>
              </w:rPr>
              <w:t>后回</w:t>
            </w:r>
            <w:r>
              <w:rPr>
                <w:rFonts w:hint="default" w:ascii="Times New Roman" w:hAnsi="Times New Roman" w:eastAsia="宋体" w:cs="Times New Roman"/>
                <w:smallCaps w:val="0"/>
                <w:color w:val="auto"/>
                <w:sz w:val="24"/>
                <w:szCs w:val="24"/>
                <w:lang w:val="en-US" w:eastAsia="zh-CN"/>
              </w:rPr>
              <w:t>用于</w:t>
            </w:r>
            <w:r>
              <w:rPr>
                <w:rFonts w:hint="eastAsia" w:ascii="Times New Roman" w:hAnsi="Times New Roman" w:eastAsia="宋体" w:cs="Times New Roman"/>
                <w:smallCaps w:val="0"/>
                <w:color w:val="auto"/>
                <w:sz w:val="24"/>
                <w:szCs w:val="24"/>
                <w:lang w:val="en-US" w:eastAsia="zh-CN"/>
              </w:rPr>
              <w:t>厂区地面</w:t>
            </w:r>
            <w:r>
              <w:rPr>
                <w:rFonts w:hint="default" w:ascii="Times New Roman" w:hAnsi="Times New Roman" w:eastAsia="宋体" w:cs="Times New Roman"/>
                <w:smallCaps w:val="0"/>
                <w:color w:val="auto"/>
                <w:sz w:val="24"/>
                <w:szCs w:val="24"/>
                <w:lang w:val="en-US" w:eastAsia="zh-CN"/>
              </w:rPr>
              <w:t>冲洗</w:t>
            </w:r>
            <w:r>
              <w:rPr>
                <w:rFonts w:hint="eastAsia" w:ascii="Times New Roman" w:hAnsi="Times New Roman" w:eastAsia="宋体" w:cs="Times New Roman"/>
                <w:smallCaps w:val="0"/>
                <w:color w:val="auto"/>
                <w:sz w:val="24"/>
                <w:szCs w:val="24"/>
                <w:lang w:val="en-US" w:eastAsia="zh-CN"/>
              </w:rPr>
              <w:t>及洒水降尘。</w:t>
            </w:r>
            <w:r>
              <w:rPr>
                <w:rFonts w:hint="eastAsia" w:cs="Times New Roman"/>
                <w:smallCaps w:val="0"/>
                <w:color w:val="auto"/>
                <w:sz w:val="24"/>
                <w:szCs w:val="24"/>
                <w:lang w:val="en-US" w:eastAsia="zh-CN"/>
              </w:rPr>
              <w:t>项目的最大废水量为26.43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eastAsia="宋体" w:cs="Times New Roman"/>
                <w:smallCaps w:val="0"/>
                <w:color w:val="auto"/>
                <w:sz w:val="24"/>
                <w:szCs w:val="24"/>
                <w:lang w:val="en-US" w:eastAsia="zh-CN"/>
              </w:rPr>
              <w:t>三级隔油沉淀池容积为</w:t>
            </w:r>
            <w:r>
              <w:rPr>
                <w:rFonts w:hint="eastAsia" w:cs="Times New Roman"/>
                <w:smallCaps w:val="0"/>
                <w:color w:val="auto"/>
                <w:sz w:val="24"/>
                <w:szCs w:val="24"/>
                <w:lang w:val="en-US" w:eastAsia="zh-CN"/>
              </w:rPr>
              <w:t>50</w:t>
            </w:r>
            <w:r>
              <w:rPr>
                <w:rFonts w:hint="default" w:ascii="Times New Roman" w:hAnsi="Times New Roman" w:eastAsia="宋体" w:cs="Times New Roman"/>
                <w:smallCaps w:val="0"/>
                <w:color w:val="auto"/>
                <w:sz w:val="24"/>
                <w:szCs w:val="24"/>
                <w:lang w:val="en-US" w:eastAsia="zh-CN"/>
              </w:rPr>
              <w:t>m</w:t>
            </w:r>
            <w:r>
              <w:rPr>
                <w:rFonts w:hint="default" w:ascii="Times New Roman" w:hAnsi="Times New Roman" w:eastAsia="宋体" w:cs="Times New Roman"/>
                <w:smallCaps w:val="0"/>
                <w:color w:val="auto"/>
                <w:sz w:val="24"/>
                <w:szCs w:val="24"/>
                <w:vertAlign w:val="superscript"/>
                <w:lang w:val="en-US" w:eastAsia="zh-CN"/>
              </w:rPr>
              <w:t>3</w:t>
            </w:r>
            <w:r>
              <w:rPr>
                <w:rFonts w:hint="default" w:ascii="Times New Roman" w:hAnsi="Times New Roman" w:cs="Times New Roman"/>
                <w:color w:val="auto"/>
              </w:rPr>
              <w:t>，</w:t>
            </w:r>
            <w:r>
              <w:rPr>
                <w:rFonts w:hint="eastAsia" w:cs="Times New Roman"/>
                <w:color w:val="auto"/>
                <w:lang w:val="en-US" w:eastAsia="zh-CN"/>
              </w:rPr>
              <w:t>可满足废水保存约2天的量。</w:t>
            </w:r>
          </w:p>
          <w:p w14:paraId="15841CD2">
            <w:pPr>
              <w:tabs>
                <w:tab w:val="left" w:pos="3386"/>
                <w:tab w:val="left" w:pos="5812"/>
              </w:tabs>
              <w:autoSpaceDE w:val="0"/>
              <w:autoSpaceDN w:val="0"/>
              <w:snapToGrid w:val="0"/>
              <w:spacing w:line="360" w:lineRule="auto"/>
              <w:ind w:firstLine="480" w:firstLineChars="200"/>
              <w:rPr>
                <w:rFonts w:ascii="Times New Roman" w:hAnsi="Times New Roman"/>
                <w:color w:val="auto"/>
              </w:rPr>
            </w:pPr>
            <w:r>
              <w:rPr>
                <w:rFonts w:ascii="Times New Roman" w:hAnsi="Times New Roman"/>
                <w:color w:val="auto"/>
              </w:rPr>
              <w:t>根据地形特点，项目</w:t>
            </w:r>
            <w:r>
              <w:rPr>
                <w:rFonts w:hint="default" w:ascii="Times New Roman" w:hAnsi="Times New Roman" w:eastAsia="宋体" w:cs="Times New Roman"/>
                <w:smallCaps w:val="0"/>
                <w:color w:val="auto"/>
                <w:sz w:val="24"/>
                <w:szCs w:val="24"/>
                <w:lang w:val="en-US" w:eastAsia="zh-CN"/>
              </w:rPr>
              <w:t>三级隔油沉淀池</w:t>
            </w:r>
            <w:r>
              <w:rPr>
                <w:rFonts w:ascii="Times New Roman" w:hAnsi="Times New Roman"/>
                <w:color w:val="auto"/>
              </w:rPr>
              <w:t>设置于项目区</w:t>
            </w:r>
            <w:r>
              <w:rPr>
                <w:rFonts w:hint="eastAsia"/>
                <w:color w:val="auto"/>
                <w:lang w:val="en-US" w:eastAsia="zh-CN"/>
              </w:rPr>
              <w:t>西</w:t>
            </w:r>
            <w:r>
              <w:rPr>
                <w:rFonts w:ascii="Times New Roman" w:hAnsi="Times New Roman"/>
                <w:color w:val="auto"/>
              </w:rPr>
              <w:t>侧，该位置为项目区地势最低点，能够有效收集雨水</w:t>
            </w:r>
            <w:r>
              <w:rPr>
                <w:rFonts w:hint="eastAsia"/>
                <w:color w:val="auto"/>
                <w:lang w:eastAsia="zh-CN"/>
              </w:rPr>
              <w:t>、</w:t>
            </w:r>
            <w:r>
              <w:rPr>
                <w:rFonts w:hint="eastAsia"/>
                <w:color w:val="auto"/>
                <w:lang w:val="en-US" w:eastAsia="zh-CN"/>
              </w:rPr>
              <w:t>车辆和设备冲洗废水、</w:t>
            </w:r>
            <w:r>
              <w:rPr>
                <w:rFonts w:hint="default" w:ascii="Times New Roman" w:hAnsi="Times New Roman" w:eastAsia="宋体" w:cs="Times New Roman"/>
                <w:smallCaps w:val="0"/>
                <w:color w:val="auto"/>
                <w:sz w:val="24"/>
                <w:szCs w:val="24"/>
                <w:lang w:val="en-US" w:eastAsia="zh-CN"/>
              </w:rPr>
              <w:t>搅拌工作区地面冲洗</w:t>
            </w:r>
            <w:r>
              <w:rPr>
                <w:rFonts w:hint="eastAsia" w:cs="Times New Roman"/>
                <w:smallCaps w:val="0"/>
                <w:color w:val="auto"/>
                <w:sz w:val="24"/>
                <w:szCs w:val="24"/>
                <w:lang w:val="en-US" w:eastAsia="zh-CN"/>
              </w:rPr>
              <w:t>水等废水</w:t>
            </w:r>
            <w:r>
              <w:rPr>
                <w:rFonts w:ascii="Times New Roman" w:hAnsi="Times New Roman"/>
                <w:color w:val="auto"/>
              </w:rPr>
              <w:t>。</w:t>
            </w:r>
            <w:r>
              <w:rPr>
                <w:rFonts w:hint="eastAsia"/>
                <w:color w:val="auto"/>
                <w:lang w:val="en-US" w:eastAsia="zh-CN"/>
              </w:rPr>
              <w:t>废水主要污染物为悬浮物、石油类，通过</w:t>
            </w:r>
            <w:r>
              <w:rPr>
                <w:rFonts w:hint="default" w:ascii="Times New Roman" w:hAnsi="Times New Roman" w:eastAsia="宋体" w:cs="Times New Roman"/>
                <w:smallCaps w:val="0"/>
                <w:color w:val="auto"/>
                <w:sz w:val="24"/>
                <w:szCs w:val="24"/>
                <w:lang w:val="en-US" w:eastAsia="zh-CN"/>
              </w:rPr>
              <w:t>三级隔油沉淀池</w:t>
            </w:r>
            <w:r>
              <w:rPr>
                <w:rFonts w:hint="eastAsia" w:ascii="Times New Roman" w:hAnsi="Times New Roman" w:eastAsia="宋体" w:cs="Times New Roman"/>
                <w:smallCaps w:val="0"/>
                <w:color w:val="auto"/>
                <w:sz w:val="24"/>
                <w:szCs w:val="24"/>
                <w:lang w:val="en-US" w:eastAsia="zh-CN"/>
              </w:rPr>
              <w:t>处理浓度后显著降低，可以满足厂区地面</w:t>
            </w:r>
            <w:r>
              <w:rPr>
                <w:rFonts w:hint="default" w:ascii="Times New Roman" w:hAnsi="Times New Roman" w:eastAsia="宋体" w:cs="Times New Roman"/>
                <w:smallCaps w:val="0"/>
                <w:color w:val="auto"/>
                <w:sz w:val="24"/>
                <w:szCs w:val="24"/>
                <w:lang w:val="en-US" w:eastAsia="zh-CN"/>
              </w:rPr>
              <w:t>冲洗</w:t>
            </w:r>
            <w:r>
              <w:rPr>
                <w:rFonts w:hint="eastAsia" w:ascii="Times New Roman" w:hAnsi="Times New Roman" w:eastAsia="宋体" w:cs="Times New Roman"/>
                <w:smallCaps w:val="0"/>
                <w:color w:val="auto"/>
                <w:sz w:val="24"/>
                <w:szCs w:val="24"/>
                <w:lang w:val="en-US" w:eastAsia="zh-CN"/>
              </w:rPr>
              <w:t>及洒水降尘的要求。</w:t>
            </w:r>
            <w:r>
              <w:rPr>
                <w:rFonts w:ascii="Times New Roman" w:hAnsi="Times New Roman"/>
                <w:color w:val="auto"/>
              </w:rPr>
              <w:t>后期雨水则通过</w:t>
            </w:r>
            <w:r>
              <w:rPr>
                <w:rFonts w:hint="default" w:ascii="Times New Roman" w:hAnsi="Times New Roman" w:eastAsia="宋体" w:cs="Times New Roman"/>
                <w:smallCaps w:val="0"/>
                <w:color w:val="auto"/>
                <w:sz w:val="24"/>
                <w:szCs w:val="24"/>
                <w:lang w:val="en-US" w:eastAsia="zh-CN"/>
              </w:rPr>
              <w:t>三级隔油沉淀池</w:t>
            </w:r>
            <w:r>
              <w:rPr>
                <w:rFonts w:ascii="Times New Roman" w:hAnsi="Times New Roman"/>
                <w:color w:val="auto"/>
              </w:rPr>
              <w:t>前设置的截断阀门截流后，通过雨水沟排出厂外。</w:t>
            </w:r>
          </w:p>
          <w:p w14:paraId="3D1D17DD">
            <w:pPr>
              <w:tabs>
                <w:tab w:val="left" w:pos="3386"/>
                <w:tab w:val="left" w:pos="5812"/>
              </w:tabs>
              <w:autoSpaceDE w:val="0"/>
              <w:autoSpaceDN w:val="0"/>
              <w:snapToGrid w:val="0"/>
              <w:spacing w:line="360" w:lineRule="auto"/>
              <w:ind w:firstLine="480" w:firstLineChars="200"/>
              <w:rPr>
                <w:rFonts w:ascii="Times New Roman" w:hAnsi="Times New Roman"/>
                <w:color w:val="auto"/>
              </w:rPr>
            </w:pPr>
            <w:r>
              <w:rPr>
                <w:rFonts w:ascii="Times New Roman" w:hAnsi="Times New Roman"/>
                <w:color w:val="auto"/>
              </w:rPr>
              <w:t>综上，施工期废水经处理后均得到了有效处置，对周边环境影响很小。</w:t>
            </w:r>
          </w:p>
          <w:p w14:paraId="5392D5E7">
            <w:pPr>
              <w:snapToGrid w:val="0"/>
              <w:spacing w:line="360" w:lineRule="auto"/>
              <w:ind w:firstLine="482" w:firstLineChars="200"/>
              <w:rPr>
                <w:rFonts w:hint="eastAsia"/>
                <w:b/>
                <w:bCs/>
                <w:color w:val="auto"/>
                <w:lang w:val="en-US" w:eastAsia="zh-CN"/>
              </w:rPr>
            </w:pPr>
            <w:r>
              <w:rPr>
                <w:rFonts w:hint="eastAsia"/>
                <w:b/>
                <w:bCs/>
                <w:color w:val="auto"/>
                <w:lang w:val="en-US" w:eastAsia="zh-CN"/>
              </w:rPr>
              <w:t>④污水处理站设置</w:t>
            </w:r>
            <w:r>
              <w:rPr>
                <w:rFonts w:ascii="Times New Roman" w:hAnsi="Times New Roman"/>
                <w:b/>
                <w:bCs/>
                <w:color w:val="auto"/>
              </w:rPr>
              <w:t>可行性分析</w:t>
            </w:r>
          </w:p>
          <w:p w14:paraId="1719F9A4">
            <w:pPr>
              <w:snapToGrid w:val="0"/>
              <w:spacing w:line="360" w:lineRule="auto"/>
              <w:ind w:firstLine="480" w:firstLineChars="200"/>
              <w:rPr>
                <w:rFonts w:hint="eastAsia"/>
                <w:b/>
                <w:bCs/>
                <w:color w:val="auto"/>
                <w:lang w:val="en-US" w:eastAsia="zh-CN"/>
              </w:rPr>
            </w:pPr>
            <w:r>
              <w:rPr>
                <w:rFonts w:hint="default" w:ascii="Times New Roman" w:hAnsi="Times New Roman" w:cs="Times New Roman"/>
                <w:color w:val="auto"/>
                <w:sz w:val="24"/>
                <w:szCs w:val="24"/>
              </w:rPr>
              <w:t>根据工程分析，项目区</w:t>
            </w:r>
            <w:r>
              <w:rPr>
                <w:rFonts w:hint="eastAsia" w:ascii="Times New Roman" w:hAnsi="Times New Roman" w:cs="Times New Roman"/>
                <w:color w:val="auto"/>
                <w:sz w:val="24"/>
                <w:szCs w:val="24"/>
                <w:lang w:eastAsia="zh-CN"/>
              </w:rPr>
              <w:t>进入污水处理站的</w:t>
            </w:r>
            <w:r>
              <w:rPr>
                <w:rFonts w:hint="default" w:ascii="Times New Roman" w:hAnsi="Times New Roman" w:cs="Times New Roman"/>
                <w:color w:val="auto"/>
                <w:sz w:val="24"/>
                <w:szCs w:val="24"/>
              </w:rPr>
              <w:t>废水产生量约为</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/d，容积按污水产生量的1.2倍计算，污水处理站的</w:t>
            </w:r>
            <w:r>
              <w:rPr>
                <w:rFonts w:hint="eastAsia" w:ascii="Times New Roman" w:hAnsi="Times New Roman" w:cs="Times New Roman"/>
                <w:color w:val="auto"/>
                <w:sz w:val="24"/>
                <w:szCs w:val="24"/>
                <w:lang w:eastAsia="zh-CN"/>
              </w:rPr>
              <w:t>处理规模</w:t>
            </w:r>
            <w:r>
              <w:rPr>
                <w:rFonts w:hint="default" w:ascii="Times New Roman" w:hAnsi="Times New Roman" w:cs="Times New Roman"/>
                <w:color w:val="auto"/>
                <w:sz w:val="24"/>
                <w:szCs w:val="24"/>
              </w:rPr>
              <w:t>至少为</w:t>
            </w:r>
            <w:r>
              <w:rPr>
                <w:rFonts w:hint="eastAsia" w:ascii="Times New Roman" w:hAnsi="Times New Roman" w:cs="Times New Roman"/>
                <w:color w:val="auto"/>
                <w:sz w:val="24"/>
                <w:szCs w:val="24"/>
                <w:lang w:val="en-US" w:eastAsia="zh-CN"/>
              </w:rPr>
              <w:t>3.6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，环评设计污水处理站规模均</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/d，污水处理站规模可行。</w:t>
            </w:r>
          </w:p>
          <w:p w14:paraId="33CE7317">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rPr>
              <w:t>根据项目污水处理设计方案，</w:t>
            </w:r>
            <w:r>
              <w:rPr>
                <w:rFonts w:hint="default" w:ascii="Times New Roman" w:hAnsi="Times New Roman" w:cs="Times New Roman"/>
                <w:color w:val="auto"/>
                <w:sz w:val="24"/>
              </w:rPr>
              <w:t>本项目污水处理站选用以“厌氧+接触氧化+MBR+消毒”工艺为核心的高效微生物处理工艺，结合项目实际情况，该工艺对污染物的去除效率如下：COD：90%、BOD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：94%、NH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-N：89%、SS：95%、动植物油：78%。</w:t>
            </w:r>
            <w:r>
              <w:rPr>
                <w:rFonts w:hint="eastAsia" w:cs="Times New Roman"/>
                <w:color w:val="auto"/>
                <w:sz w:val="24"/>
                <w:lang w:eastAsia="zh-CN"/>
              </w:rPr>
              <w:t>经</w:t>
            </w:r>
            <w:r>
              <w:rPr>
                <w:rFonts w:hint="default" w:ascii="Times New Roman" w:hAnsi="Times New Roman" w:cs="Times New Roman"/>
                <w:color w:val="auto"/>
                <w:sz w:val="24"/>
              </w:rPr>
              <w:t>污水处理站处理</w:t>
            </w:r>
            <w:r>
              <w:rPr>
                <w:rFonts w:hint="eastAsia" w:ascii="Times New Roman" w:hAnsi="Times New Roman" w:cs="Times New Roman"/>
                <w:color w:val="auto"/>
                <w:sz w:val="24"/>
                <w:lang w:eastAsia="zh-CN"/>
              </w:rPr>
              <w:t>后的生活污水</w:t>
            </w:r>
            <w:r>
              <w:rPr>
                <w:rFonts w:hint="default" w:ascii="Times New Roman" w:hAnsi="Times New Roman" w:cs="Times New Roman"/>
                <w:color w:val="auto"/>
                <w:sz w:val="24"/>
              </w:rPr>
              <w:t>，</w:t>
            </w:r>
            <w:r>
              <w:rPr>
                <w:rFonts w:hint="default" w:ascii="Times New Roman" w:hAnsi="Times New Roman" w:cs="Times New Roman"/>
                <w:color w:val="auto"/>
                <w:sz w:val="24"/>
                <w:szCs w:val="24"/>
              </w:rPr>
              <w:t>近期</w:t>
            </w:r>
            <w:r>
              <w:rPr>
                <w:rFonts w:hint="eastAsia" w:ascii="Times New Roman" w:hAnsi="Times New Roman" w:cs="Times New Roman"/>
                <w:color w:val="auto"/>
                <w:sz w:val="24"/>
                <w:szCs w:val="24"/>
                <w:lang w:eastAsia="zh-CN"/>
              </w:rPr>
              <w:t>能</w:t>
            </w:r>
            <w:r>
              <w:rPr>
                <w:rFonts w:hint="default" w:ascii="Times New Roman" w:hAnsi="Times New Roman" w:cs="Times New Roman"/>
                <w:color w:val="auto"/>
                <w:sz w:val="24"/>
                <w:szCs w:val="24"/>
              </w:rPr>
              <w:t>达《城市污水再生利用 城市杂用水质》（GB/T18920-2002）中“</w:t>
            </w:r>
            <w:r>
              <w:rPr>
                <w:rFonts w:hint="eastAsia" w:ascii="Times New Roman" w:hAnsi="Times New Roman" w:cs="Times New Roman"/>
                <w:color w:val="auto"/>
                <w:sz w:val="24"/>
                <w:szCs w:val="24"/>
                <w:lang w:val="en-US" w:eastAsia="zh-CN"/>
              </w:rPr>
              <w:t>城市绿化</w:t>
            </w:r>
            <w:r>
              <w:rPr>
                <w:rFonts w:hint="default" w:ascii="Times New Roman" w:hAnsi="Times New Roman" w:cs="Times New Roman"/>
                <w:color w:val="auto"/>
                <w:sz w:val="24"/>
                <w:szCs w:val="24"/>
              </w:rPr>
              <w:t>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远期在污水管网覆盖项目区域后</w:t>
            </w:r>
            <w:r>
              <w:rPr>
                <w:rFonts w:hint="eastAsia" w:ascii="Times New Roman" w:hAnsi="Times New Roman" w:cs="Times New Roman"/>
                <w:color w:val="auto"/>
                <w:sz w:val="24"/>
                <w:szCs w:val="24"/>
                <w:lang w:eastAsia="zh-CN"/>
              </w:rPr>
              <w:t>能</w:t>
            </w:r>
            <w:r>
              <w:rPr>
                <w:rFonts w:hint="default" w:ascii="Times New Roman" w:hAnsi="Times New Roman" w:cs="Times New Roman"/>
                <w:color w:val="auto"/>
                <w:sz w:val="24"/>
                <w:szCs w:val="24"/>
              </w:rPr>
              <w:t>达</w:t>
            </w:r>
            <w:r>
              <w:rPr>
                <w:rFonts w:hint="default" w:ascii="Times New Roman" w:hAnsi="Times New Roman" w:cs="Times New Roman"/>
                <w:bCs/>
                <w:color w:val="auto"/>
                <w:sz w:val="24"/>
                <w:szCs w:val="24"/>
              </w:rPr>
              <w:t>《污水排入城镇下水道水质标准》（GB/T31962-2015）中的B级标准</w:t>
            </w:r>
            <w:r>
              <w:rPr>
                <w:rFonts w:hint="eastAsia" w:cs="Times New Roman"/>
                <w:bCs/>
                <w:color w:val="auto"/>
                <w:sz w:val="24"/>
                <w:szCs w:val="24"/>
                <w:lang w:eastAsia="zh-CN"/>
              </w:rPr>
              <w:t>。</w:t>
            </w:r>
          </w:p>
          <w:p w14:paraId="709EF971">
            <w:pPr>
              <w:spacing w:line="360" w:lineRule="auto"/>
              <w:ind w:firstLine="424" w:firstLineChars="177"/>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因此</w:t>
            </w:r>
            <w:r>
              <w:rPr>
                <w:rFonts w:hint="default" w:ascii="Times New Roman" w:hAnsi="Times New Roman" w:cs="Times New Roman"/>
                <w:color w:val="auto"/>
                <w:sz w:val="24"/>
                <w:szCs w:val="24"/>
              </w:rPr>
              <w:t>，本项目设置的污水处理站是安全可行的。</w:t>
            </w:r>
          </w:p>
          <w:p w14:paraId="76E7B7FE">
            <w:pPr>
              <w:snapToGrid w:val="0"/>
              <w:spacing w:line="360" w:lineRule="auto"/>
              <w:ind w:firstLine="482" w:firstLineChars="200"/>
              <w:rPr>
                <w:rFonts w:ascii="Times New Roman" w:hAnsi="Times New Roman"/>
                <w:b/>
                <w:bCs/>
                <w:color w:val="auto"/>
              </w:rPr>
            </w:pPr>
            <w:r>
              <w:rPr>
                <w:rFonts w:hint="eastAsia"/>
                <w:b/>
                <w:bCs/>
                <w:color w:val="auto"/>
                <w:lang w:val="en-US" w:eastAsia="zh-CN"/>
              </w:rPr>
              <w:t>⑤事故</w:t>
            </w:r>
            <w:r>
              <w:rPr>
                <w:rFonts w:hint="default" w:ascii="Times New Roman" w:hAnsi="Times New Roman"/>
                <w:b/>
                <w:bCs/>
                <w:color w:val="auto"/>
              </w:rPr>
              <w:t>池</w:t>
            </w:r>
            <w:r>
              <w:rPr>
                <w:rFonts w:hint="eastAsia"/>
                <w:b/>
                <w:bCs/>
                <w:color w:val="auto"/>
                <w:lang w:val="en-US" w:eastAsia="zh-CN"/>
              </w:rPr>
              <w:t>设置</w:t>
            </w:r>
            <w:r>
              <w:rPr>
                <w:rFonts w:ascii="Times New Roman" w:hAnsi="Times New Roman"/>
                <w:b/>
                <w:bCs/>
                <w:color w:val="auto"/>
              </w:rPr>
              <w:t>可行性分析</w:t>
            </w:r>
          </w:p>
          <w:p w14:paraId="2274A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kern w:val="0"/>
                <w:sz w:val="24"/>
                <w:szCs w:val="24"/>
                <w:highlight w:val="none"/>
                <w:lang w:val="en-US" w:eastAsia="zh-CN" w:bidi="ar"/>
              </w:rPr>
              <w:t>本项目在</w:t>
            </w:r>
            <w:r>
              <w:rPr>
                <w:rFonts w:hint="eastAsia" w:ascii="Times New Roman" w:hAnsi="Times New Roman" w:eastAsia="宋体" w:cs="Times New Roman"/>
                <w:color w:val="auto"/>
                <w:kern w:val="0"/>
                <w:sz w:val="24"/>
                <w:szCs w:val="24"/>
                <w:highlight w:val="none"/>
                <w:lang w:val="en-US" w:eastAsia="zh-CN" w:bidi="ar"/>
              </w:rPr>
              <w:t>三级隔油</w:t>
            </w:r>
            <w:r>
              <w:rPr>
                <w:rFonts w:hint="default" w:ascii="Times New Roman" w:hAnsi="Times New Roman" w:eastAsia="宋体" w:cs="Times New Roman"/>
                <w:color w:val="auto"/>
                <w:kern w:val="0"/>
                <w:sz w:val="24"/>
                <w:szCs w:val="24"/>
                <w:highlight w:val="none"/>
                <w:lang w:val="en-US" w:eastAsia="zh-CN" w:bidi="ar"/>
              </w:rPr>
              <w:t>池站旁设置</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座</w:t>
            </w:r>
            <w:r>
              <w:rPr>
                <w:rFonts w:hint="eastAsia" w:ascii="Times New Roman" w:hAnsi="Times New Roman" w:eastAsia="宋体" w:cs="Times New Roman"/>
                <w:color w:val="auto"/>
                <w:kern w:val="0"/>
                <w:sz w:val="24"/>
                <w:szCs w:val="24"/>
                <w:highlight w:val="none"/>
                <w:lang w:val="en-US" w:eastAsia="zh-CN" w:bidi="ar"/>
              </w:rPr>
              <w:t>应急</w:t>
            </w:r>
            <w:r>
              <w:rPr>
                <w:rFonts w:hint="default" w:ascii="Times New Roman" w:hAnsi="Times New Roman" w:eastAsia="宋体" w:cs="Times New Roman"/>
                <w:color w:val="auto"/>
                <w:kern w:val="0"/>
                <w:sz w:val="24"/>
                <w:szCs w:val="24"/>
                <w:highlight w:val="none"/>
                <w:lang w:val="en-US" w:eastAsia="zh-CN" w:bidi="ar"/>
              </w:rPr>
              <w:t>事故池，</w:t>
            </w:r>
            <w:r>
              <w:rPr>
                <w:rFonts w:hint="eastAsia" w:ascii="Times New Roman" w:hAnsi="Times New Roman" w:eastAsia="宋体" w:cs="Times New Roman"/>
                <w:color w:val="auto"/>
                <w:kern w:val="0"/>
                <w:sz w:val="24"/>
                <w:szCs w:val="24"/>
                <w:lang w:val="en-US" w:eastAsia="zh-CN" w:bidi="ar"/>
              </w:rPr>
              <w:t>当</w:t>
            </w:r>
            <w:r>
              <w:rPr>
                <w:rFonts w:hint="eastAsia" w:ascii="Times New Roman" w:hAnsi="Times New Roman" w:eastAsia="宋体" w:cs="Times New Roman"/>
                <w:color w:val="auto"/>
                <w:kern w:val="0"/>
                <w:sz w:val="24"/>
                <w:szCs w:val="24"/>
                <w:highlight w:val="none"/>
                <w:lang w:val="en-US" w:eastAsia="zh-CN" w:bidi="ar"/>
              </w:rPr>
              <w:t>三级隔油</w:t>
            </w:r>
            <w:r>
              <w:rPr>
                <w:rFonts w:hint="default" w:ascii="Times New Roman" w:hAnsi="Times New Roman" w:eastAsia="宋体" w:cs="Times New Roman"/>
                <w:color w:val="auto"/>
                <w:kern w:val="0"/>
                <w:sz w:val="24"/>
                <w:szCs w:val="24"/>
                <w:highlight w:val="none"/>
                <w:lang w:val="en-US" w:eastAsia="zh-CN" w:bidi="ar"/>
              </w:rPr>
              <w:t>池</w:t>
            </w:r>
            <w:r>
              <w:rPr>
                <w:rFonts w:hint="eastAsia" w:cs="Times New Roman"/>
                <w:color w:val="auto"/>
                <w:kern w:val="0"/>
                <w:sz w:val="24"/>
                <w:szCs w:val="24"/>
                <w:highlight w:val="none"/>
                <w:lang w:val="en-US" w:eastAsia="zh-CN" w:bidi="ar"/>
              </w:rPr>
              <w:t>或者污水处理站</w:t>
            </w:r>
            <w:r>
              <w:rPr>
                <w:rFonts w:hint="eastAsia" w:ascii="Times New Roman" w:hAnsi="Times New Roman" w:eastAsia="宋体" w:cs="Times New Roman"/>
                <w:color w:val="auto"/>
                <w:kern w:val="0"/>
                <w:sz w:val="24"/>
                <w:szCs w:val="24"/>
                <w:highlight w:val="none"/>
                <w:lang w:val="en-US" w:eastAsia="zh-CN" w:bidi="ar"/>
              </w:rPr>
              <w:t>运行故障时可将废水排入事故池内。项目</w:t>
            </w:r>
            <w:r>
              <w:rPr>
                <w:rFonts w:hint="eastAsia" w:cs="Times New Roman"/>
                <w:smallCaps w:val="0"/>
                <w:color w:val="auto"/>
                <w:sz w:val="24"/>
                <w:szCs w:val="24"/>
                <w:lang w:val="en-US" w:eastAsia="zh-CN"/>
              </w:rPr>
              <w:t>进入三级隔油沉淀池的最大废水量为26.43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eastAsia="zh-CN"/>
              </w:rPr>
              <w:t>，</w:t>
            </w:r>
            <w:r>
              <w:rPr>
                <w:rFonts w:hint="eastAsia" w:ascii="Times New Roman" w:hAnsi="Times New Roman" w:cs="Times New Roman"/>
                <w:color w:val="auto"/>
                <w:sz w:val="24"/>
                <w:szCs w:val="24"/>
                <w:lang w:eastAsia="zh-CN"/>
              </w:rPr>
              <w:t>进入污水处理站的</w:t>
            </w:r>
            <w:r>
              <w:rPr>
                <w:rFonts w:hint="default" w:ascii="Times New Roman" w:hAnsi="Times New Roman" w:cs="Times New Roman"/>
                <w:color w:val="auto"/>
                <w:sz w:val="24"/>
                <w:szCs w:val="24"/>
              </w:rPr>
              <w:t>废水产生量约为</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kern w:val="0"/>
                <w:sz w:val="24"/>
                <w:szCs w:val="24"/>
                <w:highlight w:val="none"/>
                <w:lang w:val="en-US" w:eastAsia="zh-CN" w:bidi="ar"/>
              </w:rPr>
              <w:t>事故池容积</w:t>
            </w:r>
            <w:r>
              <w:rPr>
                <w:rFonts w:hint="eastAsia" w:ascii="Times New Roman" w:hAnsi="Times New Roman" w:eastAsia="宋体" w:cs="Times New Roman"/>
                <w:color w:val="auto"/>
                <w:kern w:val="0"/>
                <w:sz w:val="24"/>
                <w:szCs w:val="24"/>
                <w:highlight w:val="none"/>
                <w:lang w:val="en-US" w:eastAsia="zh-CN" w:bidi="ar"/>
              </w:rPr>
              <w:t>为</w:t>
            </w:r>
            <w:r>
              <w:rPr>
                <w:rFonts w:hint="eastAsia" w:cs="Times New Roman"/>
                <w:color w:val="auto"/>
                <w:sz w:val="24"/>
                <w:szCs w:val="24"/>
                <w:lang w:val="en-US" w:eastAsia="zh-CN" w:bidi="ar"/>
              </w:rPr>
              <w:t>30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，可</w:t>
            </w:r>
            <w:r>
              <w:rPr>
                <w:rFonts w:hint="default" w:ascii="Times New Roman" w:hAnsi="Times New Roman" w:eastAsia="宋体" w:cs="Times New Roman"/>
                <w:color w:val="auto"/>
                <w:kern w:val="0"/>
                <w:sz w:val="24"/>
                <w:szCs w:val="24"/>
                <w:highlight w:val="none"/>
                <w:lang w:val="en-US" w:eastAsia="zh-CN" w:bidi="ar"/>
              </w:rPr>
              <w:t>保证</w:t>
            </w:r>
            <w:r>
              <w:rPr>
                <w:rFonts w:hint="eastAsia" w:ascii="Times New Roman" w:hAnsi="Times New Roman" w:eastAsia="宋体" w:cs="Times New Roman"/>
                <w:color w:val="auto"/>
                <w:kern w:val="0"/>
                <w:sz w:val="24"/>
                <w:szCs w:val="24"/>
                <w:highlight w:val="none"/>
                <w:lang w:val="en-US" w:eastAsia="zh-CN" w:bidi="ar"/>
              </w:rPr>
              <w:t>容纳24h事故</w:t>
            </w:r>
            <w:r>
              <w:rPr>
                <w:rFonts w:hint="default" w:ascii="Times New Roman" w:hAnsi="Times New Roman" w:eastAsia="宋体" w:cs="Times New Roman"/>
                <w:color w:val="auto"/>
                <w:kern w:val="0"/>
                <w:sz w:val="24"/>
                <w:szCs w:val="24"/>
                <w:highlight w:val="none"/>
                <w:lang w:val="en-US" w:eastAsia="zh-CN" w:bidi="ar"/>
              </w:rPr>
              <w:t>废水</w:t>
            </w:r>
            <w:r>
              <w:rPr>
                <w:rFonts w:hint="eastAsia" w:ascii="Times New Roman" w:hAnsi="Times New Roman" w:eastAsia="宋体" w:cs="Times New Roman"/>
                <w:color w:val="auto"/>
                <w:kern w:val="0"/>
                <w:sz w:val="24"/>
                <w:szCs w:val="24"/>
                <w:highlight w:val="none"/>
                <w:lang w:val="en-US" w:eastAsia="zh-CN" w:bidi="ar"/>
              </w:rPr>
              <w:t>，待三级隔油池</w:t>
            </w:r>
            <w:r>
              <w:rPr>
                <w:rFonts w:hint="eastAsia" w:cs="Times New Roman"/>
                <w:color w:val="auto"/>
                <w:kern w:val="0"/>
                <w:sz w:val="24"/>
                <w:szCs w:val="24"/>
                <w:highlight w:val="none"/>
                <w:lang w:val="en-US" w:eastAsia="zh-CN" w:bidi="ar"/>
              </w:rPr>
              <w:t>或者污水处理站</w:t>
            </w:r>
            <w:r>
              <w:rPr>
                <w:rFonts w:hint="eastAsia" w:ascii="Times New Roman" w:hAnsi="Times New Roman" w:eastAsia="宋体" w:cs="Times New Roman"/>
                <w:color w:val="auto"/>
                <w:kern w:val="0"/>
                <w:sz w:val="24"/>
                <w:szCs w:val="24"/>
                <w:highlight w:val="none"/>
                <w:lang w:val="en-US" w:eastAsia="zh-CN" w:bidi="ar"/>
              </w:rPr>
              <w:t>正常运行后再进一步处理。</w:t>
            </w:r>
          </w:p>
          <w:p w14:paraId="6BCD91B8">
            <w:pPr>
              <w:adjustRightInd w:val="0"/>
              <w:snapToGrid w:val="0"/>
              <w:spacing w:line="360" w:lineRule="auto"/>
              <w:ind w:firstLine="482" w:firstLineChars="200"/>
              <w:rPr>
                <w:rFonts w:ascii="Times New Roman" w:hAnsi="Times New Roman"/>
                <w:color w:val="auto"/>
              </w:rPr>
            </w:pPr>
            <w:r>
              <w:rPr>
                <w:rFonts w:ascii="Times New Roman" w:hAnsi="Times New Roman"/>
                <w:b/>
                <w:bCs/>
                <w:color w:val="auto"/>
              </w:rPr>
              <w:t>（</w:t>
            </w:r>
            <w:r>
              <w:rPr>
                <w:rFonts w:hint="eastAsia"/>
                <w:b/>
                <w:bCs/>
                <w:color w:val="auto"/>
                <w:lang w:val="en-US" w:eastAsia="zh-CN"/>
              </w:rPr>
              <w:t>4</w:t>
            </w:r>
            <w:r>
              <w:rPr>
                <w:rFonts w:ascii="Times New Roman" w:hAnsi="Times New Roman"/>
                <w:b/>
                <w:bCs/>
                <w:color w:val="auto"/>
              </w:rPr>
              <w:t>）地表水环境影响评价结论</w:t>
            </w:r>
          </w:p>
          <w:p w14:paraId="62BB4131">
            <w:pPr>
              <w:adjustRightInd w:val="0"/>
              <w:snapToGrid w:val="0"/>
              <w:spacing w:line="360" w:lineRule="auto"/>
              <w:ind w:firstLine="480" w:firstLineChars="200"/>
              <w:rPr>
                <w:rFonts w:ascii="Times New Roman" w:hAnsi="Times New Roman"/>
                <w:color w:val="auto"/>
              </w:rPr>
            </w:pPr>
            <w:r>
              <w:rPr>
                <w:rFonts w:hint="default" w:ascii="Times New Roman" w:hAnsi="Times New Roman" w:cs="Times New Roman"/>
                <w:color w:val="auto"/>
                <w:sz w:val="24"/>
              </w:rPr>
              <w:t>项目</w:t>
            </w:r>
            <w:r>
              <w:rPr>
                <w:rFonts w:hint="default" w:ascii="Times New Roman" w:hAnsi="Times New Roman" w:eastAsia="宋体" w:cs="Times New Roman"/>
                <w:smallCaps w:val="0"/>
                <w:color w:val="auto"/>
                <w:sz w:val="24"/>
                <w:szCs w:val="24"/>
                <w:lang w:val="en-US" w:eastAsia="zh-CN"/>
              </w:rPr>
              <w:t>地面冲洗废水</w:t>
            </w:r>
            <w:r>
              <w:rPr>
                <w:rFonts w:hint="eastAsia" w:cs="Times New Roman"/>
                <w:smallCaps w:val="0"/>
                <w:color w:val="auto"/>
                <w:sz w:val="24"/>
                <w:szCs w:val="24"/>
                <w:lang w:val="en-US" w:eastAsia="zh-CN"/>
              </w:rPr>
              <w:t>、</w:t>
            </w:r>
            <w:r>
              <w:rPr>
                <w:rFonts w:hint="eastAsia" w:cs="Times New Roman"/>
                <w:color w:val="auto"/>
                <w:sz w:val="24"/>
                <w:szCs w:val="24"/>
                <w:lang w:val="en-US" w:eastAsia="zh-CN"/>
              </w:rPr>
              <w:t>车辆及设备冲洗废水、</w:t>
            </w:r>
            <w:r>
              <w:rPr>
                <w:rFonts w:hint="default" w:ascii="Times New Roman" w:hAnsi="Times New Roman" w:eastAsia="宋体" w:cs="Times New Roman"/>
                <w:smallCaps w:val="0"/>
                <w:color w:val="auto"/>
                <w:sz w:val="24"/>
                <w:szCs w:val="24"/>
                <w:lang w:val="en-US" w:eastAsia="zh-CN"/>
              </w:rPr>
              <w:t>初期雨水</w:t>
            </w:r>
            <w:r>
              <w:rPr>
                <w:rFonts w:hint="eastAsia" w:cs="Times New Roman"/>
                <w:smallCaps w:val="0"/>
                <w:color w:val="auto"/>
                <w:sz w:val="24"/>
                <w:szCs w:val="24"/>
                <w:lang w:val="en-US" w:eastAsia="zh-CN"/>
              </w:rPr>
              <w:t>等废水</w:t>
            </w:r>
            <w:r>
              <w:rPr>
                <w:rFonts w:hint="default" w:ascii="Times New Roman" w:hAnsi="Times New Roman" w:cs="Times New Roman"/>
                <w:color w:val="auto"/>
                <w:sz w:val="24"/>
              </w:rPr>
              <w:t>排入三级隔油沉淀池处</w:t>
            </w:r>
            <w:r>
              <w:rPr>
                <w:rFonts w:hint="default" w:ascii="Times New Roman" w:hAnsi="Times New Roman" w:cs="Times New Roman"/>
                <w:color w:val="auto"/>
                <w:sz w:val="24"/>
                <w:szCs w:val="24"/>
              </w:rPr>
              <w:t>理</w:t>
            </w:r>
            <w:r>
              <w:rPr>
                <w:rFonts w:hint="eastAsia" w:cs="Times New Roman"/>
                <w:color w:val="auto"/>
                <w:sz w:val="24"/>
                <w:szCs w:val="24"/>
                <w:lang w:val="en-US" w:eastAsia="zh-CN"/>
              </w:rPr>
              <w:t>可</w:t>
            </w:r>
            <w:r>
              <w:rPr>
                <w:rFonts w:hint="eastAsia" w:ascii="Times New Roman" w:hAnsi="Times New Roman" w:eastAsia="宋体" w:cs="Times New Roman"/>
                <w:smallCaps w:val="0"/>
                <w:color w:val="auto"/>
                <w:sz w:val="24"/>
                <w:szCs w:val="24"/>
                <w:lang w:val="en-US" w:eastAsia="zh-CN"/>
              </w:rPr>
              <w:t>回</w:t>
            </w:r>
            <w:r>
              <w:rPr>
                <w:rFonts w:hint="default" w:ascii="Times New Roman" w:hAnsi="Times New Roman" w:eastAsia="宋体" w:cs="Times New Roman"/>
                <w:smallCaps w:val="0"/>
                <w:color w:val="auto"/>
                <w:sz w:val="24"/>
                <w:szCs w:val="24"/>
                <w:lang w:val="en-US" w:eastAsia="zh-CN"/>
              </w:rPr>
              <w:t>用于</w:t>
            </w:r>
            <w:r>
              <w:rPr>
                <w:rFonts w:hint="eastAsia" w:ascii="Times New Roman" w:hAnsi="Times New Roman" w:eastAsia="宋体" w:cs="Times New Roman"/>
                <w:smallCaps w:val="0"/>
                <w:color w:val="auto"/>
                <w:sz w:val="24"/>
                <w:szCs w:val="24"/>
                <w:lang w:val="en-US" w:eastAsia="zh-CN"/>
              </w:rPr>
              <w:t>厂区地面</w:t>
            </w:r>
            <w:r>
              <w:rPr>
                <w:rFonts w:hint="default" w:ascii="Times New Roman" w:hAnsi="Times New Roman" w:eastAsia="宋体" w:cs="Times New Roman"/>
                <w:smallCaps w:val="0"/>
                <w:color w:val="auto"/>
                <w:sz w:val="24"/>
                <w:szCs w:val="24"/>
                <w:lang w:val="en-US" w:eastAsia="zh-CN"/>
              </w:rPr>
              <w:t>冲洗</w:t>
            </w:r>
            <w:r>
              <w:rPr>
                <w:rFonts w:hint="eastAsia" w:ascii="Times New Roman" w:hAnsi="Times New Roman" w:eastAsia="宋体" w:cs="Times New Roman"/>
                <w:smallCaps w:val="0"/>
                <w:color w:val="auto"/>
                <w:sz w:val="24"/>
                <w:szCs w:val="24"/>
                <w:lang w:val="en-US" w:eastAsia="zh-CN"/>
              </w:rPr>
              <w:t>及洒水降尘</w:t>
            </w:r>
            <w:r>
              <w:rPr>
                <w:rFonts w:hint="eastAsia" w:cs="Times New Roman"/>
                <w:smallCaps w:val="0"/>
                <w:color w:val="auto"/>
                <w:sz w:val="24"/>
                <w:szCs w:val="24"/>
                <w:lang w:val="en-US" w:eastAsia="zh-CN"/>
              </w:rPr>
              <w:t>，生产废水全部回用不外排。</w:t>
            </w:r>
            <w:r>
              <w:rPr>
                <w:rFonts w:ascii="Times New Roman" w:hAnsi="Times New Roman"/>
                <w:color w:val="auto"/>
              </w:rPr>
              <w:t>生活污水中的食堂废水经隔油池预处理后，</w:t>
            </w:r>
            <w:r>
              <w:rPr>
                <w:rFonts w:hint="eastAsia"/>
                <w:color w:val="auto"/>
                <w:lang w:eastAsia="zh-CN"/>
              </w:rPr>
              <w:t>与其他</w:t>
            </w:r>
            <w:r>
              <w:rPr>
                <w:rFonts w:ascii="Times New Roman" w:hAnsi="Times New Roman"/>
                <w:color w:val="auto"/>
              </w:rPr>
              <w:t>生活污水一起进入化粪池</w:t>
            </w:r>
            <w:r>
              <w:rPr>
                <w:rFonts w:hint="eastAsia"/>
                <w:color w:val="auto"/>
                <w:lang w:eastAsia="zh-CN"/>
              </w:rPr>
              <w:t>及污水处理</w:t>
            </w:r>
            <w:r>
              <w:rPr>
                <w:rFonts w:hint="eastAsia"/>
                <w:color w:val="auto"/>
                <w:sz w:val="24"/>
                <w:szCs w:val="24"/>
                <w:lang w:eastAsia="zh-CN"/>
              </w:rPr>
              <w:t>站</w:t>
            </w:r>
            <w:r>
              <w:rPr>
                <w:rFonts w:ascii="Times New Roman" w:hAnsi="Times New Roman"/>
                <w:color w:val="auto"/>
                <w:sz w:val="24"/>
                <w:szCs w:val="24"/>
              </w:rPr>
              <w:t>处理</w:t>
            </w:r>
            <w:r>
              <w:rPr>
                <w:rFonts w:hint="eastAsia"/>
                <w:color w:val="auto"/>
                <w:sz w:val="24"/>
                <w:szCs w:val="24"/>
                <w:lang w:eastAsia="zh-CN"/>
              </w:rPr>
              <w:t>，</w:t>
            </w:r>
            <w:r>
              <w:rPr>
                <w:rFonts w:hint="default" w:ascii="Times New Roman" w:hAnsi="Times New Roman" w:eastAsia="宋体" w:cs="Times New Roman"/>
                <w:color w:val="auto"/>
                <w:sz w:val="24"/>
                <w:szCs w:val="24"/>
                <w:lang w:val="en-US" w:eastAsia="zh-CN"/>
              </w:rPr>
              <w:t>近期</w:t>
            </w:r>
            <w:r>
              <w:rPr>
                <w:rFonts w:hint="eastAsia" w:ascii="Times New Roman" w:hAnsi="Times New Roman" w:eastAsia="宋体" w:cs="Times New Roman"/>
                <w:color w:val="auto"/>
                <w:sz w:val="24"/>
                <w:szCs w:val="24"/>
                <w:lang w:val="en-US" w:eastAsia="zh-CN"/>
              </w:rPr>
              <w:t>回用于厂区绿化，</w:t>
            </w:r>
            <w:r>
              <w:rPr>
                <w:rFonts w:hint="default" w:ascii="Times New Roman" w:hAnsi="Times New Roman" w:eastAsia="宋体" w:cs="Times New Roman"/>
                <w:color w:val="auto"/>
                <w:sz w:val="24"/>
                <w:szCs w:val="24"/>
                <w:lang w:val="en-US" w:eastAsia="zh-CN"/>
              </w:rPr>
              <w:t>远期进入帕底工业园区污水处理厂</w:t>
            </w:r>
            <w:r>
              <w:rPr>
                <w:rFonts w:ascii="Times New Roman" w:hAnsi="Times New Roman"/>
                <w:color w:val="auto"/>
                <w:sz w:val="24"/>
                <w:szCs w:val="24"/>
              </w:rPr>
              <w:t>。</w:t>
            </w:r>
            <w:r>
              <w:rPr>
                <w:rFonts w:ascii="Times New Roman" w:hAnsi="Times New Roman"/>
                <w:color w:val="auto"/>
              </w:rPr>
              <w:t>对周围地表水环境影响小。</w:t>
            </w:r>
          </w:p>
          <w:p w14:paraId="25F7B860">
            <w:pPr>
              <w:adjustRightInd w:val="0"/>
              <w:snapToGrid w:val="0"/>
              <w:spacing w:line="360" w:lineRule="auto"/>
              <w:ind w:left="0" w:leftChars="0" w:firstLine="0" w:firstLineChars="0"/>
              <w:jc w:val="left"/>
              <w:rPr>
                <w:rFonts w:ascii="Times New Roman" w:hAnsi="Times New Roman"/>
                <w:b/>
                <w:bCs/>
                <w:color w:val="auto"/>
              </w:rPr>
            </w:pPr>
            <w:r>
              <w:rPr>
                <w:rFonts w:hint="eastAsia"/>
                <w:b/>
                <w:bCs/>
                <w:color w:val="auto"/>
                <w:highlight w:val="none"/>
                <w:lang w:val="en-US" w:eastAsia="zh-CN"/>
              </w:rPr>
              <w:t>（三）噪声</w:t>
            </w:r>
          </w:p>
          <w:p w14:paraId="446A8F41">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（1）项目噪声源强的确定</w:t>
            </w:r>
          </w:p>
          <w:p w14:paraId="754D41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建设项目产生的噪声的设备主要是皮带输送机、干燥滚筒、风机、提升机、搅拌主机、空压机、水泵和运输车辆，</w:t>
            </w:r>
            <w:r>
              <w:rPr>
                <w:rFonts w:hint="eastAsia" w:ascii="Times New Roman" w:hAnsi="Times New Roman" w:eastAsia="宋体"/>
                <w:b w:val="0"/>
                <w:bCs w:val="0"/>
                <w:color w:val="auto"/>
                <w:sz w:val="24"/>
                <w:szCs w:val="22"/>
              </w:rPr>
              <w:t>强度为</w:t>
            </w:r>
            <w:r>
              <w:rPr>
                <w:rFonts w:hint="eastAsia" w:ascii="Times New Roman" w:hAnsi="Times New Roman" w:eastAsia="宋体"/>
                <w:b w:val="0"/>
                <w:bCs w:val="0"/>
                <w:color w:val="auto"/>
                <w:sz w:val="24"/>
                <w:szCs w:val="22"/>
                <w:lang w:val="en-US" w:eastAsia="zh-CN"/>
              </w:rPr>
              <w:t>70</w:t>
            </w:r>
            <w:r>
              <w:rPr>
                <w:rFonts w:hint="eastAsia" w:ascii="Times New Roman" w:hAnsi="Times New Roman" w:eastAsia="宋体"/>
                <w:b w:val="0"/>
                <w:bCs w:val="0"/>
                <w:color w:val="auto"/>
                <w:sz w:val="24"/>
                <w:szCs w:val="22"/>
              </w:rPr>
              <w:t>～8</w:t>
            </w:r>
            <w:r>
              <w:rPr>
                <w:rFonts w:hint="eastAsia" w:ascii="Times New Roman" w:hAnsi="Times New Roman" w:eastAsia="宋体"/>
                <w:b w:val="0"/>
                <w:bCs w:val="0"/>
                <w:color w:val="auto"/>
                <w:sz w:val="24"/>
                <w:szCs w:val="22"/>
                <w:lang w:val="en-US" w:eastAsia="zh-CN"/>
              </w:rPr>
              <w:t>5</w:t>
            </w:r>
            <w:r>
              <w:rPr>
                <w:rFonts w:hint="eastAsia" w:ascii="Times New Roman" w:hAnsi="Times New Roman" w:eastAsia="宋体"/>
                <w:b w:val="0"/>
                <w:bCs w:val="0"/>
                <w:color w:val="auto"/>
                <w:sz w:val="24"/>
                <w:szCs w:val="22"/>
              </w:rPr>
              <w:t>dB(A)</w:t>
            </w:r>
            <w:r>
              <w:rPr>
                <w:rFonts w:hint="eastAsia" w:ascii="Times New Roman" w:hAnsi="Times New Roman" w:eastAsia="宋体"/>
                <w:b w:val="0"/>
                <w:bCs w:val="0"/>
                <w:color w:val="auto"/>
                <w:sz w:val="24"/>
                <w:szCs w:val="22"/>
                <w:lang w:eastAsia="zh-CN"/>
              </w:rPr>
              <w:t>。固定的噪声源主要是</w:t>
            </w:r>
            <w:r>
              <w:rPr>
                <w:rFonts w:hint="eastAsia" w:ascii="Times New Roman" w:hAnsi="Times New Roman" w:eastAsia="宋体" w:cs="Times New Roman"/>
                <w:color w:val="auto"/>
                <w:kern w:val="0"/>
                <w:sz w:val="24"/>
                <w:szCs w:val="24"/>
                <w:lang w:val="en-US" w:eastAsia="zh-CN" w:bidi="ar"/>
              </w:rPr>
              <w:t>皮带输送机、干燥滚筒、风机、提升机、搅拌主机、空压机和水泵，项目噪声污染源源强核算及相关参数见表4-</w:t>
            </w:r>
            <w:r>
              <w:rPr>
                <w:rFonts w:hint="eastAsia" w:cs="Times New Roman"/>
                <w:color w:val="auto"/>
                <w:kern w:val="0"/>
                <w:sz w:val="24"/>
                <w:szCs w:val="24"/>
                <w:lang w:val="en-US" w:eastAsia="zh-CN" w:bidi="ar"/>
              </w:rPr>
              <w:t>3</w:t>
            </w:r>
            <w:r>
              <w:rPr>
                <w:rFonts w:hint="eastAsia" w:ascii="Times New Roman" w:hAnsi="Times New Roman" w:eastAsia="宋体" w:cs="Times New Roman"/>
                <w:color w:val="auto"/>
                <w:kern w:val="0"/>
                <w:sz w:val="24"/>
                <w:szCs w:val="24"/>
                <w:lang w:val="en-US" w:eastAsia="zh-CN" w:bidi="ar"/>
              </w:rPr>
              <w:t>。</w:t>
            </w:r>
          </w:p>
          <w:p w14:paraId="1FE77AF8">
            <w:pPr>
              <w:numPr>
                <w:ilvl w:val="0"/>
                <w:numId w:val="0"/>
              </w:num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项目</w:t>
            </w:r>
            <w:r>
              <w:rPr>
                <w:rFonts w:hint="eastAsia" w:ascii="Times New Roman" w:hAnsi="Times New Roman" w:eastAsia="宋体" w:cs="Times New Roman"/>
                <w:b/>
                <w:bCs/>
                <w:color w:val="auto"/>
                <w:sz w:val="21"/>
                <w:szCs w:val="21"/>
                <w:highlight w:val="none"/>
                <w:lang w:val="en-US" w:eastAsia="zh-CN"/>
              </w:rPr>
              <w:t>室内</w:t>
            </w:r>
            <w:r>
              <w:rPr>
                <w:rFonts w:hint="default" w:ascii="Times New Roman" w:hAnsi="Times New Roman" w:eastAsia="宋体" w:cs="Times New Roman"/>
                <w:b/>
                <w:bCs/>
                <w:color w:val="auto"/>
                <w:sz w:val="21"/>
                <w:szCs w:val="21"/>
                <w:highlight w:val="none"/>
                <w:lang w:val="en-US" w:eastAsia="zh-CN"/>
              </w:rPr>
              <w:t>主要噪声源一览表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32"/>
              <w:gridCol w:w="387"/>
              <w:gridCol w:w="480"/>
              <w:gridCol w:w="480"/>
              <w:gridCol w:w="435"/>
              <w:gridCol w:w="930"/>
              <w:gridCol w:w="795"/>
              <w:gridCol w:w="390"/>
              <w:gridCol w:w="675"/>
              <w:gridCol w:w="720"/>
              <w:gridCol w:w="405"/>
              <w:gridCol w:w="510"/>
              <w:gridCol w:w="735"/>
              <w:gridCol w:w="335"/>
            </w:tblGrid>
            <w:tr w14:paraId="39D2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18" w:type="pct"/>
                  <w:vMerge w:val="restart"/>
                  <w:shd w:val="clear" w:color="auto" w:fill="F0F0F0"/>
                  <w:noWrap/>
                  <w:vAlign w:val="center"/>
                </w:tcPr>
                <w:p w14:paraId="27FB0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序号</w:t>
                  </w:r>
                </w:p>
              </w:tc>
              <w:tc>
                <w:tcPr>
                  <w:tcW w:w="254" w:type="pct"/>
                  <w:vMerge w:val="restart"/>
                  <w:shd w:val="clear" w:color="auto" w:fill="F0F0F0"/>
                  <w:noWrap/>
                  <w:vAlign w:val="center"/>
                </w:tcPr>
                <w:p w14:paraId="4576BB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建筑物名称</w:t>
                  </w:r>
                </w:p>
              </w:tc>
              <w:tc>
                <w:tcPr>
                  <w:tcW w:w="315" w:type="pct"/>
                  <w:vMerge w:val="restart"/>
                  <w:shd w:val="clear" w:color="auto" w:fill="F0F0F0"/>
                  <w:noWrap/>
                  <w:vAlign w:val="center"/>
                </w:tcPr>
                <w:p w14:paraId="2AD4D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声源名称</w:t>
                  </w:r>
                </w:p>
              </w:tc>
              <w:tc>
                <w:tcPr>
                  <w:tcW w:w="315" w:type="pct"/>
                  <w:vMerge w:val="restart"/>
                  <w:shd w:val="clear" w:color="auto" w:fill="F0F0F0"/>
                  <w:noWrap/>
                  <w:vAlign w:val="center"/>
                </w:tcPr>
                <w:p w14:paraId="2BB991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声功率级</w:t>
                  </w:r>
                  <w:r>
                    <w:rPr>
                      <w:rFonts w:hint="default" w:ascii="Times New Roman" w:hAnsi="Times New Roman" w:eastAsia="宋体" w:cs="Times New Roman"/>
                      <w:i w:val="0"/>
                      <w:iCs w:val="0"/>
                      <w:color w:val="000000"/>
                      <w:kern w:val="0"/>
                      <w:sz w:val="18"/>
                      <w:szCs w:val="18"/>
                      <w:u w:val="none"/>
                      <w:lang w:val="en-US" w:eastAsia="zh-CN" w:bidi="ar"/>
                    </w:rPr>
                    <w:br w:type="textWrapping"/>
                  </w:r>
                  <w:r>
                    <w:rPr>
                      <w:rFonts w:hint="default" w:ascii="Times New Roman" w:hAnsi="Times New Roman" w:eastAsia="宋体" w:cs="Times New Roman"/>
                      <w:i w:val="0"/>
                      <w:iCs w:val="0"/>
                      <w:color w:val="000000"/>
                      <w:kern w:val="0"/>
                      <w:sz w:val="18"/>
                      <w:szCs w:val="18"/>
                      <w:u w:val="none"/>
                      <w:lang w:val="en-US" w:eastAsia="zh-CN" w:bidi="ar"/>
                    </w:rPr>
                    <w:t>dB(A</w:t>
                  </w:r>
                </w:p>
              </w:tc>
              <w:tc>
                <w:tcPr>
                  <w:tcW w:w="285" w:type="pct"/>
                  <w:vMerge w:val="restart"/>
                  <w:shd w:val="clear" w:color="auto" w:fill="F0F0F0"/>
                  <w:noWrap/>
                  <w:vAlign w:val="center"/>
                </w:tcPr>
                <w:p w14:paraId="5D1D32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声源控制措施</w:t>
                  </w:r>
                </w:p>
              </w:tc>
              <w:tc>
                <w:tcPr>
                  <w:tcW w:w="1389" w:type="pct"/>
                  <w:gridSpan w:val="3"/>
                  <w:shd w:val="clear" w:color="auto" w:fill="F0F0F0"/>
                  <w:noWrap/>
                  <w:vAlign w:val="center"/>
                </w:tcPr>
                <w:p w14:paraId="73647D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空间相对位置/m</w:t>
                  </w:r>
                </w:p>
              </w:tc>
              <w:tc>
                <w:tcPr>
                  <w:tcW w:w="443" w:type="pct"/>
                  <w:vMerge w:val="restart"/>
                  <w:shd w:val="clear" w:color="auto" w:fill="F0F0F0"/>
                  <w:noWrap/>
                  <w:vAlign w:val="center"/>
                </w:tcPr>
                <w:p w14:paraId="0D199D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距室内边界距离m</w:t>
                  </w:r>
                </w:p>
              </w:tc>
              <w:tc>
                <w:tcPr>
                  <w:tcW w:w="473" w:type="pct"/>
                  <w:vMerge w:val="restart"/>
                  <w:shd w:val="clear" w:color="auto" w:fill="F0F0F0"/>
                  <w:noWrap/>
                  <w:vAlign w:val="center"/>
                </w:tcPr>
                <w:p w14:paraId="51C565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室内边界声级dB(A)</w:t>
                  </w:r>
                </w:p>
              </w:tc>
              <w:tc>
                <w:tcPr>
                  <w:tcW w:w="266" w:type="pct"/>
                  <w:vMerge w:val="restart"/>
                  <w:shd w:val="clear" w:color="auto" w:fill="F0F0F0"/>
                  <w:noWrap/>
                  <w:vAlign w:val="center"/>
                </w:tcPr>
                <w:p w14:paraId="78DCBA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运行时段</w:t>
                  </w:r>
                </w:p>
              </w:tc>
              <w:tc>
                <w:tcPr>
                  <w:tcW w:w="335" w:type="pct"/>
                  <w:vMerge w:val="restart"/>
                  <w:shd w:val="clear" w:color="auto" w:fill="F0F0F0"/>
                  <w:noWrap/>
                  <w:vAlign w:val="center"/>
                </w:tcPr>
                <w:p w14:paraId="14680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建筑插入损失dB(A)</w:t>
                  </w:r>
                </w:p>
              </w:tc>
              <w:tc>
                <w:tcPr>
                  <w:tcW w:w="703" w:type="pct"/>
                  <w:gridSpan w:val="2"/>
                  <w:shd w:val="clear" w:color="auto" w:fill="F0F0F0"/>
                  <w:noWrap/>
                  <w:vAlign w:val="center"/>
                </w:tcPr>
                <w:p w14:paraId="04D6A1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建筑物外噪声</w:t>
                  </w:r>
                </w:p>
              </w:tc>
            </w:tr>
            <w:tr w14:paraId="0674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8" w:type="pct"/>
                  <w:vMerge w:val="continue"/>
                  <w:shd w:val="clear" w:color="auto" w:fill="F0F0F0"/>
                  <w:noWrap/>
                  <w:vAlign w:val="center"/>
                </w:tcPr>
                <w:p w14:paraId="268659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0F0F0"/>
                  <w:noWrap/>
                  <w:vAlign w:val="center"/>
                </w:tcPr>
                <w:p w14:paraId="2B6D82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0F0F0"/>
                  <w:noWrap/>
                  <w:vAlign w:val="center"/>
                </w:tcPr>
                <w:p w14:paraId="3896E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0F0F0"/>
                  <w:vAlign w:val="center"/>
                </w:tcPr>
                <w:p w14:paraId="3F9CEF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85" w:type="pct"/>
                  <w:vMerge w:val="continue"/>
                  <w:shd w:val="clear" w:color="auto" w:fill="F0F0F0"/>
                  <w:noWrap/>
                  <w:vAlign w:val="center"/>
                </w:tcPr>
                <w:p w14:paraId="136F1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0F0F0"/>
                  <w:noWrap/>
                  <w:vAlign w:val="center"/>
                </w:tcPr>
                <w:p w14:paraId="1903C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X</w:t>
                  </w:r>
                </w:p>
              </w:tc>
              <w:tc>
                <w:tcPr>
                  <w:tcW w:w="522" w:type="pct"/>
                  <w:shd w:val="clear" w:color="auto" w:fill="F0F0F0"/>
                  <w:noWrap/>
                  <w:vAlign w:val="center"/>
                </w:tcPr>
                <w:p w14:paraId="5CCC5D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w:t>
                  </w:r>
                </w:p>
              </w:tc>
              <w:tc>
                <w:tcPr>
                  <w:tcW w:w="256" w:type="pct"/>
                  <w:shd w:val="clear" w:color="auto" w:fill="F0F0F0"/>
                  <w:noWrap/>
                  <w:vAlign w:val="center"/>
                </w:tcPr>
                <w:p w14:paraId="3094C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w:t>
                  </w:r>
                </w:p>
              </w:tc>
              <w:tc>
                <w:tcPr>
                  <w:tcW w:w="443" w:type="pct"/>
                  <w:vMerge w:val="continue"/>
                  <w:shd w:val="clear" w:color="auto" w:fill="F0F0F0"/>
                  <w:noWrap/>
                  <w:vAlign w:val="center"/>
                </w:tcPr>
                <w:p w14:paraId="0577CE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73" w:type="pct"/>
                  <w:vMerge w:val="continue"/>
                  <w:shd w:val="clear" w:color="auto" w:fill="F0F0F0"/>
                  <w:noWrap/>
                  <w:vAlign w:val="center"/>
                </w:tcPr>
                <w:p w14:paraId="1746F7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266" w:type="pct"/>
                  <w:vMerge w:val="continue"/>
                  <w:shd w:val="clear" w:color="auto" w:fill="F0F0F0"/>
                  <w:noWrap/>
                  <w:vAlign w:val="center"/>
                </w:tcPr>
                <w:p w14:paraId="6B1AA4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335" w:type="pct"/>
                  <w:vMerge w:val="continue"/>
                  <w:shd w:val="clear" w:color="auto" w:fill="F0F0F0"/>
                  <w:noWrap/>
                  <w:vAlign w:val="center"/>
                </w:tcPr>
                <w:p w14:paraId="1A3498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482" w:type="pct"/>
                  <w:shd w:val="clear" w:color="auto" w:fill="F0F0F0"/>
                  <w:noWrap/>
                  <w:vAlign w:val="center"/>
                </w:tcPr>
                <w:p w14:paraId="4A020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声压级dB(A)</w:t>
                  </w:r>
                </w:p>
              </w:tc>
              <w:tc>
                <w:tcPr>
                  <w:tcW w:w="220" w:type="pct"/>
                  <w:shd w:val="clear" w:color="auto" w:fill="F0F0F0"/>
                  <w:noWrap/>
                  <w:vAlign w:val="center"/>
                </w:tcPr>
                <w:p w14:paraId="568FB4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建筑外距离</w:t>
                  </w:r>
                </w:p>
              </w:tc>
            </w:tr>
            <w:tr w14:paraId="315F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6A23D7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w:t>
                  </w:r>
                </w:p>
              </w:tc>
              <w:tc>
                <w:tcPr>
                  <w:tcW w:w="254" w:type="pct"/>
                  <w:vMerge w:val="restart"/>
                  <w:shd w:val="clear" w:color="auto" w:fill="FFFFFF"/>
                  <w:noWrap/>
                  <w:vAlign w:val="center"/>
                </w:tcPr>
                <w:p w14:paraId="50A1FE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导热炉钢架棚</w:t>
                  </w:r>
                </w:p>
              </w:tc>
              <w:tc>
                <w:tcPr>
                  <w:tcW w:w="315" w:type="pct"/>
                  <w:vMerge w:val="restart"/>
                  <w:shd w:val="clear" w:color="auto" w:fill="FFFFFF"/>
                  <w:noWrap/>
                  <w:vAlign w:val="center"/>
                </w:tcPr>
                <w:p w14:paraId="6807C2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风机4</w:t>
                  </w:r>
                </w:p>
              </w:tc>
              <w:tc>
                <w:tcPr>
                  <w:tcW w:w="315" w:type="pct"/>
                  <w:shd w:val="clear" w:color="auto" w:fill="FFFFFF"/>
                  <w:noWrap/>
                  <w:vAlign w:val="center"/>
                </w:tcPr>
                <w:p w14:paraId="6A8A17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restart"/>
                  <w:shd w:val="clear" w:color="auto" w:fill="FFFFFF"/>
                  <w:noWrap/>
                  <w:vAlign w:val="center"/>
                </w:tcPr>
                <w:p w14:paraId="5B086A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减震垫及建筑隔声</w:t>
                  </w:r>
                </w:p>
              </w:tc>
              <w:tc>
                <w:tcPr>
                  <w:tcW w:w="611" w:type="pct"/>
                  <w:shd w:val="clear" w:color="auto" w:fill="FFFFFF"/>
                  <w:noWrap/>
                  <w:vAlign w:val="center"/>
                </w:tcPr>
                <w:p w14:paraId="00203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115.68</w:t>
                  </w:r>
                </w:p>
              </w:tc>
              <w:tc>
                <w:tcPr>
                  <w:tcW w:w="522" w:type="pct"/>
                  <w:shd w:val="clear" w:color="auto" w:fill="FFFFFF"/>
                  <w:noWrap/>
                  <w:vAlign w:val="center"/>
                </w:tcPr>
                <w:p w14:paraId="02E30D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173.66</w:t>
                  </w:r>
                </w:p>
              </w:tc>
              <w:tc>
                <w:tcPr>
                  <w:tcW w:w="256" w:type="pct"/>
                  <w:shd w:val="clear" w:color="auto" w:fill="FFFFFF"/>
                  <w:noWrap/>
                  <w:vAlign w:val="center"/>
                </w:tcPr>
                <w:p w14:paraId="78FCC8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2DBA60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4.54</w:t>
                  </w:r>
                </w:p>
              </w:tc>
              <w:tc>
                <w:tcPr>
                  <w:tcW w:w="473" w:type="pct"/>
                  <w:shd w:val="clear" w:color="auto" w:fill="FFFFFF"/>
                  <w:noWrap/>
                  <w:vAlign w:val="center"/>
                </w:tcPr>
                <w:p w14:paraId="4B8CD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77.64</w:t>
                  </w:r>
                </w:p>
              </w:tc>
              <w:tc>
                <w:tcPr>
                  <w:tcW w:w="266" w:type="pct"/>
                  <w:vMerge w:val="restart"/>
                  <w:shd w:val="clear" w:color="auto" w:fill="FFFFFF"/>
                  <w:noWrap/>
                  <w:vAlign w:val="center"/>
                </w:tcPr>
                <w:p w14:paraId="72A82F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昼间</w:t>
                  </w:r>
                </w:p>
                <w:p w14:paraId="7FEC9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40CF5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28F5A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56.64</w:t>
                  </w:r>
                </w:p>
              </w:tc>
              <w:tc>
                <w:tcPr>
                  <w:tcW w:w="220" w:type="pct"/>
                  <w:shd w:val="clear" w:color="auto" w:fill="FFFFFF"/>
                  <w:noWrap/>
                  <w:vAlign w:val="center"/>
                </w:tcPr>
                <w:p w14:paraId="6EDE2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053E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55603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76632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2419B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5B9E69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7EB0A8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49CB66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115.68</w:t>
                  </w:r>
                </w:p>
              </w:tc>
              <w:tc>
                <w:tcPr>
                  <w:tcW w:w="522" w:type="pct"/>
                  <w:shd w:val="clear" w:color="auto" w:fill="auto"/>
                  <w:noWrap/>
                  <w:vAlign w:val="center"/>
                </w:tcPr>
                <w:p w14:paraId="757CA4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173.66</w:t>
                  </w:r>
                </w:p>
              </w:tc>
              <w:tc>
                <w:tcPr>
                  <w:tcW w:w="256" w:type="pct"/>
                  <w:shd w:val="clear" w:color="auto" w:fill="auto"/>
                  <w:noWrap/>
                  <w:vAlign w:val="center"/>
                </w:tcPr>
                <w:p w14:paraId="5FA2B3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39E745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4.59</w:t>
                  </w:r>
                </w:p>
              </w:tc>
              <w:tc>
                <w:tcPr>
                  <w:tcW w:w="473" w:type="pct"/>
                  <w:shd w:val="clear" w:color="auto" w:fill="auto"/>
                  <w:noWrap/>
                  <w:vAlign w:val="center"/>
                </w:tcPr>
                <w:p w14:paraId="08A47E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77.64</w:t>
                  </w:r>
                </w:p>
              </w:tc>
              <w:tc>
                <w:tcPr>
                  <w:tcW w:w="266" w:type="pct"/>
                  <w:vMerge w:val="continue"/>
                  <w:shd w:val="clear" w:color="auto" w:fill="auto"/>
                  <w:noWrap/>
                  <w:vAlign w:val="center"/>
                </w:tcPr>
                <w:p w14:paraId="3445A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663AE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01178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56.64</w:t>
                  </w:r>
                </w:p>
              </w:tc>
              <w:tc>
                <w:tcPr>
                  <w:tcW w:w="220" w:type="pct"/>
                  <w:shd w:val="clear" w:color="auto" w:fill="auto"/>
                  <w:noWrap/>
                  <w:vAlign w:val="center"/>
                </w:tcPr>
                <w:p w14:paraId="04964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3C4E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6A4FA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294E62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341AE9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1B2CF1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01FC5B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29A3C7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115.68</w:t>
                  </w:r>
                </w:p>
              </w:tc>
              <w:tc>
                <w:tcPr>
                  <w:tcW w:w="522" w:type="pct"/>
                  <w:shd w:val="clear" w:color="auto" w:fill="FFFFFF"/>
                  <w:noWrap/>
                  <w:vAlign w:val="center"/>
                </w:tcPr>
                <w:p w14:paraId="4535E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173.66</w:t>
                  </w:r>
                </w:p>
              </w:tc>
              <w:tc>
                <w:tcPr>
                  <w:tcW w:w="256" w:type="pct"/>
                  <w:shd w:val="clear" w:color="auto" w:fill="FFFFFF"/>
                  <w:noWrap/>
                  <w:vAlign w:val="center"/>
                </w:tcPr>
                <w:p w14:paraId="2751B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7D3A56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4.46</w:t>
                  </w:r>
                </w:p>
              </w:tc>
              <w:tc>
                <w:tcPr>
                  <w:tcW w:w="473" w:type="pct"/>
                  <w:shd w:val="clear" w:color="auto" w:fill="FFFFFF"/>
                  <w:noWrap/>
                  <w:vAlign w:val="center"/>
                </w:tcPr>
                <w:p w14:paraId="1D3F0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77.64</w:t>
                  </w:r>
                </w:p>
              </w:tc>
              <w:tc>
                <w:tcPr>
                  <w:tcW w:w="266" w:type="pct"/>
                  <w:vMerge w:val="continue"/>
                  <w:shd w:val="clear" w:color="auto" w:fill="FFFFFF"/>
                  <w:noWrap/>
                  <w:vAlign w:val="center"/>
                </w:tcPr>
                <w:p w14:paraId="2DCD30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756B3A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30A424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56.64</w:t>
                  </w:r>
                </w:p>
              </w:tc>
              <w:tc>
                <w:tcPr>
                  <w:tcW w:w="220" w:type="pct"/>
                  <w:shd w:val="clear" w:color="auto" w:fill="FFFFFF"/>
                  <w:noWrap/>
                  <w:vAlign w:val="center"/>
                </w:tcPr>
                <w:p w14:paraId="7AC2F8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444B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18" w:type="pct"/>
                  <w:vMerge w:val="continue"/>
                  <w:shd w:val="clear" w:color="auto" w:fill="auto"/>
                  <w:noWrap/>
                  <w:vAlign w:val="center"/>
                </w:tcPr>
                <w:p w14:paraId="3E25D3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32D86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004D5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233C15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6EDABA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0AD4CD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115.68</w:t>
                  </w:r>
                </w:p>
              </w:tc>
              <w:tc>
                <w:tcPr>
                  <w:tcW w:w="522" w:type="pct"/>
                  <w:shd w:val="clear" w:color="auto" w:fill="auto"/>
                  <w:noWrap/>
                  <w:vAlign w:val="center"/>
                </w:tcPr>
                <w:p w14:paraId="75CD2B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173.66</w:t>
                  </w:r>
                </w:p>
              </w:tc>
              <w:tc>
                <w:tcPr>
                  <w:tcW w:w="256" w:type="pct"/>
                  <w:shd w:val="clear" w:color="auto" w:fill="auto"/>
                  <w:noWrap/>
                  <w:vAlign w:val="center"/>
                </w:tcPr>
                <w:p w14:paraId="6E749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4DB96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4.05</w:t>
                  </w:r>
                </w:p>
              </w:tc>
              <w:tc>
                <w:tcPr>
                  <w:tcW w:w="473" w:type="pct"/>
                  <w:shd w:val="clear" w:color="auto" w:fill="auto"/>
                  <w:noWrap/>
                  <w:vAlign w:val="center"/>
                </w:tcPr>
                <w:p w14:paraId="148DB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77.65</w:t>
                  </w:r>
                </w:p>
              </w:tc>
              <w:tc>
                <w:tcPr>
                  <w:tcW w:w="266" w:type="pct"/>
                  <w:vMerge w:val="continue"/>
                  <w:shd w:val="clear" w:color="auto" w:fill="auto"/>
                  <w:noWrap/>
                  <w:vAlign w:val="center"/>
                </w:tcPr>
                <w:p w14:paraId="7DF94C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30483E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22EC7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56.65</w:t>
                  </w:r>
                </w:p>
              </w:tc>
              <w:tc>
                <w:tcPr>
                  <w:tcW w:w="220" w:type="pct"/>
                  <w:shd w:val="clear" w:color="auto" w:fill="auto"/>
                  <w:noWrap/>
                  <w:vAlign w:val="center"/>
                </w:tcPr>
                <w:p w14:paraId="7F63F3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4DDE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7FC4A5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2</w:t>
                  </w:r>
                </w:p>
              </w:tc>
              <w:tc>
                <w:tcPr>
                  <w:tcW w:w="254" w:type="pct"/>
                  <w:vMerge w:val="restart"/>
                  <w:shd w:val="clear" w:color="auto" w:fill="FFFFFF"/>
                  <w:noWrap/>
                  <w:vAlign w:val="center"/>
                </w:tcPr>
                <w:p w14:paraId="007DEE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搅拌楼</w:t>
                  </w:r>
                </w:p>
                <w:p w14:paraId="4CCE24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restart"/>
                  <w:shd w:val="clear" w:color="auto" w:fill="FFFFFF"/>
                  <w:noWrap/>
                  <w:vAlign w:val="center"/>
                </w:tcPr>
                <w:p w14:paraId="3AC71B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干燥滚筒1</w:t>
                  </w:r>
                </w:p>
              </w:tc>
              <w:tc>
                <w:tcPr>
                  <w:tcW w:w="315" w:type="pct"/>
                  <w:shd w:val="clear" w:color="auto" w:fill="FFFFFF"/>
                  <w:noWrap/>
                  <w:vAlign w:val="center"/>
                </w:tcPr>
                <w:p w14:paraId="111BE3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FFFFFF"/>
                  <w:noWrap/>
                  <w:vAlign w:val="center"/>
                </w:tcPr>
                <w:p w14:paraId="098994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1839B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79.7</w:t>
                  </w:r>
                </w:p>
              </w:tc>
              <w:tc>
                <w:tcPr>
                  <w:tcW w:w="522" w:type="pct"/>
                  <w:shd w:val="clear" w:color="auto" w:fill="FFFFFF"/>
                  <w:noWrap/>
                  <w:vAlign w:val="center"/>
                </w:tcPr>
                <w:p w14:paraId="02F35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155.93</w:t>
                  </w:r>
                </w:p>
              </w:tc>
              <w:tc>
                <w:tcPr>
                  <w:tcW w:w="256" w:type="pct"/>
                  <w:shd w:val="clear" w:color="auto" w:fill="FFFFFF"/>
                  <w:noWrap/>
                  <w:vAlign w:val="center"/>
                </w:tcPr>
                <w:p w14:paraId="4ABD82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25BD52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16.02</w:t>
                  </w:r>
                </w:p>
              </w:tc>
              <w:tc>
                <w:tcPr>
                  <w:tcW w:w="473" w:type="pct"/>
                  <w:shd w:val="clear" w:color="auto" w:fill="FFFFFF"/>
                  <w:noWrap/>
                  <w:vAlign w:val="center"/>
                </w:tcPr>
                <w:p w14:paraId="75874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63.27</w:t>
                  </w:r>
                </w:p>
              </w:tc>
              <w:tc>
                <w:tcPr>
                  <w:tcW w:w="266" w:type="pct"/>
                  <w:vMerge w:val="continue"/>
                  <w:shd w:val="clear" w:color="auto" w:fill="FFFFFF"/>
                  <w:noWrap/>
                  <w:vAlign w:val="center"/>
                </w:tcPr>
                <w:p w14:paraId="0B4665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39C27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167EB8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42.27</w:t>
                  </w:r>
                </w:p>
              </w:tc>
              <w:tc>
                <w:tcPr>
                  <w:tcW w:w="220" w:type="pct"/>
                  <w:shd w:val="clear" w:color="auto" w:fill="FFFFFF"/>
                  <w:noWrap/>
                  <w:vAlign w:val="center"/>
                </w:tcPr>
                <w:p w14:paraId="66CD47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4D04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157194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4568D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21C10A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330F20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auto"/>
                  <w:noWrap/>
                  <w:vAlign w:val="center"/>
                </w:tcPr>
                <w:p w14:paraId="5E7583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0FF813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79.7</w:t>
                  </w:r>
                </w:p>
              </w:tc>
              <w:tc>
                <w:tcPr>
                  <w:tcW w:w="522" w:type="pct"/>
                  <w:shd w:val="clear" w:color="auto" w:fill="auto"/>
                  <w:noWrap/>
                  <w:vAlign w:val="center"/>
                </w:tcPr>
                <w:p w14:paraId="70F8C2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155.93</w:t>
                  </w:r>
                </w:p>
              </w:tc>
              <w:tc>
                <w:tcPr>
                  <w:tcW w:w="256" w:type="pct"/>
                  <w:shd w:val="clear" w:color="auto" w:fill="auto"/>
                  <w:noWrap/>
                  <w:vAlign w:val="center"/>
                </w:tcPr>
                <w:p w14:paraId="2A3CBB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46CA2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13.39</w:t>
                  </w:r>
                </w:p>
              </w:tc>
              <w:tc>
                <w:tcPr>
                  <w:tcW w:w="473" w:type="pct"/>
                  <w:shd w:val="clear" w:color="auto" w:fill="auto"/>
                  <w:noWrap/>
                  <w:vAlign w:val="center"/>
                </w:tcPr>
                <w:p w14:paraId="223B1A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63.28</w:t>
                  </w:r>
                </w:p>
              </w:tc>
              <w:tc>
                <w:tcPr>
                  <w:tcW w:w="266" w:type="pct"/>
                  <w:vMerge w:val="continue"/>
                  <w:shd w:val="clear" w:color="auto" w:fill="auto"/>
                  <w:noWrap/>
                  <w:vAlign w:val="center"/>
                </w:tcPr>
                <w:p w14:paraId="12F9A3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7E6723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272A9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42.28</w:t>
                  </w:r>
                </w:p>
              </w:tc>
              <w:tc>
                <w:tcPr>
                  <w:tcW w:w="220" w:type="pct"/>
                  <w:shd w:val="clear" w:color="auto" w:fill="auto"/>
                  <w:noWrap/>
                  <w:vAlign w:val="center"/>
                </w:tcPr>
                <w:p w14:paraId="363B48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3EF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01A1C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2E58BF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027948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2D3B9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FFFFFF"/>
                  <w:noWrap/>
                  <w:vAlign w:val="center"/>
                </w:tcPr>
                <w:p w14:paraId="569DFE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055ABF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79.7</w:t>
                  </w:r>
                </w:p>
              </w:tc>
              <w:tc>
                <w:tcPr>
                  <w:tcW w:w="522" w:type="pct"/>
                  <w:shd w:val="clear" w:color="auto" w:fill="FFFFFF"/>
                  <w:noWrap/>
                  <w:vAlign w:val="center"/>
                </w:tcPr>
                <w:p w14:paraId="3DF05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155.93</w:t>
                  </w:r>
                </w:p>
              </w:tc>
              <w:tc>
                <w:tcPr>
                  <w:tcW w:w="256" w:type="pct"/>
                  <w:shd w:val="clear" w:color="auto" w:fill="FFFFFF"/>
                  <w:noWrap/>
                  <w:vAlign w:val="center"/>
                </w:tcPr>
                <w:p w14:paraId="617D54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7558A1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32.62</w:t>
                  </w:r>
                </w:p>
              </w:tc>
              <w:tc>
                <w:tcPr>
                  <w:tcW w:w="473" w:type="pct"/>
                  <w:shd w:val="clear" w:color="auto" w:fill="FFFFFF"/>
                  <w:noWrap/>
                  <w:vAlign w:val="center"/>
                </w:tcPr>
                <w:p w14:paraId="51ACB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63.26</w:t>
                  </w:r>
                </w:p>
              </w:tc>
              <w:tc>
                <w:tcPr>
                  <w:tcW w:w="266" w:type="pct"/>
                  <w:vMerge w:val="continue"/>
                  <w:shd w:val="clear" w:color="auto" w:fill="FFFFFF"/>
                  <w:noWrap/>
                  <w:vAlign w:val="center"/>
                </w:tcPr>
                <w:p w14:paraId="388A05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2E08D5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57F3AE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42.26</w:t>
                  </w:r>
                </w:p>
              </w:tc>
              <w:tc>
                <w:tcPr>
                  <w:tcW w:w="220" w:type="pct"/>
                  <w:shd w:val="clear" w:color="auto" w:fill="FFFFFF"/>
                  <w:noWrap/>
                  <w:vAlign w:val="center"/>
                </w:tcPr>
                <w:p w14:paraId="4443D4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52A1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8" w:type="pct"/>
                  <w:vMerge w:val="continue"/>
                  <w:shd w:val="clear" w:color="auto" w:fill="auto"/>
                  <w:noWrap/>
                  <w:vAlign w:val="center"/>
                </w:tcPr>
                <w:p w14:paraId="475ECE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46F12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416740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0D649B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auto"/>
                  <w:noWrap/>
                  <w:vAlign w:val="center"/>
                </w:tcPr>
                <w:p w14:paraId="3A4D4B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3C55D7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79.7</w:t>
                  </w:r>
                </w:p>
              </w:tc>
              <w:tc>
                <w:tcPr>
                  <w:tcW w:w="522" w:type="pct"/>
                  <w:shd w:val="clear" w:color="auto" w:fill="auto"/>
                  <w:noWrap/>
                  <w:vAlign w:val="center"/>
                </w:tcPr>
                <w:p w14:paraId="4E28AE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155.93</w:t>
                  </w:r>
                </w:p>
              </w:tc>
              <w:tc>
                <w:tcPr>
                  <w:tcW w:w="256" w:type="pct"/>
                  <w:shd w:val="clear" w:color="auto" w:fill="auto"/>
                  <w:noWrap/>
                  <w:vAlign w:val="center"/>
                </w:tcPr>
                <w:p w14:paraId="001B54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25A5FF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21.85</w:t>
                  </w:r>
                </w:p>
              </w:tc>
              <w:tc>
                <w:tcPr>
                  <w:tcW w:w="473" w:type="pct"/>
                  <w:shd w:val="clear" w:color="auto" w:fill="auto"/>
                  <w:noWrap/>
                  <w:vAlign w:val="center"/>
                </w:tcPr>
                <w:p w14:paraId="0CE957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63.27</w:t>
                  </w:r>
                </w:p>
              </w:tc>
              <w:tc>
                <w:tcPr>
                  <w:tcW w:w="266" w:type="pct"/>
                  <w:vMerge w:val="continue"/>
                  <w:shd w:val="clear" w:color="auto" w:fill="auto"/>
                  <w:noWrap/>
                  <w:vAlign w:val="center"/>
                </w:tcPr>
                <w:p w14:paraId="213E5C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6EA834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17E32A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42.27</w:t>
                  </w:r>
                </w:p>
              </w:tc>
              <w:tc>
                <w:tcPr>
                  <w:tcW w:w="220" w:type="pct"/>
                  <w:shd w:val="clear" w:color="auto" w:fill="auto"/>
                  <w:noWrap/>
                  <w:vAlign w:val="center"/>
                </w:tcPr>
                <w:p w14:paraId="1A0000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38A9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7F8BFE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3</w:t>
                  </w:r>
                </w:p>
              </w:tc>
              <w:tc>
                <w:tcPr>
                  <w:tcW w:w="254" w:type="pct"/>
                  <w:vMerge w:val="restart"/>
                  <w:shd w:val="clear" w:color="auto" w:fill="FFFFFF"/>
                  <w:noWrap/>
                  <w:vAlign w:val="center"/>
                </w:tcPr>
                <w:p w14:paraId="168541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搅拌楼</w:t>
                  </w:r>
                </w:p>
                <w:p w14:paraId="5BAB94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restart"/>
                  <w:shd w:val="clear" w:color="auto" w:fill="FFFFFF"/>
                  <w:noWrap/>
                  <w:vAlign w:val="center"/>
                </w:tcPr>
                <w:p w14:paraId="6F8D98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干燥滚筒2</w:t>
                  </w:r>
                </w:p>
              </w:tc>
              <w:tc>
                <w:tcPr>
                  <w:tcW w:w="315" w:type="pct"/>
                  <w:shd w:val="clear" w:color="auto" w:fill="FFFFFF"/>
                  <w:noWrap/>
                  <w:vAlign w:val="center"/>
                </w:tcPr>
                <w:p w14:paraId="041309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FFFFFF"/>
                  <w:noWrap/>
                  <w:vAlign w:val="center"/>
                </w:tcPr>
                <w:p w14:paraId="52F068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6B0490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104.73</w:t>
                  </w:r>
                </w:p>
              </w:tc>
              <w:tc>
                <w:tcPr>
                  <w:tcW w:w="522" w:type="pct"/>
                  <w:shd w:val="clear" w:color="auto" w:fill="FFFFFF"/>
                  <w:noWrap/>
                  <w:vAlign w:val="center"/>
                </w:tcPr>
                <w:p w14:paraId="5A11E3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170.79</w:t>
                  </w:r>
                </w:p>
              </w:tc>
              <w:tc>
                <w:tcPr>
                  <w:tcW w:w="256" w:type="pct"/>
                  <w:shd w:val="clear" w:color="auto" w:fill="FFFFFF"/>
                  <w:noWrap/>
                  <w:vAlign w:val="center"/>
                </w:tcPr>
                <w:p w14:paraId="09AB3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08903E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44.11</w:t>
                  </w:r>
                </w:p>
              </w:tc>
              <w:tc>
                <w:tcPr>
                  <w:tcW w:w="473" w:type="pct"/>
                  <w:shd w:val="clear" w:color="auto" w:fill="FFFFFF"/>
                  <w:noWrap/>
                  <w:vAlign w:val="center"/>
                </w:tcPr>
                <w:p w14:paraId="35C5EC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63.26</w:t>
                  </w:r>
                </w:p>
              </w:tc>
              <w:tc>
                <w:tcPr>
                  <w:tcW w:w="266" w:type="pct"/>
                  <w:vMerge w:val="continue"/>
                  <w:shd w:val="clear" w:color="auto" w:fill="FFFFFF"/>
                  <w:noWrap/>
                  <w:vAlign w:val="center"/>
                </w:tcPr>
                <w:p w14:paraId="6EECB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0FB39D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54B31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42.26</w:t>
                  </w:r>
                </w:p>
              </w:tc>
              <w:tc>
                <w:tcPr>
                  <w:tcW w:w="220" w:type="pct"/>
                  <w:shd w:val="clear" w:color="auto" w:fill="FFFFFF"/>
                  <w:noWrap/>
                  <w:vAlign w:val="center"/>
                </w:tcPr>
                <w:p w14:paraId="3A5B2F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52C1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176E0D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5A219E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5476E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7C822E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auto"/>
                  <w:noWrap/>
                  <w:vAlign w:val="center"/>
                </w:tcPr>
                <w:p w14:paraId="047144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05A536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104.73</w:t>
                  </w:r>
                </w:p>
              </w:tc>
              <w:tc>
                <w:tcPr>
                  <w:tcW w:w="522" w:type="pct"/>
                  <w:shd w:val="clear" w:color="auto" w:fill="auto"/>
                  <w:noWrap/>
                  <w:vAlign w:val="center"/>
                </w:tcPr>
                <w:p w14:paraId="10DE51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170.79</w:t>
                  </w:r>
                </w:p>
              </w:tc>
              <w:tc>
                <w:tcPr>
                  <w:tcW w:w="256" w:type="pct"/>
                  <w:shd w:val="clear" w:color="auto" w:fill="auto"/>
                  <w:noWrap/>
                  <w:vAlign w:val="center"/>
                </w:tcPr>
                <w:p w14:paraId="2CF152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7E2A5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19.12</w:t>
                  </w:r>
                </w:p>
              </w:tc>
              <w:tc>
                <w:tcPr>
                  <w:tcW w:w="473" w:type="pct"/>
                  <w:shd w:val="clear" w:color="auto" w:fill="auto"/>
                  <w:noWrap/>
                  <w:vAlign w:val="center"/>
                </w:tcPr>
                <w:p w14:paraId="7DBC9F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63.27</w:t>
                  </w:r>
                </w:p>
              </w:tc>
              <w:tc>
                <w:tcPr>
                  <w:tcW w:w="266" w:type="pct"/>
                  <w:vMerge w:val="continue"/>
                  <w:shd w:val="clear" w:color="auto" w:fill="auto"/>
                  <w:noWrap/>
                  <w:vAlign w:val="center"/>
                </w:tcPr>
                <w:p w14:paraId="44058E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09E00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6274F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42.27</w:t>
                  </w:r>
                </w:p>
              </w:tc>
              <w:tc>
                <w:tcPr>
                  <w:tcW w:w="220" w:type="pct"/>
                  <w:shd w:val="clear" w:color="auto" w:fill="auto"/>
                  <w:noWrap/>
                  <w:vAlign w:val="center"/>
                </w:tcPr>
                <w:p w14:paraId="2235F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8F4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08464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75C2FF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520340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0DFE6F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FFFFFF"/>
                  <w:noWrap/>
                  <w:vAlign w:val="center"/>
                </w:tcPr>
                <w:p w14:paraId="7EA068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512D4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104.73</w:t>
                  </w:r>
                </w:p>
              </w:tc>
              <w:tc>
                <w:tcPr>
                  <w:tcW w:w="522" w:type="pct"/>
                  <w:shd w:val="clear" w:color="auto" w:fill="FFFFFF"/>
                  <w:noWrap/>
                  <w:vAlign w:val="center"/>
                </w:tcPr>
                <w:p w14:paraId="163F5C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170.79</w:t>
                  </w:r>
                </w:p>
              </w:tc>
              <w:tc>
                <w:tcPr>
                  <w:tcW w:w="256" w:type="pct"/>
                  <w:shd w:val="clear" w:color="auto" w:fill="FFFFFF"/>
                  <w:noWrap/>
                  <w:vAlign w:val="center"/>
                </w:tcPr>
                <w:p w14:paraId="5BBDA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0973C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473" w:type="pct"/>
                  <w:shd w:val="clear" w:color="auto" w:fill="FFFFFF"/>
                  <w:noWrap/>
                  <w:vAlign w:val="center"/>
                </w:tcPr>
                <w:p w14:paraId="0BE79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63.60</w:t>
                  </w:r>
                </w:p>
              </w:tc>
              <w:tc>
                <w:tcPr>
                  <w:tcW w:w="266" w:type="pct"/>
                  <w:vMerge w:val="continue"/>
                  <w:shd w:val="clear" w:color="auto" w:fill="FFFFFF"/>
                  <w:noWrap/>
                  <w:vAlign w:val="center"/>
                </w:tcPr>
                <w:p w14:paraId="48542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6F980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1666A0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42.60</w:t>
                  </w:r>
                </w:p>
              </w:tc>
              <w:tc>
                <w:tcPr>
                  <w:tcW w:w="220" w:type="pct"/>
                  <w:shd w:val="clear" w:color="auto" w:fill="FFFFFF"/>
                  <w:noWrap/>
                  <w:vAlign w:val="center"/>
                </w:tcPr>
                <w:p w14:paraId="6554C9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0C98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8" w:type="pct"/>
                  <w:vMerge w:val="continue"/>
                  <w:shd w:val="clear" w:color="auto" w:fill="auto"/>
                  <w:noWrap/>
                  <w:vAlign w:val="center"/>
                </w:tcPr>
                <w:p w14:paraId="4AC98B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387D55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0F9398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3C33F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auto"/>
                  <w:noWrap/>
                  <w:vAlign w:val="center"/>
                </w:tcPr>
                <w:p w14:paraId="666A31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6EC608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104.73</w:t>
                  </w:r>
                </w:p>
              </w:tc>
              <w:tc>
                <w:tcPr>
                  <w:tcW w:w="522" w:type="pct"/>
                  <w:shd w:val="clear" w:color="auto" w:fill="auto"/>
                  <w:noWrap/>
                  <w:vAlign w:val="center"/>
                </w:tcPr>
                <w:p w14:paraId="445B7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170.79</w:t>
                  </w:r>
                </w:p>
              </w:tc>
              <w:tc>
                <w:tcPr>
                  <w:tcW w:w="256" w:type="pct"/>
                  <w:shd w:val="clear" w:color="auto" w:fill="auto"/>
                  <w:noWrap/>
                  <w:vAlign w:val="center"/>
                </w:tcPr>
                <w:p w14:paraId="77601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46F4C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16.58</w:t>
                  </w:r>
                </w:p>
              </w:tc>
              <w:tc>
                <w:tcPr>
                  <w:tcW w:w="473" w:type="pct"/>
                  <w:shd w:val="clear" w:color="auto" w:fill="auto"/>
                  <w:noWrap/>
                  <w:vAlign w:val="center"/>
                </w:tcPr>
                <w:p w14:paraId="42BAE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63.27</w:t>
                  </w:r>
                </w:p>
              </w:tc>
              <w:tc>
                <w:tcPr>
                  <w:tcW w:w="266" w:type="pct"/>
                  <w:vMerge w:val="continue"/>
                  <w:shd w:val="clear" w:color="auto" w:fill="auto"/>
                  <w:noWrap/>
                  <w:vAlign w:val="center"/>
                </w:tcPr>
                <w:p w14:paraId="117B2A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0E51B1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3001A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42.27</w:t>
                  </w:r>
                </w:p>
              </w:tc>
              <w:tc>
                <w:tcPr>
                  <w:tcW w:w="220" w:type="pct"/>
                  <w:shd w:val="clear" w:color="auto" w:fill="auto"/>
                  <w:noWrap/>
                  <w:vAlign w:val="center"/>
                </w:tcPr>
                <w:p w14:paraId="60D1E6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E6B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67642D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4</w:t>
                  </w:r>
                </w:p>
              </w:tc>
              <w:tc>
                <w:tcPr>
                  <w:tcW w:w="254" w:type="pct"/>
                  <w:vMerge w:val="restart"/>
                  <w:shd w:val="clear" w:color="auto" w:fill="FFFFFF"/>
                  <w:noWrap/>
                  <w:vAlign w:val="center"/>
                </w:tcPr>
                <w:p w14:paraId="57CFD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234BA3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提升机1</w:t>
                  </w:r>
                </w:p>
              </w:tc>
              <w:tc>
                <w:tcPr>
                  <w:tcW w:w="315" w:type="pct"/>
                  <w:shd w:val="clear" w:color="auto" w:fill="FFFFFF"/>
                  <w:noWrap/>
                  <w:vAlign w:val="center"/>
                </w:tcPr>
                <w:p w14:paraId="2E3B09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FFFFFF"/>
                  <w:noWrap/>
                  <w:vAlign w:val="center"/>
                </w:tcPr>
                <w:p w14:paraId="1FFDCE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421F60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76.83</w:t>
                  </w:r>
                </w:p>
              </w:tc>
              <w:tc>
                <w:tcPr>
                  <w:tcW w:w="522" w:type="pct"/>
                  <w:shd w:val="clear" w:color="auto" w:fill="FFFFFF"/>
                  <w:noWrap/>
                  <w:vAlign w:val="center"/>
                </w:tcPr>
                <w:p w14:paraId="37E184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148.89</w:t>
                  </w:r>
                </w:p>
              </w:tc>
              <w:tc>
                <w:tcPr>
                  <w:tcW w:w="256" w:type="pct"/>
                  <w:shd w:val="clear" w:color="auto" w:fill="FFFFFF"/>
                  <w:noWrap/>
                  <w:vAlign w:val="center"/>
                </w:tcPr>
                <w:p w14:paraId="0217B3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4AE6C6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11.37</w:t>
                  </w:r>
                </w:p>
              </w:tc>
              <w:tc>
                <w:tcPr>
                  <w:tcW w:w="473" w:type="pct"/>
                  <w:shd w:val="clear" w:color="auto" w:fill="FFFFFF"/>
                  <w:noWrap/>
                  <w:vAlign w:val="center"/>
                </w:tcPr>
                <w:p w14:paraId="1CD4F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63.29</w:t>
                  </w:r>
                </w:p>
              </w:tc>
              <w:tc>
                <w:tcPr>
                  <w:tcW w:w="266" w:type="pct"/>
                  <w:vMerge w:val="continue"/>
                  <w:shd w:val="clear" w:color="auto" w:fill="FFFFFF"/>
                  <w:noWrap/>
                  <w:vAlign w:val="center"/>
                </w:tcPr>
                <w:p w14:paraId="061DB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51204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1161A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42.29</w:t>
                  </w:r>
                </w:p>
              </w:tc>
              <w:tc>
                <w:tcPr>
                  <w:tcW w:w="220" w:type="pct"/>
                  <w:shd w:val="clear" w:color="auto" w:fill="FFFFFF"/>
                  <w:noWrap/>
                  <w:vAlign w:val="center"/>
                </w:tcPr>
                <w:p w14:paraId="48DA39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5CFD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7BE923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46FC3D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014CBF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04C40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auto"/>
                  <w:noWrap/>
                  <w:vAlign w:val="center"/>
                </w:tcPr>
                <w:p w14:paraId="77902B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0B3E3A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76.83</w:t>
                  </w:r>
                </w:p>
              </w:tc>
              <w:tc>
                <w:tcPr>
                  <w:tcW w:w="522" w:type="pct"/>
                  <w:shd w:val="clear" w:color="auto" w:fill="auto"/>
                  <w:noWrap/>
                  <w:vAlign w:val="center"/>
                </w:tcPr>
                <w:p w14:paraId="7D58F1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148.89</w:t>
                  </w:r>
                </w:p>
              </w:tc>
              <w:tc>
                <w:tcPr>
                  <w:tcW w:w="256" w:type="pct"/>
                  <w:shd w:val="clear" w:color="auto" w:fill="auto"/>
                  <w:noWrap/>
                  <w:vAlign w:val="center"/>
                </w:tcPr>
                <w:p w14:paraId="66126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065B15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7.70</w:t>
                  </w:r>
                </w:p>
              </w:tc>
              <w:tc>
                <w:tcPr>
                  <w:tcW w:w="473" w:type="pct"/>
                  <w:shd w:val="clear" w:color="auto" w:fill="auto"/>
                  <w:noWrap/>
                  <w:vAlign w:val="center"/>
                </w:tcPr>
                <w:p w14:paraId="25E7DB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63.34</w:t>
                  </w:r>
                </w:p>
              </w:tc>
              <w:tc>
                <w:tcPr>
                  <w:tcW w:w="266" w:type="pct"/>
                  <w:vMerge w:val="continue"/>
                  <w:shd w:val="clear" w:color="auto" w:fill="auto"/>
                  <w:noWrap/>
                  <w:vAlign w:val="center"/>
                </w:tcPr>
                <w:p w14:paraId="5468EA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52F09D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7FF943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42.34</w:t>
                  </w:r>
                </w:p>
              </w:tc>
              <w:tc>
                <w:tcPr>
                  <w:tcW w:w="220" w:type="pct"/>
                  <w:shd w:val="clear" w:color="auto" w:fill="auto"/>
                  <w:noWrap/>
                  <w:vAlign w:val="center"/>
                </w:tcPr>
                <w:p w14:paraId="0EED96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1B7D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29ACC7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0022A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45ABB9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6B4EB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FFFFFF"/>
                  <w:noWrap/>
                  <w:vAlign w:val="center"/>
                </w:tcPr>
                <w:p w14:paraId="12F777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4B6077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76.83</w:t>
                  </w:r>
                </w:p>
              </w:tc>
              <w:tc>
                <w:tcPr>
                  <w:tcW w:w="522" w:type="pct"/>
                  <w:shd w:val="clear" w:color="auto" w:fill="FFFFFF"/>
                  <w:noWrap/>
                  <w:vAlign w:val="center"/>
                </w:tcPr>
                <w:p w14:paraId="695E31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148.89</w:t>
                  </w:r>
                </w:p>
              </w:tc>
              <w:tc>
                <w:tcPr>
                  <w:tcW w:w="256" w:type="pct"/>
                  <w:shd w:val="clear" w:color="auto" w:fill="FFFFFF"/>
                  <w:noWrap/>
                  <w:vAlign w:val="center"/>
                </w:tcPr>
                <w:p w14:paraId="04CC4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3CFC8F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37.97</w:t>
                  </w:r>
                </w:p>
              </w:tc>
              <w:tc>
                <w:tcPr>
                  <w:tcW w:w="473" w:type="pct"/>
                  <w:shd w:val="clear" w:color="auto" w:fill="FFFFFF"/>
                  <w:noWrap/>
                  <w:vAlign w:val="center"/>
                </w:tcPr>
                <w:p w14:paraId="7CC66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63.26</w:t>
                  </w:r>
                </w:p>
              </w:tc>
              <w:tc>
                <w:tcPr>
                  <w:tcW w:w="266" w:type="pct"/>
                  <w:vMerge w:val="continue"/>
                  <w:shd w:val="clear" w:color="auto" w:fill="FFFFFF"/>
                  <w:noWrap/>
                  <w:vAlign w:val="center"/>
                </w:tcPr>
                <w:p w14:paraId="3B253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0F296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72005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42.26</w:t>
                  </w:r>
                </w:p>
              </w:tc>
              <w:tc>
                <w:tcPr>
                  <w:tcW w:w="220" w:type="pct"/>
                  <w:shd w:val="clear" w:color="auto" w:fill="FFFFFF"/>
                  <w:noWrap/>
                  <w:vAlign w:val="center"/>
                </w:tcPr>
                <w:p w14:paraId="201E9F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5B46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2DC5B1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609E9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3FEA7E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5ADB23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auto"/>
                  <w:noWrap/>
                  <w:vAlign w:val="center"/>
                </w:tcPr>
                <w:p w14:paraId="2B024C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29B71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76.83</w:t>
                  </w:r>
                </w:p>
              </w:tc>
              <w:tc>
                <w:tcPr>
                  <w:tcW w:w="522" w:type="pct"/>
                  <w:shd w:val="clear" w:color="auto" w:fill="auto"/>
                  <w:noWrap/>
                  <w:vAlign w:val="center"/>
                </w:tcPr>
                <w:p w14:paraId="4084E8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148.89</w:t>
                  </w:r>
                </w:p>
              </w:tc>
              <w:tc>
                <w:tcPr>
                  <w:tcW w:w="256" w:type="pct"/>
                  <w:shd w:val="clear" w:color="auto" w:fill="auto"/>
                  <w:noWrap/>
                  <w:vAlign w:val="center"/>
                </w:tcPr>
                <w:p w14:paraId="1CFFED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5915B0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27.46</w:t>
                  </w:r>
                </w:p>
              </w:tc>
              <w:tc>
                <w:tcPr>
                  <w:tcW w:w="473" w:type="pct"/>
                  <w:shd w:val="clear" w:color="auto" w:fill="auto"/>
                  <w:noWrap/>
                  <w:vAlign w:val="center"/>
                </w:tcPr>
                <w:p w14:paraId="44AF09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63.26</w:t>
                  </w:r>
                </w:p>
              </w:tc>
              <w:tc>
                <w:tcPr>
                  <w:tcW w:w="266" w:type="pct"/>
                  <w:vMerge w:val="continue"/>
                  <w:shd w:val="clear" w:color="auto" w:fill="auto"/>
                  <w:noWrap/>
                  <w:vAlign w:val="center"/>
                </w:tcPr>
                <w:p w14:paraId="3723C6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2AA28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3B246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42.26</w:t>
                  </w:r>
                </w:p>
              </w:tc>
              <w:tc>
                <w:tcPr>
                  <w:tcW w:w="220" w:type="pct"/>
                  <w:shd w:val="clear" w:color="auto" w:fill="auto"/>
                  <w:noWrap/>
                  <w:vAlign w:val="center"/>
                </w:tcPr>
                <w:p w14:paraId="53949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6ED3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3A9AEA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5</w:t>
                  </w:r>
                </w:p>
              </w:tc>
              <w:tc>
                <w:tcPr>
                  <w:tcW w:w="254" w:type="pct"/>
                  <w:vMerge w:val="restart"/>
                  <w:shd w:val="clear" w:color="auto" w:fill="FFFFFF"/>
                  <w:noWrap/>
                  <w:vAlign w:val="center"/>
                </w:tcPr>
                <w:p w14:paraId="1DF982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742A7A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提升机2</w:t>
                  </w:r>
                </w:p>
              </w:tc>
              <w:tc>
                <w:tcPr>
                  <w:tcW w:w="315" w:type="pct"/>
                  <w:shd w:val="clear" w:color="auto" w:fill="FFFFFF"/>
                  <w:noWrap/>
                  <w:vAlign w:val="center"/>
                </w:tcPr>
                <w:p w14:paraId="30B9D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FFFFFF"/>
                  <w:noWrap/>
                  <w:vAlign w:val="center"/>
                </w:tcPr>
                <w:p w14:paraId="012242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10697F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92.73</w:t>
                  </w:r>
                </w:p>
              </w:tc>
              <w:tc>
                <w:tcPr>
                  <w:tcW w:w="522" w:type="pct"/>
                  <w:shd w:val="clear" w:color="auto" w:fill="FFFFFF"/>
                  <w:noWrap/>
                  <w:vAlign w:val="center"/>
                </w:tcPr>
                <w:p w14:paraId="5A53E1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172.1</w:t>
                  </w:r>
                </w:p>
              </w:tc>
              <w:tc>
                <w:tcPr>
                  <w:tcW w:w="256" w:type="pct"/>
                  <w:shd w:val="clear" w:color="auto" w:fill="FFFFFF"/>
                  <w:noWrap/>
                  <w:vAlign w:val="center"/>
                </w:tcPr>
                <w:p w14:paraId="59CDAA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06C90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32.90</w:t>
                  </w:r>
                </w:p>
              </w:tc>
              <w:tc>
                <w:tcPr>
                  <w:tcW w:w="473" w:type="pct"/>
                  <w:shd w:val="clear" w:color="auto" w:fill="FFFFFF"/>
                  <w:noWrap/>
                  <w:vAlign w:val="center"/>
                </w:tcPr>
                <w:p w14:paraId="66701A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63.26</w:t>
                  </w:r>
                </w:p>
              </w:tc>
              <w:tc>
                <w:tcPr>
                  <w:tcW w:w="266" w:type="pct"/>
                  <w:vMerge w:val="continue"/>
                  <w:shd w:val="clear" w:color="auto" w:fill="FFFFFF"/>
                  <w:noWrap/>
                  <w:vAlign w:val="center"/>
                </w:tcPr>
                <w:p w14:paraId="6C2D82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6DBE24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69CC40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42.26</w:t>
                  </w:r>
                </w:p>
              </w:tc>
              <w:tc>
                <w:tcPr>
                  <w:tcW w:w="220" w:type="pct"/>
                  <w:shd w:val="clear" w:color="auto" w:fill="FFFFFF"/>
                  <w:noWrap/>
                  <w:vAlign w:val="center"/>
                </w:tcPr>
                <w:p w14:paraId="1E51E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C9A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6BF65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45D0B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65A7AB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23BF56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auto"/>
                  <w:noWrap/>
                  <w:vAlign w:val="center"/>
                </w:tcPr>
                <w:p w14:paraId="54E17C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4ECA56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92.73</w:t>
                  </w:r>
                </w:p>
              </w:tc>
              <w:tc>
                <w:tcPr>
                  <w:tcW w:w="522" w:type="pct"/>
                  <w:shd w:val="clear" w:color="auto" w:fill="auto"/>
                  <w:noWrap/>
                  <w:vAlign w:val="center"/>
                </w:tcPr>
                <w:p w14:paraId="1D969A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172.1</w:t>
                  </w:r>
                </w:p>
              </w:tc>
              <w:tc>
                <w:tcPr>
                  <w:tcW w:w="256" w:type="pct"/>
                  <w:shd w:val="clear" w:color="auto" w:fill="auto"/>
                  <w:noWrap/>
                  <w:vAlign w:val="center"/>
                </w:tcPr>
                <w:p w14:paraId="1422C3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0AEEF0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24.33</w:t>
                  </w:r>
                </w:p>
              </w:tc>
              <w:tc>
                <w:tcPr>
                  <w:tcW w:w="473" w:type="pct"/>
                  <w:shd w:val="clear" w:color="auto" w:fill="auto"/>
                  <w:noWrap/>
                  <w:vAlign w:val="center"/>
                </w:tcPr>
                <w:p w14:paraId="4BE622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63.26</w:t>
                  </w:r>
                </w:p>
              </w:tc>
              <w:tc>
                <w:tcPr>
                  <w:tcW w:w="266" w:type="pct"/>
                  <w:vMerge w:val="continue"/>
                  <w:shd w:val="clear" w:color="auto" w:fill="auto"/>
                  <w:noWrap/>
                  <w:vAlign w:val="center"/>
                </w:tcPr>
                <w:p w14:paraId="571F1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6E754E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51B81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42.26</w:t>
                  </w:r>
                </w:p>
              </w:tc>
              <w:tc>
                <w:tcPr>
                  <w:tcW w:w="220" w:type="pct"/>
                  <w:shd w:val="clear" w:color="auto" w:fill="auto"/>
                  <w:noWrap/>
                  <w:vAlign w:val="center"/>
                </w:tcPr>
                <w:p w14:paraId="09F32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139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6D26B7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1AFEB0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4AFFDD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16460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FFFFFF"/>
                  <w:noWrap/>
                  <w:vAlign w:val="center"/>
                </w:tcPr>
                <w:p w14:paraId="6DE5A9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193E00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92.73</w:t>
                  </w:r>
                </w:p>
              </w:tc>
              <w:tc>
                <w:tcPr>
                  <w:tcW w:w="522" w:type="pct"/>
                  <w:shd w:val="clear" w:color="auto" w:fill="FFFFFF"/>
                  <w:noWrap/>
                  <w:vAlign w:val="center"/>
                </w:tcPr>
                <w:p w14:paraId="5AD549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172.1</w:t>
                  </w:r>
                </w:p>
              </w:tc>
              <w:tc>
                <w:tcPr>
                  <w:tcW w:w="256" w:type="pct"/>
                  <w:shd w:val="clear" w:color="auto" w:fill="FFFFFF"/>
                  <w:noWrap/>
                  <w:vAlign w:val="center"/>
                </w:tcPr>
                <w:p w14:paraId="3B758B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104076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14.38</w:t>
                  </w:r>
                </w:p>
              </w:tc>
              <w:tc>
                <w:tcPr>
                  <w:tcW w:w="473" w:type="pct"/>
                  <w:shd w:val="clear" w:color="auto" w:fill="FFFFFF"/>
                  <w:noWrap/>
                  <w:vAlign w:val="center"/>
                </w:tcPr>
                <w:p w14:paraId="0AE2C6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63.28</w:t>
                  </w:r>
                </w:p>
              </w:tc>
              <w:tc>
                <w:tcPr>
                  <w:tcW w:w="266" w:type="pct"/>
                  <w:vMerge w:val="continue"/>
                  <w:shd w:val="clear" w:color="auto" w:fill="FFFFFF"/>
                  <w:noWrap/>
                  <w:vAlign w:val="center"/>
                </w:tcPr>
                <w:p w14:paraId="73D007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6C8B3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3635C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42.28</w:t>
                  </w:r>
                </w:p>
              </w:tc>
              <w:tc>
                <w:tcPr>
                  <w:tcW w:w="220" w:type="pct"/>
                  <w:shd w:val="clear" w:color="auto" w:fill="FFFFFF"/>
                  <w:noWrap/>
                  <w:vAlign w:val="center"/>
                </w:tcPr>
                <w:p w14:paraId="17E64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0E2A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4B7DA4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294FAB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6F485B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28FB6E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285" w:type="pct"/>
                  <w:vMerge w:val="continue"/>
                  <w:shd w:val="clear" w:color="auto" w:fill="auto"/>
                  <w:noWrap/>
                  <w:vAlign w:val="center"/>
                </w:tcPr>
                <w:p w14:paraId="0226DF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311D7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92.73</w:t>
                  </w:r>
                </w:p>
              </w:tc>
              <w:tc>
                <w:tcPr>
                  <w:tcW w:w="522" w:type="pct"/>
                  <w:shd w:val="clear" w:color="auto" w:fill="auto"/>
                  <w:noWrap/>
                  <w:vAlign w:val="center"/>
                </w:tcPr>
                <w:p w14:paraId="1C7D5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172.1</w:t>
                  </w:r>
                </w:p>
              </w:tc>
              <w:tc>
                <w:tcPr>
                  <w:tcW w:w="256" w:type="pct"/>
                  <w:shd w:val="clear" w:color="auto" w:fill="auto"/>
                  <w:noWrap/>
                  <w:vAlign w:val="center"/>
                </w:tcPr>
                <w:p w14:paraId="4ECC46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193E22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11.19</w:t>
                  </w:r>
                </w:p>
              </w:tc>
              <w:tc>
                <w:tcPr>
                  <w:tcW w:w="473" w:type="pct"/>
                  <w:shd w:val="clear" w:color="auto" w:fill="auto"/>
                  <w:noWrap/>
                  <w:vAlign w:val="center"/>
                </w:tcPr>
                <w:p w14:paraId="01AB95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63.30</w:t>
                  </w:r>
                </w:p>
              </w:tc>
              <w:tc>
                <w:tcPr>
                  <w:tcW w:w="266" w:type="pct"/>
                  <w:vMerge w:val="continue"/>
                  <w:shd w:val="clear" w:color="auto" w:fill="auto"/>
                  <w:noWrap/>
                  <w:vAlign w:val="center"/>
                </w:tcPr>
                <w:p w14:paraId="096B07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08A53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0F747E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42.30</w:t>
                  </w:r>
                </w:p>
              </w:tc>
              <w:tc>
                <w:tcPr>
                  <w:tcW w:w="220" w:type="pct"/>
                  <w:shd w:val="clear" w:color="auto" w:fill="auto"/>
                  <w:noWrap/>
                  <w:vAlign w:val="center"/>
                </w:tcPr>
                <w:p w14:paraId="5F623E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05F2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4FA726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6</w:t>
                  </w:r>
                </w:p>
              </w:tc>
              <w:tc>
                <w:tcPr>
                  <w:tcW w:w="254" w:type="pct"/>
                  <w:vMerge w:val="restart"/>
                  <w:shd w:val="clear" w:color="auto" w:fill="FFFFFF"/>
                  <w:noWrap/>
                  <w:vAlign w:val="center"/>
                </w:tcPr>
                <w:p w14:paraId="5CACB9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2D89E2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搅拌主机1</w:t>
                  </w:r>
                </w:p>
              </w:tc>
              <w:tc>
                <w:tcPr>
                  <w:tcW w:w="315" w:type="pct"/>
                  <w:shd w:val="clear" w:color="auto" w:fill="FFFFFF"/>
                  <w:noWrap/>
                  <w:vAlign w:val="center"/>
                </w:tcPr>
                <w:p w14:paraId="00A31A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758C12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2035EF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72.92</w:t>
                  </w:r>
                </w:p>
              </w:tc>
              <w:tc>
                <w:tcPr>
                  <w:tcW w:w="522" w:type="pct"/>
                  <w:shd w:val="clear" w:color="auto" w:fill="FFFFFF"/>
                  <w:noWrap/>
                  <w:vAlign w:val="center"/>
                </w:tcPr>
                <w:p w14:paraId="59375A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156.45</w:t>
                  </w:r>
                </w:p>
              </w:tc>
              <w:tc>
                <w:tcPr>
                  <w:tcW w:w="256" w:type="pct"/>
                  <w:shd w:val="clear" w:color="auto" w:fill="FFFFFF"/>
                  <w:noWrap/>
                  <w:vAlign w:val="center"/>
                </w:tcPr>
                <w:p w14:paraId="6EB5B7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06723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9.62</w:t>
                  </w:r>
                </w:p>
              </w:tc>
              <w:tc>
                <w:tcPr>
                  <w:tcW w:w="473" w:type="pct"/>
                  <w:shd w:val="clear" w:color="auto" w:fill="FFFFFF"/>
                  <w:noWrap/>
                  <w:vAlign w:val="center"/>
                </w:tcPr>
                <w:p w14:paraId="3CBE1E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68.31</w:t>
                  </w:r>
                </w:p>
              </w:tc>
              <w:tc>
                <w:tcPr>
                  <w:tcW w:w="266" w:type="pct"/>
                  <w:vMerge w:val="continue"/>
                  <w:shd w:val="clear" w:color="auto" w:fill="FFFFFF"/>
                  <w:noWrap/>
                  <w:vAlign w:val="center"/>
                </w:tcPr>
                <w:p w14:paraId="7A8DA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338A74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2AEB7C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47.31</w:t>
                  </w:r>
                </w:p>
              </w:tc>
              <w:tc>
                <w:tcPr>
                  <w:tcW w:w="220" w:type="pct"/>
                  <w:shd w:val="clear" w:color="auto" w:fill="FFFFFF"/>
                  <w:noWrap/>
                  <w:vAlign w:val="center"/>
                </w:tcPr>
                <w:p w14:paraId="3D359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209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05D8D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4149DD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5885F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1CE8D0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182B8B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34566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72.92</w:t>
                  </w:r>
                </w:p>
              </w:tc>
              <w:tc>
                <w:tcPr>
                  <w:tcW w:w="522" w:type="pct"/>
                  <w:shd w:val="clear" w:color="auto" w:fill="auto"/>
                  <w:noWrap/>
                  <w:vAlign w:val="center"/>
                </w:tcPr>
                <w:p w14:paraId="687B45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156.45</w:t>
                  </w:r>
                </w:p>
              </w:tc>
              <w:tc>
                <w:tcPr>
                  <w:tcW w:w="256" w:type="pct"/>
                  <w:shd w:val="clear" w:color="auto" w:fill="auto"/>
                  <w:noWrap/>
                  <w:vAlign w:val="center"/>
                </w:tcPr>
                <w:p w14:paraId="1AC808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415CC9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16.13</w:t>
                  </w:r>
                </w:p>
              </w:tc>
              <w:tc>
                <w:tcPr>
                  <w:tcW w:w="473" w:type="pct"/>
                  <w:shd w:val="clear" w:color="auto" w:fill="auto"/>
                  <w:noWrap/>
                  <w:vAlign w:val="center"/>
                </w:tcPr>
                <w:p w14:paraId="78C190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68.27</w:t>
                  </w:r>
                </w:p>
              </w:tc>
              <w:tc>
                <w:tcPr>
                  <w:tcW w:w="266" w:type="pct"/>
                  <w:vMerge w:val="continue"/>
                  <w:shd w:val="clear" w:color="auto" w:fill="auto"/>
                  <w:noWrap/>
                  <w:vAlign w:val="center"/>
                </w:tcPr>
                <w:p w14:paraId="05CFC3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25379A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108A52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47.27</w:t>
                  </w:r>
                </w:p>
              </w:tc>
              <w:tc>
                <w:tcPr>
                  <w:tcW w:w="220" w:type="pct"/>
                  <w:shd w:val="clear" w:color="auto" w:fill="auto"/>
                  <w:noWrap/>
                  <w:vAlign w:val="center"/>
                </w:tcPr>
                <w:p w14:paraId="23354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6219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2557C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6DB54C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425A7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73CA84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3BB8AB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46F5D6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72.92</w:t>
                  </w:r>
                </w:p>
              </w:tc>
              <w:tc>
                <w:tcPr>
                  <w:tcW w:w="522" w:type="pct"/>
                  <w:shd w:val="clear" w:color="auto" w:fill="FFFFFF"/>
                  <w:noWrap/>
                  <w:vAlign w:val="center"/>
                </w:tcPr>
                <w:p w14:paraId="1DE162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156.45</w:t>
                  </w:r>
                </w:p>
              </w:tc>
              <w:tc>
                <w:tcPr>
                  <w:tcW w:w="256" w:type="pct"/>
                  <w:shd w:val="clear" w:color="auto" w:fill="FFFFFF"/>
                  <w:noWrap/>
                  <w:vAlign w:val="center"/>
                </w:tcPr>
                <w:p w14:paraId="2B608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53B601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38.68</w:t>
                  </w:r>
                </w:p>
              </w:tc>
              <w:tc>
                <w:tcPr>
                  <w:tcW w:w="473" w:type="pct"/>
                  <w:shd w:val="clear" w:color="auto" w:fill="FFFFFF"/>
                  <w:noWrap/>
                  <w:vAlign w:val="center"/>
                </w:tcPr>
                <w:p w14:paraId="384552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68.26</w:t>
                  </w:r>
                </w:p>
              </w:tc>
              <w:tc>
                <w:tcPr>
                  <w:tcW w:w="266" w:type="pct"/>
                  <w:vMerge w:val="continue"/>
                  <w:shd w:val="clear" w:color="auto" w:fill="FFFFFF"/>
                  <w:noWrap/>
                  <w:vAlign w:val="center"/>
                </w:tcPr>
                <w:p w14:paraId="5E671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63F9D0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5D866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47.26</w:t>
                  </w:r>
                </w:p>
              </w:tc>
              <w:tc>
                <w:tcPr>
                  <w:tcW w:w="220" w:type="pct"/>
                  <w:shd w:val="clear" w:color="auto" w:fill="FFFFFF"/>
                  <w:noWrap/>
                  <w:vAlign w:val="center"/>
                </w:tcPr>
                <w:p w14:paraId="6394EB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5150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0A4BA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42D65E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17CA14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76974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3505C7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797036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72.92</w:t>
                  </w:r>
                </w:p>
              </w:tc>
              <w:tc>
                <w:tcPr>
                  <w:tcW w:w="522" w:type="pct"/>
                  <w:shd w:val="clear" w:color="auto" w:fill="auto"/>
                  <w:noWrap/>
                  <w:vAlign w:val="center"/>
                </w:tcPr>
                <w:p w14:paraId="6C8212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156.45</w:t>
                  </w:r>
                </w:p>
              </w:tc>
              <w:tc>
                <w:tcPr>
                  <w:tcW w:w="256" w:type="pct"/>
                  <w:shd w:val="clear" w:color="auto" w:fill="auto"/>
                  <w:noWrap/>
                  <w:vAlign w:val="center"/>
                </w:tcPr>
                <w:p w14:paraId="3E8A34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0741D9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19.01</w:t>
                  </w:r>
                </w:p>
              </w:tc>
              <w:tc>
                <w:tcPr>
                  <w:tcW w:w="473" w:type="pct"/>
                  <w:shd w:val="clear" w:color="auto" w:fill="auto"/>
                  <w:noWrap/>
                  <w:vAlign w:val="center"/>
                </w:tcPr>
                <w:p w14:paraId="31975D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68.27</w:t>
                  </w:r>
                </w:p>
              </w:tc>
              <w:tc>
                <w:tcPr>
                  <w:tcW w:w="266" w:type="pct"/>
                  <w:vMerge w:val="continue"/>
                  <w:shd w:val="clear" w:color="auto" w:fill="auto"/>
                  <w:noWrap/>
                  <w:vAlign w:val="center"/>
                </w:tcPr>
                <w:p w14:paraId="58DC4A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142C20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032804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47.27</w:t>
                  </w:r>
                </w:p>
              </w:tc>
              <w:tc>
                <w:tcPr>
                  <w:tcW w:w="220" w:type="pct"/>
                  <w:shd w:val="clear" w:color="auto" w:fill="auto"/>
                  <w:noWrap/>
                  <w:vAlign w:val="center"/>
                </w:tcPr>
                <w:p w14:paraId="193D66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52A0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08E8E5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7</w:t>
                  </w:r>
                </w:p>
              </w:tc>
              <w:tc>
                <w:tcPr>
                  <w:tcW w:w="254" w:type="pct"/>
                  <w:vMerge w:val="restart"/>
                  <w:shd w:val="clear" w:color="auto" w:fill="FFFFFF"/>
                  <w:noWrap/>
                  <w:vAlign w:val="center"/>
                </w:tcPr>
                <w:p w14:paraId="7E8173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5BBBB1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搅拌主机2</w:t>
                  </w:r>
                </w:p>
              </w:tc>
              <w:tc>
                <w:tcPr>
                  <w:tcW w:w="315" w:type="pct"/>
                  <w:shd w:val="clear" w:color="auto" w:fill="FFFFFF"/>
                  <w:noWrap/>
                  <w:vAlign w:val="center"/>
                </w:tcPr>
                <w:p w14:paraId="74F53E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616314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08AAF4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98.47</w:t>
                  </w:r>
                </w:p>
              </w:tc>
              <w:tc>
                <w:tcPr>
                  <w:tcW w:w="522" w:type="pct"/>
                  <w:shd w:val="clear" w:color="auto" w:fill="FFFFFF"/>
                  <w:noWrap/>
                  <w:vAlign w:val="center"/>
                </w:tcPr>
                <w:p w14:paraId="0CF4C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164.27</w:t>
                  </w:r>
                </w:p>
              </w:tc>
              <w:tc>
                <w:tcPr>
                  <w:tcW w:w="256" w:type="pct"/>
                  <w:shd w:val="clear" w:color="auto" w:fill="FFFFFF"/>
                  <w:noWrap/>
                  <w:vAlign w:val="center"/>
                </w:tcPr>
                <w:p w14:paraId="3965EC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646E86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36.34</w:t>
                  </w:r>
                </w:p>
              </w:tc>
              <w:tc>
                <w:tcPr>
                  <w:tcW w:w="473" w:type="pct"/>
                  <w:shd w:val="clear" w:color="auto" w:fill="FFFFFF"/>
                  <w:noWrap/>
                  <w:vAlign w:val="center"/>
                </w:tcPr>
                <w:p w14:paraId="549A0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68.26</w:t>
                  </w:r>
                </w:p>
              </w:tc>
              <w:tc>
                <w:tcPr>
                  <w:tcW w:w="266" w:type="pct"/>
                  <w:vMerge w:val="continue"/>
                  <w:shd w:val="clear" w:color="auto" w:fill="FFFFFF"/>
                  <w:noWrap/>
                  <w:vAlign w:val="center"/>
                </w:tcPr>
                <w:p w14:paraId="22F2F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7E8EA4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0E5F4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47.26</w:t>
                  </w:r>
                </w:p>
              </w:tc>
              <w:tc>
                <w:tcPr>
                  <w:tcW w:w="220" w:type="pct"/>
                  <w:shd w:val="clear" w:color="auto" w:fill="FFFFFF"/>
                  <w:noWrap/>
                  <w:vAlign w:val="center"/>
                </w:tcPr>
                <w:p w14:paraId="5BE67D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6608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0C8B70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0D9212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23DCB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712433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4CFAA7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1A5FD8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98.47</w:t>
                  </w:r>
                </w:p>
              </w:tc>
              <w:tc>
                <w:tcPr>
                  <w:tcW w:w="522" w:type="pct"/>
                  <w:shd w:val="clear" w:color="auto" w:fill="auto"/>
                  <w:noWrap/>
                  <w:vAlign w:val="center"/>
                </w:tcPr>
                <w:p w14:paraId="76ECE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164.27</w:t>
                  </w:r>
                </w:p>
              </w:tc>
              <w:tc>
                <w:tcPr>
                  <w:tcW w:w="256" w:type="pct"/>
                  <w:shd w:val="clear" w:color="auto" w:fill="auto"/>
                  <w:noWrap/>
                  <w:vAlign w:val="center"/>
                </w:tcPr>
                <w:p w14:paraId="48E526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6EE22F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15.04</w:t>
                  </w:r>
                </w:p>
              </w:tc>
              <w:tc>
                <w:tcPr>
                  <w:tcW w:w="473" w:type="pct"/>
                  <w:shd w:val="clear" w:color="auto" w:fill="auto"/>
                  <w:noWrap/>
                  <w:vAlign w:val="center"/>
                </w:tcPr>
                <w:p w14:paraId="7A4B48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68.28</w:t>
                  </w:r>
                </w:p>
              </w:tc>
              <w:tc>
                <w:tcPr>
                  <w:tcW w:w="266" w:type="pct"/>
                  <w:vMerge w:val="continue"/>
                  <w:shd w:val="clear" w:color="auto" w:fill="auto"/>
                  <w:noWrap/>
                  <w:vAlign w:val="center"/>
                </w:tcPr>
                <w:p w14:paraId="6B8A8F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0F574B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63B8B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47.28</w:t>
                  </w:r>
                </w:p>
              </w:tc>
              <w:tc>
                <w:tcPr>
                  <w:tcW w:w="220" w:type="pct"/>
                  <w:shd w:val="clear" w:color="auto" w:fill="auto"/>
                  <w:noWrap/>
                  <w:vAlign w:val="center"/>
                </w:tcPr>
                <w:p w14:paraId="04A523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E0C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3CF089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4AE94F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6A0F3F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5C73C1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3FDE21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5D8AAC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98.47</w:t>
                  </w:r>
                </w:p>
              </w:tc>
              <w:tc>
                <w:tcPr>
                  <w:tcW w:w="522" w:type="pct"/>
                  <w:shd w:val="clear" w:color="auto" w:fill="FFFFFF"/>
                  <w:noWrap/>
                  <w:vAlign w:val="center"/>
                </w:tcPr>
                <w:p w14:paraId="400D57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164.27</w:t>
                  </w:r>
                </w:p>
              </w:tc>
              <w:tc>
                <w:tcPr>
                  <w:tcW w:w="256" w:type="pct"/>
                  <w:shd w:val="clear" w:color="auto" w:fill="FFFFFF"/>
                  <w:noWrap/>
                  <w:vAlign w:val="center"/>
                </w:tcPr>
                <w:p w14:paraId="225A42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369F0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12.08</w:t>
                  </w:r>
                </w:p>
              </w:tc>
              <w:tc>
                <w:tcPr>
                  <w:tcW w:w="473" w:type="pct"/>
                  <w:shd w:val="clear" w:color="auto" w:fill="FFFFFF"/>
                  <w:noWrap/>
                  <w:vAlign w:val="center"/>
                </w:tcPr>
                <w:p w14:paraId="6A9FE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68.29</w:t>
                  </w:r>
                </w:p>
              </w:tc>
              <w:tc>
                <w:tcPr>
                  <w:tcW w:w="266" w:type="pct"/>
                  <w:vMerge w:val="continue"/>
                  <w:shd w:val="clear" w:color="auto" w:fill="FFFFFF"/>
                  <w:noWrap/>
                  <w:vAlign w:val="center"/>
                </w:tcPr>
                <w:p w14:paraId="50D6AA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41EB00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507952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47.29</w:t>
                  </w:r>
                </w:p>
              </w:tc>
              <w:tc>
                <w:tcPr>
                  <w:tcW w:w="220" w:type="pct"/>
                  <w:shd w:val="clear" w:color="auto" w:fill="FFFFFF"/>
                  <w:noWrap/>
                  <w:vAlign w:val="center"/>
                </w:tcPr>
                <w:p w14:paraId="577B31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797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3FC68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43F057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22E21A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746FF5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08DFBF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199FE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98.47</w:t>
                  </w:r>
                </w:p>
              </w:tc>
              <w:tc>
                <w:tcPr>
                  <w:tcW w:w="522" w:type="pct"/>
                  <w:shd w:val="clear" w:color="auto" w:fill="auto"/>
                  <w:noWrap/>
                  <w:vAlign w:val="center"/>
                </w:tcPr>
                <w:p w14:paraId="794AA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164.27</w:t>
                  </w:r>
                </w:p>
              </w:tc>
              <w:tc>
                <w:tcPr>
                  <w:tcW w:w="256" w:type="pct"/>
                  <w:shd w:val="clear" w:color="auto" w:fill="auto"/>
                  <w:noWrap/>
                  <w:vAlign w:val="center"/>
                </w:tcPr>
                <w:p w14:paraId="08B899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77C816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20.53</w:t>
                  </w:r>
                </w:p>
              </w:tc>
              <w:tc>
                <w:tcPr>
                  <w:tcW w:w="473" w:type="pct"/>
                  <w:shd w:val="clear" w:color="auto" w:fill="auto"/>
                  <w:noWrap/>
                  <w:vAlign w:val="center"/>
                </w:tcPr>
                <w:p w14:paraId="147D2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68.27</w:t>
                  </w:r>
                </w:p>
              </w:tc>
              <w:tc>
                <w:tcPr>
                  <w:tcW w:w="266" w:type="pct"/>
                  <w:vMerge w:val="continue"/>
                  <w:shd w:val="clear" w:color="auto" w:fill="auto"/>
                  <w:noWrap/>
                  <w:vAlign w:val="center"/>
                </w:tcPr>
                <w:p w14:paraId="30BFB3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32078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472F95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47.27</w:t>
                  </w:r>
                </w:p>
              </w:tc>
              <w:tc>
                <w:tcPr>
                  <w:tcW w:w="220" w:type="pct"/>
                  <w:shd w:val="clear" w:color="auto" w:fill="auto"/>
                  <w:noWrap/>
                  <w:vAlign w:val="center"/>
                </w:tcPr>
                <w:p w14:paraId="20AADF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14A1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75953B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8</w:t>
                  </w:r>
                </w:p>
              </w:tc>
              <w:tc>
                <w:tcPr>
                  <w:tcW w:w="254" w:type="pct"/>
                  <w:vMerge w:val="restart"/>
                  <w:shd w:val="clear" w:color="auto" w:fill="FFFFFF"/>
                  <w:noWrap/>
                  <w:vAlign w:val="center"/>
                </w:tcPr>
                <w:p w14:paraId="4375AA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17F895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皮带输送机1</w:t>
                  </w:r>
                </w:p>
              </w:tc>
              <w:tc>
                <w:tcPr>
                  <w:tcW w:w="315" w:type="pct"/>
                  <w:shd w:val="clear" w:color="auto" w:fill="FFFFFF"/>
                  <w:noWrap/>
                  <w:vAlign w:val="center"/>
                </w:tcPr>
                <w:p w14:paraId="5070D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285" w:type="pct"/>
                  <w:vMerge w:val="continue"/>
                  <w:shd w:val="clear" w:color="auto" w:fill="FFFFFF"/>
                  <w:noWrap/>
                  <w:vAlign w:val="center"/>
                </w:tcPr>
                <w:p w14:paraId="05BD57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395BD2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85.17</w:t>
                  </w:r>
                </w:p>
              </w:tc>
              <w:tc>
                <w:tcPr>
                  <w:tcW w:w="522" w:type="pct"/>
                  <w:shd w:val="clear" w:color="auto" w:fill="FFFFFF"/>
                  <w:noWrap/>
                  <w:vAlign w:val="center"/>
                </w:tcPr>
                <w:p w14:paraId="29A96D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148.37</w:t>
                  </w:r>
                </w:p>
              </w:tc>
              <w:tc>
                <w:tcPr>
                  <w:tcW w:w="256" w:type="pct"/>
                  <w:shd w:val="clear" w:color="auto" w:fill="FFFFFF"/>
                  <w:noWrap/>
                  <w:vAlign w:val="center"/>
                </w:tcPr>
                <w:p w14:paraId="78C4E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6D9DD6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19.26</w:t>
                  </w:r>
                </w:p>
              </w:tc>
              <w:tc>
                <w:tcPr>
                  <w:tcW w:w="473" w:type="pct"/>
                  <w:shd w:val="clear" w:color="auto" w:fill="FFFFFF"/>
                  <w:noWrap/>
                  <w:vAlign w:val="center"/>
                </w:tcPr>
                <w:p w14:paraId="2FE272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58.27</w:t>
                  </w:r>
                </w:p>
              </w:tc>
              <w:tc>
                <w:tcPr>
                  <w:tcW w:w="266" w:type="pct"/>
                  <w:vMerge w:val="continue"/>
                  <w:shd w:val="clear" w:color="auto" w:fill="FFFFFF"/>
                  <w:noWrap/>
                  <w:vAlign w:val="center"/>
                </w:tcPr>
                <w:p w14:paraId="554F5E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160D22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7B8A04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37.27</w:t>
                  </w:r>
                </w:p>
              </w:tc>
              <w:tc>
                <w:tcPr>
                  <w:tcW w:w="220" w:type="pct"/>
                  <w:shd w:val="clear" w:color="auto" w:fill="FFFFFF"/>
                  <w:noWrap/>
                  <w:vAlign w:val="center"/>
                </w:tcPr>
                <w:p w14:paraId="4C07A0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E36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2B38DC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62AED9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22B4FF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61891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285" w:type="pct"/>
                  <w:vMerge w:val="continue"/>
                  <w:shd w:val="clear" w:color="auto" w:fill="auto"/>
                  <w:noWrap/>
                  <w:vAlign w:val="center"/>
                </w:tcPr>
                <w:p w14:paraId="33A34D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5CDDCE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85.17</w:t>
                  </w:r>
                </w:p>
              </w:tc>
              <w:tc>
                <w:tcPr>
                  <w:tcW w:w="522" w:type="pct"/>
                  <w:shd w:val="clear" w:color="auto" w:fill="auto"/>
                  <w:noWrap/>
                  <w:vAlign w:val="center"/>
                </w:tcPr>
                <w:p w14:paraId="5F2B91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148.37</w:t>
                  </w:r>
                </w:p>
              </w:tc>
              <w:tc>
                <w:tcPr>
                  <w:tcW w:w="256" w:type="pct"/>
                  <w:shd w:val="clear" w:color="auto" w:fill="auto"/>
                  <w:noWrap/>
                  <w:vAlign w:val="center"/>
                </w:tcPr>
                <w:p w14:paraId="2529D9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571A4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4.45</w:t>
                  </w:r>
                </w:p>
              </w:tc>
              <w:tc>
                <w:tcPr>
                  <w:tcW w:w="473" w:type="pct"/>
                  <w:shd w:val="clear" w:color="auto" w:fill="auto"/>
                  <w:noWrap/>
                  <w:vAlign w:val="center"/>
                </w:tcPr>
                <w:p w14:paraId="2DA407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58.51</w:t>
                  </w:r>
                </w:p>
              </w:tc>
              <w:tc>
                <w:tcPr>
                  <w:tcW w:w="266" w:type="pct"/>
                  <w:vMerge w:val="continue"/>
                  <w:shd w:val="clear" w:color="auto" w:fill="auto"/>
                  <w:noWrap/>
                  <w:vAlign w:val="center"/>
                </w:tcPr>
                <w:p w14:paraId="32540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145729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3C3C2B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37.51</w:t>
                  </w:r>
                </w:p>
              </w:tc>
              <w:tc>
                <w:tcPr>
                  <w:tcW w:w="220" w:type="pct"/>
                  <w:shd w:val="clear" w:color="auto" w:fill="auto"/>
                  <w:noWrap/>
                  <w:vAlign w:val="center"/>
                </w:tcPr>
                <w:p w14:paraId="42C50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1B66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4FE0BD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3271EA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340C6C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5ED1FD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285" w:type="pct"/>
                  <w:vMerge w:val="continue"/>
                  <w:shd w:val="clear" w:color="auto" w:fill="FFFFFF"/>
                  <w:noWrap/>
                  <w:vAlign w:val="center"/>
                </w:tcPr>
                <w:p w14:paraId="54393F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6F8E13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85.17</w:t>
                  </w:r>
                </w:p>
              </w:tc>
              <w:tc>
                <w:tcPr>
                  <w:tcW w:w="522" w:type="pct"/>
                  <w:shd w:val="clear" w:color="auto" w:fill="FFFFFF"/>
                  <w:noWrap/>
                  <w:vAlign w:val="center"/>
                </w:tcPr>
                <w:p w14:paraId="3610C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148.37</w:t>
                  </w:r>
                </w:p>
              </w:tc>
              <w:tc>
                <w:tcPr>
                  <w:tcW w:w="256" w:type="pct"/>
                  <w:shd w:val="clear" w:color="auto" w:fill="FFFFFF"/>
                  <w:noWrap/>
                  <w:vAlign w:val="center"/>
                </w:tcPr>
                <w:p w14:paraId="5A0A00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3E14BD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30.47</w:t>
                  </w:r>
                </w:p>
              </w:tc>
              <w:tc>
                <w:tcPr>
                  <w:tcW w:w="473" w:type="pct"/>
                  <w:shd w:val="clear" w:color="auto" w:fill="FFFFFF"/>
                  <w:noWrap/>
                  <w:vAlign w:val="center"/>
                </w:tcPr>
                <w:p w14:paraId="7D1E7C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58.26</w:t>
                  </w:r>
                </w:p>
              </w:tc>
              <w:tc>
                <w:tcPr>
                  <w:tcW w:w="266" w:type="pct"/>
                  <w:vMerge w:val="continue"/>
                  <w:shd w:val="clear" w:color="auto" w:fill="FFFFFF"/>
                  <w:noWrap/>
                  <w:vAlign w:val="center"/>
                </w:tcPr>
                <w:p w14:paraId="63C44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06033B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157E42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37.26</w:t>
                  </w:r>
                </w:p>
              </w:tc>
              <w:tc>
                <w:tcPr>
                  <w:tcW w:w="220" w:type="pct"/>
                  <w:shd w:val="clear" w:color="auto" w:fill="FFFFFF"/>
                  <w:noWrap/>
                  <w:vAlign w:val="center"/>
                </w:tcPr>
                <w:p w14:paraId="713F8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BCA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50E1B0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03A568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0A941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7BD3B4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285" w:type="pct"/>
                  <w:vMerge w:val="continue"/>
                  <w:shd w:val="clear" w:color="auto" w:fill="auto"/>
                  <w:noWrap/>
                  <w:vAlign w:val="center"/>
                </w:tcPr>
                <w:p w14:paraId="0DF34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6FEFD7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85.17</w:t>
                  </w:r>
                </w:p>
              </w:tc>
              <w:tc>
                <w:tcPr>
                  <w:tcW w:w="522" w:type="pct"/>
                  <w:shd w:val="clear" w:color="auto" w:fill="auto"/>
                  <w:noWrap/>
                  <w:vAlign w:val="center"/>
                </w:tcPr>
                <w:p w14:paraId="27638B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148.37</w:t>
                  </w:r>
                </w:p>
              </w:tc>
              <w:tc>
                <w:tcPr>
                  <w:tcW w:w="256" w:type="pct"/>
                  <w:shd w:val="clear" w:color="auto" w:fill="auto"/>
                  <w:noWrap/>
                  <w:vAlign w:val="center"/>
                </w:tcPr>
                <w:p w14:paraId="393D6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410EF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30.83</w:t>
                  </w:r>
                </w:p>
              </w:tc>
              <w:tc>
                <w:tcPr>
                  <w:tcW w:w="473" w:type="pct"/>
                  <w:shd w:val="clear" w:color="auto" w:fill="auto"/>
                  <w:noWrap/>
                  <w:vAlign w:val="center"/>
                </w:tcPr>
                <w:p w14:paraId="2894F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58.26</w:t>
                  </w:r>
                </w:p>
              </w:tc>
              <w:tc>
                <w:tcPr>
                  <w:tcW w:w="266" w:type="pct"/>
                  <w:vMerge w:val="continue"/>
                  <w:shd w:val="clear" w:color="auto" w:fill="auto"/>
                  <w:noWrap/>
                  <w:vAlign w:val="center"/>
                </w:tcPr>
                <w:p w14:paraId="6741F2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423A5A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65251A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37.26</w:t>
                  </w:r>
                </w:p>
              </w:tc>
              <w:tc>
                <w:tcPr>
                  <w:tcW w:w="220" w:type="pct"/>
                  <w:shd w:val="clear" w:color="auto" w:fill="auto"/>
                  <w:noWrap/>
                  <w:vAlign w:val="center"/>
                </w:tcPr>
                <w:p w14:paraId="6B8D5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08B7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71688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9</w:t>
                  </w:r>
                </w:p>
              </w:tc>
              <w:tc>
                <w:tcPr>
                  <w:tcW w:w="254" w:type="pct"/>
                  <w:vMerge w:val="restart"/>
                  <w:shd w:val="clear" w:color="auto" w:fill="FFFFFF"/>
                  <w:noWrap/>
                  <w:vAlign w:val="center"/>
                </w:tcPr>
                <w:p w14:paraId="2FD3C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287AC4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皮带输送机2</w:t>
                  </w:r>
                </w:p>
              </w:tc>
              <w:tc>
                <w:tcPr>
                  <w:tcW w:w="315" w:type="pct"/>
                  <w:shd w:val="clear" w:color="auto" w:fill="FFFFFF"/>
                  <w:noWrap/>
                  <w:vAlign w:val="center"/>
                </w:tcPr>
                <w:p w14:paraId="6F87D8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285" w:type="pct"/>
                  <w:vMerge w:val="continue"/>
                  <w:shd w:val="clear" w:color="auto" w:fill="FFFFFF"/>
                  <w:noWrap/>
                  <w:vAlign w:val="center"/>
                </w:tcPr>
                <w:p w14:paraId="7B80A1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01FA2A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108.64</w:t>
                  </w:r>
                </w:p>
              </w:tc>
              <w:tc>
                <w:tcPr>
                  <w:tcW w:w="522" w:type="pct"/>
                  <w:shd w:val="clear" w:color="auto" w:fill="FFFFFF"/>
                  <w:noWrap/>
                  <w:vAlign w:val="center"/>
                </w:tcPr>
                <w:p w14:paraId="37783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155.93</w:t>
                  </w:r>
                </w:p>
              </w:tc>
              <w:tc>
                <w:tcPr>
                  <w:tcW w:w="256" w:type="pct"/>
                  <w:shd w:val="clear" w:color="auto" w:fill="FFFFFF"/>
                  <w:noWrap/>
                  <w:vAlign w:val="center"/>
                </w:tcPr>
                <w:p w14:paraId="124DED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3DF2E8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43.90</w:t>
                  </w:r>
                </w:p>
              </w:tc>
              <w:tc>
                <w:tcPr>
                  <w:tcW w:w="473" w:type="pct"/>
                  <w:shd w:val="clear" w:color="auto" w:fill="FFFFFF"/>
                  <w:noWrap/>
                  <w:vAlign w:val="center"/>
                </w:tcPr>
                <w:p w14:paraId="797592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58.26</w:t>
                  </w:r>
                </w:p>
              </w:tc>
              <w:tc>
                <w:tcPr>
                  <w:tcW w:w="266" w:type="pct"/>
                  <w:vMerge w:val="continue"/>
                  <w:shd w:val="clear" w:color="auto" w:fill="FFFFFF"/>
                  <w:noWrap/>
                  <w:vAlign w:val="center"/>
                </w:tcPr>
                <w:p w14:paraId="5ABF1F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693354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70B842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37.26</w:t>
                  </w:r>
                </w:p>
              </w:tc>
              <w:tc>
                <w:tcPr>
                  <w:tcW w:w="220" w:type="pct"/>
                  <w:shd w:val="clear" w:color="auto" w:fill="FFFFFF"/>
                  <w:noWrap/>
                  <w:vAlign w:val="center"/>
                </w:tcPr>
                <w:p w14:paraId="71B654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4BE1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001D51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7A805C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46514B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66433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285" w:type="pct"/>
                  <w:vMerge w:val="continue"/>
                  <w:shd w:val="clear" w:color="auto" w:fill="auto"/>
                  <w:noWrap/>
                  <w:vAlign w:val="center"/>
                </w:tcPr>
                <w:p w14:paraId="30ED32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34729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108.64</w:t>
                  </w:r>
                </w:p>
              </w:tc>
              <w:tc>
                <w:tcPr>
                  <w:tcW w:w="522" w:type="pct"/>
                  <w:shd w:val="clear" w:color="auto" w:fill="auto"/>
                  <w:noWrap/>
                  <w:vAlign w:val="center"/>
                </w:tcPr>
                <w:p w14:paraId="3E0FD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155.93</w:t>
                  </w:r>
                </w:p>
              </w:tc>
              <w:tc>
                <w:tcPr>
                  <w:tcW w:w="256" w:type="pct"/>
                  <w:shd w:val="clear" w:color="auto" w:fill="auto"/>
                  <w:noWrap/>
                  <w:vAlign w:val="center"/>
                </w:tcPr>
                <w:p w14:paraId="40AAFC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24E183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473" w:type="pct"/>
                  <w:shd w:val="clear" w:color="auto" w:fill="auto"/>
                  <w:noWrap/>
                  <w:vAlign w:val="center"/>
                </w:tcPr>
                <w:p w14:paraId="4186BD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58.60</w:t>
                  </w:r>
                </w:p>
              </w:tc>
              <w:tc>
                <w:tcPr>
                  <w:tcW w:w="266" w:type="pct"/>
                  <w:vMerge w:val="continue"/>
                  <w:shd w:val="clear" w:color="auto" w:fill="auto"/>
                  <w:noWrap/>
                  <w:vAlign w:val="center"/>
                </w:tcPr>
                <w:p w14:paraId="0B1C6F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610E82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6FC443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37.60</w:t>
                  </w:r>
                </w:p>
              </w:tc>
              <w:tc>
                <w:tcPr>
                  <w:tcW w:w="220" w:type="pct"/>
                  <w:shd w:val="clear" w:color="auto" w:fill="auto"/>
                  <w:noWrap/>
                  <w:vAlign w:val="center"/>
                </w:tcPr>
                <w:p w14:paraId="5F1F17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3FB1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1DEA9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63D27C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04439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1A9EB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285" w:type="pct"/>
                  <w:vMerge w:val="continue"/>
                  <w:shd w:val="clear" w:color="auto" w:fill="FFFFFF"/>
                  <w:noWrap/>
                  <w:vAlign w:val="center"/>
                </w:tcPr>
                <w:p w14:paraId="4DC743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4BFD0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108.64</w:t>
                  </w:r>
                </w:p>
              </w:tc>
              <w:tc>
                <w:tcPr>
                  <w:tcW w:w="522" w:type="pct"/>
                  <w:shd w:val="clear" w:color="auto" w:fill="FFFFFF"/>
                  <w:noWrap/>
                  <w:vAlign w:val="center"/>
                </w:tcPr>
                <w:p w14:paraId="6428A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155.93</w:t>
                  </w:r>
                </w:p>
              </w:tc>
              <w:tc>
                <w:tcPr>
                  <w:tcW w:w="256" w:type="pct"/>
                  <w:shd w:val="clear" w:color="auto" w:fill="FFFFFF"/>
                  <w:noWrap/>
                  <w:vAlign w:val="center"/>
                </w:tcPr>
                <w:p w14:paraId="7C28D1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0CC64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5.89</w:t>
                  </w:r>
                </w:p>
              </w:tc>
              <w:tc>
                <w:tcPr>
                  <w:tcW w:w="473" w:type="pct"/>
                  <w:shd w:val="clear" w:color="auto" w:fill="FFFFFF"/>
                  <w:noWrap/>
                  <w:vAlign w:val="center"/>
                </w:tcPr>
                <w:p w14:paraId="040822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58.40</w:t>
                  </w:r>
                </w:p>
              </w:tc>
              <w:tc>
                <w:tcPr>
                  <w:tcW w:w="266" w:type="pct"/>
                  <w:vMerge w:val="continue"/>
                  <w:shd w:val="clear" w:color="auto" w:fill="FFFFFF"/>
                  <w:noWrap/>
                  <w:vAlign w:val="center"/>
                </w:tcPr>
                <w:p w14:paraId="6532AB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7AD1CF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03D04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37.40</w:t>
                  </w:r>
                </w:p>
              </w:tc>
              <w:tc>
                <w:tcPr>
                  <w:tcW w:w="220" w:type="pct"/>
                  <w:shd w:val="clear" w:color="auto" w:fill="FFFFFF"/>
                  <w:noWrap/>
                  <w:vAlign w:val="center"/>
                </w:tcPr>
                <w:p w14:paraId="17E36E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55F6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0BFD7D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7188DC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74D10E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103DD3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285" w:type="pct"/>
                  <w:vMerge w:val="continue"/>
                  <w:shd w:val="clear" w:color="auto" w:fill="auto"/>
                  <w:noWrap/>
                  <w:vAlign w:val="center"/>
                </w:tcPr>
                <w:p w14:paraId="4EB4B5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14FE6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108.64</w:t>
                  </w:r>
                </w:p>
              </w:tc>
              <w:tc>
                <w:tcPr>
                  <w:tcW w:w="522" w:type="pct"/>
                  <w:shd w:val="clear" w:color="auto" w:fill="auto"/>
                  <w:noWrap/>
                  <w:vAlign w:val="center"/>
                </w:tcPr>
                <w:p w14:paraId="59F55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155.93</w:t>
                  </w:r>
                </w:p>
              </w:tc>
              <w:tc>
                <w:tcPr>
                  <w:tcW w:w="256" w:type="pct"/>
                  <w:shd w:val="clear" w:color="auto" w:fill="auto"/>
                  <w:noWrap/>
                  <w:vAlign w:val="center"/>
                </w:tcPr>
                <w:p w14:paraId="7E67E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38C247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31.87</w:t>
                  </w:r>
                </w:p>
              </w:tc>
              <w:tc>
                <w:tcPr>
                  <w:tcW w:w="473" w:type="pct"/>
                  <w:shd w:val="clear" w:color="auto" w:fill="auto"/>
                  <w:noWrap/>
                  <w:vAlign w:val="center"/>
                </w:tcPr>
                <w:p w14:paraId="7E85FC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58.26</w:t>
                  </w:r>
                </w:p>
              </w:tc>
              <w:tc>
                <w:tcPr>
                  <w:tcW w:w="266" w:type="pct"/>
                  <w:vMerge w:val="continue"/>
                  <w:shd w:val="clear" w:color="auto" w:fill="auto"/>
                  <w:noWrap/>
                  <w:vAlign w:val="center"/>
                </w:tcPr>
                <w:p w14:paraId="343825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105B34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5C38BB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37.26</w:t>
                  </w:r>
                </w:p>
              </w:tc>
              <w:tc>
                <w:tcPr>
                  <w:tcW w:w="220" w:type="pct"/>
                  <w:shd w:val="clear" w:color="auto" w:fill="auto"/>
                  <w:noWrap/>
                  <w:vAlign w:val="center"/>
                </w:tcPr>
                <w:p w14:paraId="7CBDB3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375B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6215D5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10</w:t>
                  </w:r>
                </w:p>
              </w:tc>
              <w:tc>
                <w:tcPr>
                  <w:tcW w:w="254" w:type="pct"/>
                  <w:vMerge w:val="restart"/>
                  <w:shd w:val="clear" w:color="auto" w:fill="FFFFFF"/>
                  <w:noWrap/>
                  <w:vAlign w:val="center"/>
                </w:tcPr>
                <w:p w14:paraId="6BC28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5FD2E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空压机</w:t>
                  </w:r>
                </w:p>
              </w:tc>
              <w:tc>
                <w:tcPr>
                  <w:tcW w:w="315" w:type="pct"/>
                  <w:shd w:val="clear" w:color="auto" w:fill="FFFFFF"/>
                  <w:noWrap/>
                  <w:vAlign w:val="center"/>
                </w:tcPr>
                <w:p w14:paraId="2589C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285" w:type="pct"/>
                  <w:vMerge w:val="continue"/>
                  <w:shd w:val="clear" w:color="auto" w:fill="FFFFFF"/>
                  <w:noWrap/>
                  <w:vAlign w:val="center"/>
                </w:tcPr>
                <w:p w14:paraId="3C94B0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6B4A6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80.75</w:t>
                  </w:r>
                </w:p>
              </w:tc>
              <w:tc>
                <w:tcPr>
                  <w:tcW w:w="522" w:type="pct"/>
                  <w:shd w:val="clear" w:color="auto" w:fill="FFFFFF"/>
                  <w:noWrap/>
                  <w:vAlign w:val="center"/>
                </w:tcPr>
                <w:p w14:paraId="040AD8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174.32</w:t>
                  </w:r>
                </w:p>
              </w:tc>
              <w:tc>
                <w:tcPr>
                  <w:tcW w:w="256" w:type="pct"/>
                  <w:shd w:val="clear" w:color="auto" w:fill="FFFFFF"/>
                  <w:noWrap/>
                  <w:vAlign w:val="center"/>
                </w:tcPr>
                <w:p w14:paraId="258262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16FF54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21.96</w:t>
                  </w:r>
                </w:p>
              </w:tc>
              <w:tc>
                <w:tcPr>
                  <w:tcW w:w="473" w:type="pct"/>
                  <w:shd w:val="clear" w:color="auto" w:fill="FFFFFF"/>
                  <w:noWrap/>
                  <w:vAlign w:val="center"/>
                </w:tcPr>
                <w:p w14:paraId="0E540E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73.27</w:t>
                  </w:r>
                </w:p>
              </w:tc>
              <w:tc>
                <w:tcPr>
                  <w:tcW w:w="266" w:type="pct"/>
                  <w:vMerge w:val="continue"/>
                  <w:shd w:val="clear" w:color="auto" w:fill="FFFFFF"/>
                  <w:noWrap/>
                  <w:vAlign w:val="center"/>
                </w:tcPr>
                <w:p w14:paraId="76FD0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75844A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748F8F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52.27</w:t>
                  </w:r>
                </w:p>
              </w:tc>
              <w:tc>
                <w:tcPr>
                  <w:tcW w:w="220" w:type="pct"/>
                  <w:shd w:val="clear" w:color="auto" w:fill="FFFFFF"/>
                  <w:noWrap/>
                  <w:vAlign w:val="center"/>
                </w:tcPr>
                <w:p w14:paraId="009BC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065D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16F18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22682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4B8F1B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792D5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285" w:type="pct"/>
                  <w:vMerge w:val="continue"/>
                  <w:shd w:val="clear" w:color="auto" w:fill="auto"/>
                  <w:noWrap/>
                  <w:vAlign w:val="center"/>
                </w:tcPr>
                <w:p w14:paraId="3E163F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1FCE7C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80.75</w:t>
                  </w:r>
                </w:p>
              </w:tc>
              <w:tc>
                <w:tcPr>
                  <w:tcW w:w="522" w:type="pct"/>
                  <w:shd w:val="clear" w:color="auto" w:fill="auto"/>
                  <w:noWrap/>
                  <w:vAlign w:val="center"/>
                </w:tcPr>
                <w:p w14:paraId="7A9B80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174.32</w:t>
                  </w:r>
                </w:p>
              </w:tc>
              <w:tc>
                <w:tcPr>
                  <w:tcW w:w="256" w:type="pct"/>
                  <w:shd w:val="clear" w:color="auto" w:fill="auto"/>
                  <w:noWrap/>
                  <w:vAlign w:val="center"/>
                </w:tcPr>
                <w:p w14:paraId="58825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2E3CE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30.39</w:t>
                  </w:r>
                </w:p>
              </w:tc>
              <w:tc>
                <w:tcPr>
                  <w:tcW w:w="473" w:type="pct"/>
                  <w:shd w:val="clear" w:color="auto" w:fill="auto"/>
                  <w:noWrap/>
                  <w:vAlign w:val="center"/>
                </w:tcPr>
                <w:p w14:paraId="3EC23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73.26</w:t>
                  </w:r>
                </w:p>
              </w:tc>
              <w:tc>
                <w:tcPr>
                  <w:tcW w:w="266" w:type="pct"/>
                  <w:vMerge w:val="continue"/>
                  <w:shd w:val="clear" w:color="auto" w:fill="auto"/>
                  <w:noWrap/>
                  <w:vAlign w:val="center"/>
                </w:tcPr>
                <w:p w14:paraId="2AFDB5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7A3890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70811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52.26</w:t>
                  </w:r>
                </w:p>
              </w:tc>
              <w:tc>
                <w:tcPr>
                  <w:tcW w:w="220" w:type="pct"/>
                  <w:shd w:val="clear" w:color="auto" w:fill="auto"/>
                  <w:noWrap/>
                  <w:vAlign w:val="center"/>
                </w:tcPr>
                <w:p w14:paraId="2EE315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5F26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582AA9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61A814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31E560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7709F4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285" w:type="pct"/>
                  <w:vMerge w:val="continue"/>
                  <w:shd w:val="clear" w:color="auto" w:fill="FFFFFF"/>
                  <w:noWrap/>
                  <w:vAlign w:val="center"/>
                </w:tcPr>
                <w:p w14:paraId="2016A1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37907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80.75</w:t>
                  </w:r>
                </w:p>
              </w:tc>
              <w:tc>
                <w:tcPr>
                  <w:tcW w:w="522" w:type="pct"/>
                  <w:shd w:val="clear" w:color="auto" w:fill="FFFFFF"/>
                  <w:noWrap/>
                  <w:vAlign w:val="center"/>
                </w:tcPr>
                <w:p w14:paraId="36DEDE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174.32</w:t>
                  </w:r>
                </w:p>
              </w:tc>
              <w:tc>
                <w:tcPr>
                  <w:tcW w:w="256" w:type="pct"/>
                  <w:shd w:val="clear" w:color="auto" w:fill="FFFFFF"/>
                  <w:noWrap/>
                  <w:vAlign w:val="center"/>
                </w:tcPr>
                <w:p w14:paraId="66E26D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6E079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24.59</w:t>
                  </w:r>
                </w:p>
              </w:tc>
              <w:tc>
                <w:tcPr>
                  <w:tcW w:w="473" w:type="pct"/>
                  <w:shd w:val="clear" w:color="auto" w:fill="FFFFFF"/>
                  <w:noWrap/>
                  <w:vAlign w:val="center"/>
                </w:tcPr>
                <w:p w14:paraId="7DEBE8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73.26</w:t>
                  </w:r>
                </w:p>
              </w:tc>
              <w:tc>
                <w:tcPr>
                  <w:tcW w:w="266" w:type="pct"/>
                  <w:vMerge w:val="continue"/>
                  <w:shd w:val="clear" w:color="auto" w:fill="FFFFFF"/>
                  <w:noWrap/>
                  <w:vAlign w:val="center"/>
                </w:tcPr>
                <w:p w14:paraId="048F9E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3EC53B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0D69DE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52.26</w:t>
                  </w:r>
                </w:p>
              </w:tc>
              <w:tc>
                <w:tcPr>
                  <w:tcW w:w="220" w:type="pct"/>
                  <w:shd w:val="clear" w:color="auto" w:fill="FFFFFF"/>
                  <w:noWrap/>
                  <w:vAlign w:val="center"/>
                </w:tcPr>
                <w:p w14:paraId="15531C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10D1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30D37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0DF0A6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73B503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2D1E0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285" w:type="pct"/>
                  <w:vMerge w:val="continue"/>
                  <w:shd w:val="clear" w:color="auto" w:fill="auto"/>
                  <w:noWrap/>
                  <w:vAlign w:val="center"/>
                </w:tcPr>
                <w:p w14:paraId="78EE0D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22CF27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80.75</w:t>
                  </w:r>
                </w:p>
              </w:tc>
              <w:tc>
                <w:tcPr>
                  <w:tcW w:w="522" w:type="pct"/>
                  <w:shd w:val="clear" w:color="auto" w:fill="auto"/>
                  <w:noWrap/>
                  <w:vAlign w:val="center"/>
                </w:tcPr>
                <w:p w14:paraId="5AD8F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174.32</w:t>
                  </w:r>
                </w:p>
              </w:tc>
              <w:tc>
                <w:tcPr>
                  <w:tcW w:w="256" w:type="pct"/>
                  <w:shd w:val="clear" w:color="auto" w:fill="auto"/>
                  <w:noWrap/>
                  <w:vAlign w:val="center"/>
                </w:tcPr>
                <w:p w14:paraId="50CC1C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73AE74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4.96</w:t>
                  </w:r>
                </w:p>
              </w:tc>
              <w:tc>
                <w:tcPr>
                  <w:tcW w:w="473" w:type="pct"/>
                  <w:shd w:val="clear" w:color="auto" w:fill="auto"/>
                  <w:noWrap/>
                  <w:vAlign w:val="center"/>
                </w:tcPr>
                <w:p w14:paraId="366060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73.46</w:t>
                  </w:r>
                </w:p>
              </w:tc>
              <w:tc>
                <w:tcPr>
                  <w:tcW w:w="266" w:type="pct"/>
                  <w:vMerge w:val="continue"/>
                  <w:shd w:val="clear" w:color="auto" w:fill="auto"/>
                  <w:noWrap/>
                  <w:vAlign w:val="center"/>
                </w:tcPr>
                <w:p w14:paraId="0A891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71AD5C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47D4D0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52.46</w:t>
                  </w:r>
                </w:p>
              </w:tc>
              <w:tc>
                <w:tcPr>
                  <w:tcW w:w="220" w:type="pct"/>
                  <w:shd w:val="clear" w:color="auto" w:fill="auto"/>
                  <w:noWrap/>
                  <w:vAlign w:val="center"/>
                </w:tcPr>
                <w:p w14:paraId="0B4E3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CEE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359238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11</w:t>
                  </w:r>
                </w:p>
              </w:tc>
              <w:tc>
                <w:tcPr>
                  <w:tcW w:w="254" w:type="pct"/>
                  <w:vMerge w:val="restart"/>
                  <w:shd w:val="clear" w:color="auto" w:fill="FFFFFF"/>
                  <w:noWrap/>
                  <w:vAlign w:val="center"/>
                </w:tcPr>
                <w:p w14:paraId="05AE2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55C67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风机1</w:t>
                  </w:r>
                </w:p>
              </w:tc>
              <w:tc>
                <w:tcPr>
                  <w:tcW w:w="315" w:type="pct"/>
                  <w:shd w:val="clear" w:color="auto" w:fill="FFFFFF"/>
                  <w:noWrap/>
                  <w:vAlign w:val="center"/>
                </w:tcPr>
                <w:p w14:paraId="759162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474C76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45F2F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71.62</w:t>
                  </w:r>
                </w:p>
              </w:tc>
              <w:tc>
                <w:tcPr>
                  <w:tcW w:w="522" w:type="pct"/>
                  <w:shd w:val="clear" w:color="auto" w:fill="FFFFFF"/>
                  <w:noWrap/>
                  <w:vAlign w:val="center"/>
                </w:tcPr>
                <w:p w14:paraId="29CCC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144.72</w:t>
                  </w:r>
                </w:p>
              </w:tc>
              <w:tc>
                <w:tcPr>
                  <w:tcW w:w="256" w:type="pct"/>
                  <w:shd w:val="clear" w:color="auto" w:fill="FFFFFF"/>
                  <w:noWrap/>
                  <w:vAlign w:val="center"/>
                </w:tcPr>
                <w:p w14:paraId="3A406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5D05A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5.23</w:t>
                  </w:r>
                </w:p>
              </w:tc>
              <w:tc>
                <w:tcPr>
                  <w:tcW w:w="473" w:type="pct"/>
                  <w:shd w:val="clear" w:color="auto" w:fill="FFFFFF"/>
                  <w:noWrap/>
                  <w:vAlign w:val="center"/>
                </w:tcPr>
                <w:p w14:paraId="574C6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68.44</w:t>
                  </w:r>
                </w:p>
              </w:tc>
              <w:tc>
                <w:tcPr>
                  <w:tcW w:w="266" w:type="pct"/>
                  <w:vMerge w:val="continue"/>
                  <w:shd w:val="clear" w:color="auto" w:fill="FFFFFF"/>
                  <w:noWrap/>
                  <w:vAlign w:val="center"/>
                </w:tcPr>
                <w:p w14:paraId="764AC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0D1D02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53A46D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47.44</w:t>
                  </w:r>
                </w:p>
              </w:tc>
              <w:tc>
                <w:tcPr>
                  <w:tcW w:w="220" w:type="pct"/>
                  <w:shd w:val="clear" w:color="auto" w:fill="FFFFFF"/>
                  <w:noWrap/>
                  <w:vAlign w:val="center"/>
                </w:tcPr>
                <w:p w14:paraId="14B55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30EC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60055C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6DB5C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1C8A0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1073DF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2A0D6E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28CC68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71.62</w:t>
                  </w:r>
                </w:p>
              </w:tc>
              <w:tc>
                <w:tcPr>
                  <w:tcW w:w="522" w:type="pct"/>
                  <w:shd w:val="clear" w:color="auto" w:fill="auto"/>
                  <w:noWrap/>
                  <w:vAlign w:val="center"/>
                </w:tcPr>
                <w:p w14:paraId="19C7F5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144.72</w:t>
                  </w:r>
                </w:p>
              </w:tc>
              <w:tc>
                <w:tcPr>
                  <w:tcW w:w="256" w:type="pct"/>
                  <w:shd w:val="clear" w:color="auto" w:fill="auto"/>
                  <w:noWrap/>
                  <w:vAlign w:val="center"/>
                </w:tcPr>
                <w:p w14:paraId="421A2D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3F2047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5.49</w:t>
                  </w:r>
                </w:p>
              </w:tc>
              <w:tc>
                <w:tcPr>
                  <w:tcW w:w="473" w:type="pct"/>
                  <w:shd w:val="clear" w:color="auto" w:fill="auto"/>
                  <w:noWrap/>
                  <w:vAlign w:val="center"/>
                </w:tcPr>
                <w:p w14:paraId="68531A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68.42</w:t>
                  </w:r>
                </w:p>
              </w:tc>
              <w:tc>
                <w:tcPr>
                  <w:tcW w:w="266" w:type="pct"/>
                  <w:vMerge w:val="continue"/>
                  <w:shd w:val="clear" w:color="auto" w:fill="auto"/>
                  <w:noWrap/>
                  <w:vAlign w:val="center"/>
                </w:tcPr>
                <w:p w14:paraId="6C26F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1B62E6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416BB2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47.42</w:t>
                  </w:r>
                </w:p>
              </w:tc>
              <w:tc>
                <w:tcPr>
                  <w:tcW w:w="220" w:type="pct"/>
                  <w:shd w:val="clear" w:color="auto" w:fill="auto"/>
                  <w:noWrap/>
                  <w:vAlign w:val="center"/>
                </w:tcPr>
                <w:p w14:paraId="186952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D64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6E34C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1E9AF4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51F36E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28734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6E7B50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50B414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71.62</w:t>
                  </w:r>
                </w:p>
              </w:tc>
              <w:tc>
                <w:tcPr>
                  <w:tcW w:w="522" w:type="pct"/>
                  <w:shd w:val="clear" w:color="auto" w:fill="FFFFFF"/>
                  <w:noWrap/>
                  <w:vAlign w:val="center"/>
                </w:tcPr>
                <w:p w14:paraId="0C5386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144.72</w:t>
                  </w:r>
                </w:p>
              </w:tc>
              <w:tc>
                <w:tcPr>
                  <w:tcW w:w="256" w:type="pct"/>
                  <w:shd w:val="clear" w:color="auto" w:fill="FFFFFF"/>
                  <w:noWrap/>
                  <w:vAlign w:val="center"/>
                </w:tcPr>
                <w:p w14:paraId="1567B6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57DE19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44.38</w:t>
                  </w:r>
                </w:p>
              </w:tc>
              <w:tc>
                <w:tcPr>
                  <w:tcW w:w="473" w:type="pct"/>
                  <w:shd w:val="clear" w:color="auto" w:fill="FFFFFF"/>
                  <w:noWrap/>
                  <w:vAlign w:val="center"/>
                </w:tcPr>
                <w:p w14:paraId="3D32C3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68.26</w:t>
                  </w:r>
                </w:p>
              </w:tc>
              <w:tc>
                <w:tcPr>
                  <w:tcW w:w="266" w:type="pct"/>
                  <w:vMerge w:val="continue"/>
                  <w:shd w:val="clear" w:color="auto" w:fill="FFFFFF"/>
                  <w:noWrap/>
                  <w:vAlign w:val="center"/>
                </w:tcPr>
                <w:p w14:paraId="0CEA43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1C8FB8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3EA0F6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47.26</w:t>
                  </w:r>
                </w:p>
              </w:tc>
              <w:tc>
                <w:tcPr>
                  <w:tcW w:w="220" w:type="pct"/>
                  <w:shd w:val="clear" w:color="auto" w:fill="FFFFFF"/>
                  <w:noWrap/>
                  <w:vAlign w:val="center"/>
                </w:tcPr>
                <w:p w14:paraId="42319F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48CE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0BB402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5DB24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027D8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31C17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511B23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0AE3D3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71.62</w:t>
                  </w:r>
                </w:p>
              </w:tc>
              <w:tc>
                <w:tcPr>
                  <w:tcW w:w="522" w:type="pct"/>
                  <w:shd w:val="clear" w:color="auto" w:fill="auto"/>
                  <w:noWrap/>
                  <w:vAlign w:val="center"/>
                </w:tcPr>
                <w:p w14:paraId="560C55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144.72</w:t>
                  </w:r>
                </w:p>
              </w:tc>
              <w:tc>
                <w:tcPr>
                  <w:tcW w:w="256" w:type="pct"/>
                  <w:shd w:val="clear" w:color="auto" w:fill="auto"/>
                  <w:noWrap/>
                  <w:vAlign w:val="center"/>
                </w:tcPr>
                <w:p w14:paraId="3225BD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50BE1E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29.56</w:t>
                  </w:r>
                </w:p>
              </w:tc>
              <w:tc>
                <w:tcPr>
                  <w:tcW w:w="473" w:type="pct"/>
                  <w:shd w:val="clear" w:color="auto" w:fill="auto"/>
                  <w:noWrap/>
                  <w:vAlign w:val="center"/>
                </w:tcPr>
                <w:p w14:paraId="085A17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68.26</w:t>
                  </w:r>
                </w:p>
              </w:tc>
              <w:tc>
                <w:tcPr>
                  <w:tcW w:w="266" w:type="pct"/>
                  <w:vMerge w:val="continue"/>
                  <w:shd w:val="clear" w:color="auto" w:fill="auto"/>
                  <w:noWrap/>
                  <w:vAlign w:val="center"/>
                </w:tcPr>
                <w:p w14:paraId="608CF9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48487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78172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47.26</w:t>
                  </w:r>
                </w:p>
              </w:tc>
              <w:tc>
                <w:tcPr>
                  <w:tcW w:w="220" w:type="pct"/>
                  <w:shd w:val="clear" w:color="auto" w:fill="auto"/>
                  <w:noWrap/>
                  <w:vAlign w:val="center"/>
                </w:tcPr>
                <w:p w14:paraId="53780F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1804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280DAF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12</w:t>
                  </w:r>
                </w:p>
              </w:tc>
              <w:tc>
                <w:tcPr>
                  <w:tcW w:w="254" w:type="pct"/>
                  <w:vMerge w:val="restart"/>
                  <w:shd w:val="clear" w:color="auto" w:fill="FFFFFF"/>
                  <w:noWrap/>
                  <w:vAlign w:val="center"/>
                </w:tcPr>
                <w:p w14:paraId="65B283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0FC070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风机2</w:t>
                  </w:r>
                </w:p>
              </w:tc>
              <w:tc>
                <w:tcPr>
                  <w:tcW w:w="315" w:type="pct"/>
                  <w:shd w:val="clear" w:color="auto" w:fill="FFFFFF"/>
                  <w:noWrap/>
                  <w:vAlign w:val="center"/>
                </w:tcPr>
                <w:p w14:paraId="346B4C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15A82B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46F5C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70.83</w:t>
                  </w:r>
                </w:p>
              </w:tc>
              <w:tc>
                <w:tcPr>
                  <w:tcW w:w="522" w:type="pct"/>
                  <w:shd w:val="clear" w:color="auto" w:fill="FFFFFF"/>
                  <w:noWrap/>
                  <w:vAlign w:val="center"/>
                </w:tcPr>
                <w:p w14:paraId="32ECF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153.06</w:t>
                  </w:r>
                </w:p>
              </w:tc>
              <w:tc>
                <w:tcPr>
                  <w:tcW w:w="256" w:type="pct"/>
                  <w:shd w:val="clear" w:color="auto" w:fill="FFFFFF"/>
                  <w:noWrap/>
                  <w:vAlign w:val="center"/>
                </w:tcPr>
                <w:p w14:paraId="31926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08F70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6.70</w:t>
                  </w:r>
                </w:p>
              </w:tc>
              <w:tc>
                <w:tcPr>
                  <w:tcW w:w="473" w:type="pct"/>
                  <w:shd w:val="clear" w:color="auto" w:fill="FFFFFF"/>
                  <w:noWrap/>
                  <w:vAlign w:val="center"/>
                </w:tcPr>
                <w:p w14:paraId="342A8C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68.37</w:t>
                  </w:r>
                </w:p>
              </w:tc>
              <w:tc>
                <w:tcPr>
                  <w:tcW w:w="266" w:type="pct"/>
                  <w:vMerge w:val="continue"/>
                  <w:shd w:val="clear" w:color="auto" w:fill="FFFFFF"/>
                  <w:noWrap/>
                  <w:vAlign w:val="center"/>
                </w:tcPr>
                <w:p w14:paraId="3435D1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569B1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7B669A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47.37</w:t>
                  </w:r>
                </w:p>
              </w:tc>
              <w:tc>
                <w:tcPr>
                  <w:tcW w:w="220" w:type="pct"/>
                  <w:shd w:val="clear" w:color="auto" w:fill="FFFFFF"/>
                  <w:noWrap/>
                  <w:vAlign w:val="center"/>
                </w:tcPr>
                <w:p w14:paraId="0BABC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D54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7FEA72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4B42E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360664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769B19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7FD51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2A0220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70.83</w:t>
                  </w:r>
                </w:p>
              </w:tc>
              <w:tc>
                <w:tcPr>
                  <w:tcW w:w="522" w:type="pct"/>
                  <w:shd w:val="clear" w:color="auto" w:fill="auto"/>
                  <w:noWrap/>
                  <w:vAlign w:val="center"/>
                </w:tcPr>
                <w:p w14:paraId="782617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153.06</w:t>
                  </w:r>
                </w:p>
              </w:tc>
              <w:tc>
                <w:tcPr>
                  <w:tcW w:w="256" w:type="pct"/>
                  <w:shd w:val="clear" w:color="auto" w:fill="auto"/>
                  <w:noWrap/>
                  <w:vAlign w:val="center"/>
                </w:tcPr>
                <w:p w14:paraId="2CFD4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5505A1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13.62</w:t>
                  </w:r>
                </w:p>
              </w:tc>
              <w:tc>
                <w:tcPr>
                  <w:tcW w:w="473" w:type="pct"/>
                  <w:shd w:val="clear" w:color="auto" w:fill="auto"/>
                  <w:noWrap/>
                  <w:vAlign w:val="center"/>
                </w:tcPr>
                <w:p w14:paraId="20953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68.28</w:t>
                  </w:r>
                </w:p>
              </w:tc>
              <w:tc>
                <w:tcPr>
                  <w:tcW w:w="266" w:type="pct"/>
                  <w:vMerge w:val="continue"/>
                  <w:shd w:val="clear" w:color="auto" w:fill="auto"/>
                  <w:noWrap/>
                  <w:vAlign w:val="center"/>
                </w:tcPr>
                <w:p w14:paraId="51FEA6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431DB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758653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47.28</w:t>
                  </w:r>
                </w:p>
              </w:tc>
              <w:tc>
                <w:tcPr>
                  <w:tcW w:w="220" w:type="pct"/>
                  <w:shd w:val="clear" w:color="auto" w:fill="auto"/>
                  <w:noWrap/>
                  <w:vAlign w:val="center"/>
                </w:tcPr>
                <w:p w14:paraId="309639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0C56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07769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25180F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7D364B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2A519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5AA8CA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54404B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70.83</w:t>
                  </w:r>
                </w:p>
              </w:tc>
              <w:tc>
                <w:tcPr>
                  <w:tcW w:w="522" w:type="pct"/>
                  <w:shd w:val="clear" w:color="auto" w:fill="FFFFFF"/>
                  <w:noWrap/>
                  <w:vAlign w:val="center"/>
                </w:tcPr>
                <w:p w14:paraId="4F33B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153.06</w:t>
                  </w:r>
                </w:p>
              </w:tc>
              <w:tc>
                <w:tcPr>
                  <w:tcW w:w="256" w:type="pct"/>
                  <w:shd w:val="clear" w:color="auto" w:fill="FFFFFF"/>
                  <w:noWrap/>
                  <w:vAlign w:val="center"/>
                </w:tcPr>
                <w:p w14:paraId="442127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746D2E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41.91</w:t>
                  </w:r>
                </w:p>
              </w:tc>
              <w:tc>
                <w:tcPr>
                  <w:tcW w:w="473" w:type="pct"/>
                  <w:shd w:val="clear" w:color="auto" w:fill="FFFFFF"/>
                  <w:noWrap/>
                  <w:vAlign w:val="center"/>
                </w:tcPr>
                <w:p w14:paraId="1DA67A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68.26</w:t>
                  </w:r>
                </w:p>
              </w:tc>
              <w:tc>
                <w:tcPr>
                  <w:tcW w:w="266" w:type="pct"/>
                  <w:vMerge w:val="continue"/>
                  <w:shd w:val="clear" w:color="auto" w:fill="FFFFFF"/>
                  <w:noWrap/>
                  <w:vAlign w:val="center"/>
                </w:tcPr>
                <w:p w14:paraId="39D16C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2DF4F2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371E0A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47.26</w:t>
                  </w:r>
                </w:p>
              </w:tc>
              <w:tc>
                <w:tcPr>
                  <w:tcW w:w="220" w:type="pct"/>
                  <w:shd w:val="clear" w:color="auto" w:fill="FFFFFF"/>
                  <w:noWrap/>
                  <w:vAlign w:val="center"/>
                </w:tcPr>
                <w:p w14:paraId="489BA1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3C9E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2881D8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3417D0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6C4EDA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6F938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7F5348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4C5A9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70.83</w:t>
                  </w:r>
                </w:p>
              </w:tc>
              <w:tc>
                <w:tcPr>
                  <w:tcW w:w="522" w:type="pct"/>
                  <w:shd w:val="clear" w:color="auto" w:fill="auto"/>
                  <w:noWrap/>
                  <w:vAlign w:val="center"/>
                </w:tcPr>
                <w:p w14:paraId="1C9EF6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153.06</w:t>
                  </w:r>
                </w:p>
              </w:tc>
              <w:tc>
                <w:tcPr>
                  <w:tcW w:w="256" w:type="pct"/>
                  <w:shd w:val="clear" w:color="auto" w:fill="auto"/>
                  <w:noWrap/>
                  <w:vAlign w:val="center"/>
                </w:tcPr>
                <w:p w14:paraId="652812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6388E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21.46</w:t>
                  </w:r>
                </w:p>
              </w:tc>
              <w:tc>
                <w:tcPr>
                  <w:tcW w:w="473" w:type="pct"/>
                  <w:shd w:val="clear" w:color="auto" w:fill="auto"/>
                  <w:noWrap/>
                  <w:vAlign w:val="center"/>
                </w:tcPr>
                <w:p w14:paraId="3C79CD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68.27</w:t>
                  </w:r>
                </w:p>
              </w:tc>
              <w:tc>
                <w:tcPr>
                  <w:tcW w:w="266" w:type="pct"/>
                  <w:vMerge w:val="continue"/>
                  <w:shd w:val="clear" w:color="auto" w:fill="auto"/>
                  <w:noWrap/>
                  <w:vAlign w:val="center"/>
                </w:tcPr>
                <w:p w14:paraId="25A594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169548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29AD85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47.27</w:t>
                  </w:r>
                </w:p>
              </w:tc>
              <w:tc>
                <w:tcPr>
                  <w:tcW w:w="220" w:type="pct"/>
                  <w:shd w:val="clear" w:color="auto" w:fill="auto"/>
                  <w:noWrap/>
                  <w:vAlign w:val="center"/>
                </w:tcPr>
                <w:p w14:paraId="011FE7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039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192D37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13</w:t>
                  </w:r>
                </w:p>
              </w:tc>
              <w:tc>
                <w:tcPr>
                  <w:tcW w:w="254" w:type="pct"/>
                  <w:vMerge w:val="restart"/>
                  <w:shd w:val="clear" w:color="auto" w:fill="FFFFFF"/>
                  <w:noWrap/>
                  <w:vAlign w:val="center"/>
                </w:tcPr>
                <w:p w14:paraId="3B3C44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72B76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风机3</w:t>
                  </w:r>
                </w:p>
              </w:tc>
              <w:tc>
                <w:tcPr>
                  <w:tcW w:w="315" w:type="pct"/>
                  <w:shd w:val="clear" w:color="auto" w:fill="FFFFFF"/>
                  <w:noWrap/>
                  <w:vAlign w:val="center"/>
                </w:tcPr>
                <w:p w14:paraId="19F62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02DC7E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1F3B7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67.7</w:t>
                  </w:r>
                </w:p>
              </w:tc>
              <w:tc>
                <w:tcPr>
                  <w:tcW w:w="522" w:type="pct"/>
                  <w:shd w:val="clear" w:color="auto" w:fill="FFFFFF"/>
                  <w:noWrap/>
                  <w:vAlign w:val="center"/>
                </w:tcPr>
                <w:p w14:paraId="227B80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158.8</w:t>
                  </w:r>
                </w:p>
              </w:tc>
              <w:tc>
                <w:tcPr>
                  <w:tcW w:w="256" w:type="pct"/>
                  <w:shd w:val="clear" w:color="auto" w:fill="FFFFFF"/>
                  <w:noWrap/>
                  <w:vAlign w:val="center"/>
                </w:tcPr>
                <w:p w14:paraId="08665E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607FEB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5.23</w:t>
                  </w:r>
                </w:p>
              </w:tc>
              <w:tc>
                <w:tcPr>
                  <w:tcW w:w="473" w:type="pct"/>
                  <w:shd w:val="clear" w:color="auto" w:fill="FFFFFF"/>
                  <w:noWrap/>
                  <w:vAlign w:val="center"/>
                </w:tcPr>
                <w:p w14:paraId="4EFE6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68.44</w:t>
                  </w:r>
                </w:p>
              </w:tc>
              <w:tc>
                <w:tcPr>
                  <w:tcW w:w="266" w:type="pct"/>
                  <w:vMerge w:val="continue"/>
                  <w:shd w:val="clear" w:color="auto" w:fill="FFFFFF"/>
                  <w:noWrap/>
                  <w:vAlign w:val="center"/>
                </w:tcPr>
                <w:p w14:paraId="73490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699207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034495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47.44</w:t>
                  </w:r>
                </w:p>
              </w:tc>
              <w:tc>
                <w:tcPr>
                  <w:tcW w:w="220" w:type="pct"/>
                  <w:shd w:val="clear" w:color="auto" w:fill="FFFFFF"/>
                  <w:noWrap/>
                  <w:vAlign w:val="center"/>
                </w:tcPr>
                <w:p w14:paraId="63DC5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347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0E2169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1A04F7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74E18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3A8AF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389577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69506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67.7</w:t>
                  </w:r>
                </w:p>
              </w:tc>
              <w:tc>
                <w:tcPr>
                  <w:tcW w:w="522" w:type="pct"/>
                  <w:shd w:val="clear" w:color="auto" w:fill="auto"/>
                  <w:noWrap/>
                  <w:vAlign w:val="center"/>
                </w:tcPr>
                <w:p w14:paraId="79A202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158.8</w:t>
                  </w:r>
                </w:p>
              </w:tc>
              <w:tc>
                <w:tcPr>
                  <w:tcW w:w="256" w:type="pct"/>
                  <w:shd w:val="clear" w:color="auto" w:fill="auto"/>
                  <w:noWrap/>
                  <w:vAlign w:val="center"/>
                </w:tcPr>
                <w:p w14:paraId="439F8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726A3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20.08</w:t>
                  </w:r>
                </w:p>
              </w:tc>
              <w:tc>
                <w:tcPr>
                  <w:tcW w:w="473" w:type="pct"/>
                  <w:shd w:val="clear" w:color="auto" w:fill="auto"/>
                  <w:noWrap/>
                  <w:vAlign w:val="center"/>
                </w:tcPr>
                <w:p w14:paraId="37ACA5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68.27</w:t>
                  </w:r>
                </w:p>
              </w:tc>
              <w:tc>
                <w:tcPr>
                  <w:tcW w:w="266" w:type="pct"/>
                  <w:vMerge w:val="continue"/>
                  <w:shd w:val="clear" w:color="auto" w:fill="auto"/>
                  <w:noWrap/>
                  <w:vAlign w:val="center"/>
                </w:tcPr>
                <w:p w14:paraId="4D9E8B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1F2FD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3AD6CF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47.27</w:t>
                  </w:r>
                </w:p>
              </w:tc>
              <w:tc>
                <w:tcPr>
                  <w:tcW w:w="220" w:type="pct"/>
                  <w:shd w:val="clear" w:color="auto" w:fill="auto"/>
                  <w:noWrap/>
                  <w:vAlign w:val="center"/>
                </w:tcPr>
                <w:p w14:paraId="6A430D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45A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298457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45960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135F26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07547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3BB041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64E78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67.7</w:t>
                  </w:r>
                </w:p>
              </w:tc>
              <w:tc>
                <w:tcPr>
                  <w:tcW w:w="522" w:type="pct"/>
                  <w:shd w:val="clear" w:color="auto" w:fill="FFFFFF"/>
                  <w:noWrap/>
                  <w:vAlign w:val="center"/>
                </w:tcPr>
                <w:p w14:paraId="4F8B1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158.8</w:t>
                  </w:r>
                </w:p>
              </w:tc>
              <w:tc>
                <w:tcPr>
                  <w:tcW w:w="256" w:type="pct"/>
                  <w:shd w:val="clear" w:color="auto" w:fill="FFFFFF"/>
                  <w:noWrap/>
                  <w:vAlign w:val="center"/>
                </w:tcPr>
                <w:p w14:paraId="238B5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4543EC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42.60</w:t>
                  </w:r>
                </w:p>
              </w:tc>
              <w:tc>
                <w:tcPr>
                  <w:tcW w:w="473" w:type="pct"/>
                  <w:shd w:val="clear" w:color="auto" w:fill="FFFFFF"/>
                  <w:noWrap/>
                  <w:vAlign w:val="center"/>
                </w:tcPr>
                <w:p w14:paraId="049F23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68.26</w:t>
                  </w:r>
                </w:p>
              </w:tc>
              <w:tc>
                <w:tcPr>
                  <w:tcW w:w="266" w:type="pct"/>
                  <w:vMerge w:val="continue"/>
                  <w:shd w:val="clear" w:color="auto" w:fill="FFFFFF"/>
                  <w:noWrap/>
                  <w:vAlign w:val="center"/>
                </w:tcPr>
                <w:p w14:paraId="02C0E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6E0FF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170903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47.26</w:t>
                  </w:r>
                </w:p>
              </w:tc>
              <w:tc>
                <w:tcPr>
                  <w:tcW w:w="220" w:type="pct"/>
                  <w:shd w:val="clear" w:color="auto" w:fill="FFFFFF"/>
                  <w:noWrap/>
                  <w:vAlign w:val="center"/>
                </w:tcPr>
                <w:p w14:paraId="7FF08F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0B4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12AA7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674088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5D772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763D08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2943F7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0DB2B2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67.7</w:t>
                  </w:r>
                </w:p>
              </w:tc>
              <w:tc>
                <w:tcPr>
                  <w:tcW w:w="522" w:type="pct"/>
                  <w:shd w:val="clear" w:color="auto" w:fill="auto"/>
                  <w:noWrap/>
                  <w:vAlign w:val="center"/>
                </w:tcPr>
                <w:p w14:paraId="126B72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158.8</w:t>
                  </w:r>
                </w:p>
              </w:tc>
              <w:tc>
                <w:tcPr>
                  <w:tcW w:w="256" w:type="pct"/>
                  <w:shd w:val="clear" w:color="auto" w:fill="auto"/>
                  <w:noWrap/>
                  <w:vAlign w:val="center"/>
                </w:tcPr>
                <w:p w14:paraId="074260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6C7EC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w:t>
                  </w:r>
                </w:p>
              </w:tc>
              <w:tc>
                <w:tcPr>
                  <w:tcW w:w="473" w:type="pct"/>
                  <w:shd w:val="clear" w:color="auto" w:fill="auto"/>
                  <w:noWrap/>
                  <w:vAlign w:val="center"/>
                </w:tcPr>
                <w:p w14:paraId="527FA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68.28</w:t>
                  </w:r>
                </w:p>
              </w:tc>
              <w:tc>
                <w:tcPr>
                  <w:tcW w:w="266" w:type="pct"/>
                  <w:vMerge w:val="continue"/>
                  <w:shd w:val="clear" w:color="auto" w:fill="auto"/>
                  <w:noWrap/>
                  <w:vAlign w:val="center"/>
                </w:tcPr>
                <w:p w14:paraId="6C2F02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4A0F2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4A51A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47.28</w:t>
                  </w:r>
                </w:p>
              </w:tc>
              <w:tc>
                <w:tcPr>
                  <w:tcW w:w="220" w:type="pct"/>
                  <w:shd w:val="clear" w:color="auto" w:fill="auto"/>
                  <w:noWrap/>
                  <w:vAlign w:val="center"/>
                </w:tcPr>
                <w:p w14:paraId="3FD412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B39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1C5024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14</w:t>
                  </w:r>
                </w:p>
              </w:tc>
              <w:tc>
                <w:tcPr>
                  <w:tcW w:w="254" w:type="pct"/>
                  <w:vMerge w:val="restart"/>
                  <w:shd w:val="clear" w:color="auto" w:fill="FFFFFF"/>
                  <w:noWrap/>
                  <w:vAlign w:val="center"/>
                </w:tcPr>
                <w:p w14:paraId="45413A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32D5B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风机5</w:t>
                  </w:r>
                </w:p>
              </w:tc>
              <w:tc>
                <w:tcPr>
                  <w:tcW w:w="315" w:type="pct"/>
                  <w:shd w:val="clear" w:color="auto" w:fill="FFFFFF"/>
                  <w:noWrap/>
                  <w:vAlign w:val="center"/>
                </w:tcPr>
                <w:p w14:paraId="1C4D6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2D8E66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5F18B2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90.91</w:t>
                  </w:r>
                </w:p>
              </w:tc>
              <w:tc>
                <w:tcPr>
                  <w:tcW w:w="522" w:type="pct"/>
                  <w:shd w:val="clear" w:color="auto" w:fill="FFFFFF"/>
                  <w:noWrap/>
                  <w:vAlign w:val="center"/>
                </w:tcPr>
                <w:p w14:paraId="41B7B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174.7</w:t>
                  </w:r>
                </w:p>
              </w:tc>
              <w:tc>
                <w:tcPr>
                  <w:tcW w:w="256" w:type="pct"/>
                  <w:shd w:val="clear" w:color="auto" w:fill="FFFFFF"/>
                  <w:noWrap/>
                  <w:vAlign w:val="center"/>
                </w:tcPr>
                <w:p w14:paraId="32018C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3CAE54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31.85</w:t>
                  </w:r>
                </w:p>
              </w:tc>
              <w:tc>
                <w:tcPr>
                  <w:tcW w:w="473" w:type="pct"/>
                  <w:shd w:val="clear" w:color="auto" w:fill="FFFFFF"/>
                  <w:noWrap/>
                  <w:vAlign w:val="center"/>
                </w:tcPr>
                <w:p w14:paraId="0C9C87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68.26</w:t>
                  </w:r>
                </w:p>
              </w:tc>
              <w:tc>
                <w:tcPr>
                  <w:tcW w:w="266" w:type="pct"/>
                  <w:vMerge w:val="continue"/>
                  <w:shd w:val="clear" w:color="auto" w:fill="FFFFFF"/>
                  <w:noWrap/>
                  <w:vAlign w:val="center"/>
                </w:tcPr>
                <w:p w14:paraId="2754B7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65D1B3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77FC9A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47.26</w:t>
                  </w:r>
                </w:p>
              </w:tc>
              <w:tc>
                <w:tcPr>
                  <w:tcW w:w="220" w:type="pct"/>
                  <w:shd w:val="clear" w:color="auto" w:fill="FFFFFF"/>
                  <w:noWrap/>
                  <w:vAlign w:val="center"/>
                </w:tcPr>
                <w:p w14:paraId="5C39F6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46B0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783009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00F465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792D3E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06A4A8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4E87C0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1A24DC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90.91</w:t>
                  </w:r>
                </w:p>
              </w:tc>
              <w:tc>
                <w:tcPr>
                  <w:tcW w:w="522" w:type="pct"/>
                  <w:shd w:val="clear" w:color="auto" w:fill="auto"/>
                  <w:noWrap/>
                  <w:vAlign w:val="center"/>
                </w:tcPr>
                <w:p w14:paraId="194D95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174.7</w:t>
                  </w:r>
                </w:p>
              </w:tc>
              <w:tc>
                <w:tcPr>
                  <w:tcW w:w="256" w:type="pct"/>
                  <w:shd w:val="clear" w:color="auto" w:fill="auto"/>
                  <w:noWrap/>
                  <w:vAlign w:val="center"/>
                </w:tcPr>
                <w:p w14:paraId="32F8DC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61D513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27.39</w:t>
                  </w:r>
                </w:p>
              </w:tc>
              <w:tc>
                <w:tcPr>
                  <w:tcW w:w="473" w:type="pct"/>
                  <w:shd w:val="clear" w:color="auto" w:fill="auto"/>
                  <w:noWrap/>
                  <w:vAlign w:val="center"/>
                </w:tcPr>
                <w:p w14:paraId="187FD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68.26</w:t>
                  </w:r>
                </w:p>
              </w:tc>
              <w:tc>
                <w:tcPr>
                  <w:tcW w:w="266" w:type="pct"/>
                  <w:vMerge w:val="continue"/>
                  <w:shd w:val="clear" w:color="auto" w:fill="auto"/>
                  <w:noWrap/>
                  <w:vAlign w:val="center"/>
                </w:tcPr>
                <w:p w14:paraId="6AE31E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58D63B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4A8CE0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47.26</w:t>
                  </w:r>
                </w:p>
              </w:tc>
              <w:tc>
                <w:tcPr>
                  <w:tcW w:w="220" w:type="pct"/>
                  <w:shd w:val="clear" w:color="auto" w:fill="auto"/>
                  <w:noWrap/>
                  <w:vAlign w:val="center"/>
                </w:tcPr>
                <w:p w14:paraId="44160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EA1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2D0775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6C38BE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0781EC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3A0F55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1108D5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0F158E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90.91</w:t>
                  </w:r>
                </w:p>
              </w:tc>
              <w:tc>
                <w:tcPr>
                  <w:tcW w:w="522" w:type="pct"/>
                  <w:shd w:val="clear" w:color="auto" w:fill="FFFFFF"/>
                  <w:noWrap/>
                  <w:vAlign w:val="center"/>
                </w:tcPr>
                <w:p w14:paraId="38CFC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174.7</w:t>
                  </w:r>
                </w:p>
              </w:tc>
              <w:tc>
                <w:tcPr>
                  <w:tcW w:w="256" w:type="pct"/>
                  <w:shd w:val="clear" w:color="auto" w:fill="FFFFFF"/>
                  <w:noWrap/>
                  <w:vAlign w:val="center"/>
                </w:tcPr>
                <w:p w14:paraId="18AAA3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13ADC4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15.06</w:t>
                  </w:r>
                </w:p>
              </w:tc>
              <w:tc>
                <w:tcPr>
                  <w:tcW w:w="473" w:type="pct"/>
                  <w:shd w:val="clear" w:color="auto" w:fill="FFFFFF"/>
                  <w:noWrap/>
                  <w:vAlign w:val="center"/>
                </w:tcPr>
                <w:p w14:paraId="4C53AB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68.28</w:t>
                  </w:r>
                </w:p>
              </w:tc>
              <w:tc>
                <w:tcPr>
                  <w:tcW w:w="266" w:type="pct"/>
                  <w:vMerge w:val="continue"/>
                  <w:shd w:val="clear" w:color="auto" w:fill="FFFFFF"/>
                  <w:noWrap/>
                  <w:vAlign w:val="center"/>
                </w:tcPr>
                <w:p w14:paraId="6C4447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4597D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283EC8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47.28</w:t>
                  </w:r>
                </w:p>
              </w:tc>
              <w:tc>
                <w:tcPr>
                  <w:tcW w:w="220" w:type="pct"/>
                  <w:shd w:val="clear" w:color="auto" w:fill="FFFFFF"/>
                  <w:noWrap/>
                  <w:vAlign w:val="center"/>
                </w:tcPr>
                <w:p w14:paraId="06180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E31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20ED1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7E7FB5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6FB85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69310F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2776A9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0CD93E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90.91</w:t>
                  </w:r>
                </w:p>
              </w:tc>
              <w:tc>
                <w:tcPr>
                  <w:tcW w:w="522" w:type="pct"/>
                  <w:shd w:val="clear" w:color="auto" w:fill="auto"/>
                  <w:noWrap/>
                  <w:vAlign w:val="center"/>
                </w:tcPr>
                <w:p w14:paraId="3E92B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174.7</w:t>
                  </w:r>
                </w:p>
              </w:tc>
              <w:tc>
                <w:tcPr>
                  <w:tcW w:w="256" w:type="pct"/>
                  <w:shd w:val="clear" w:color="auto" w:fill="auto"/>
                  <w:noWrap/>
                  <w:vAlign w:val="center"/>
                </w:tcPr>
                <w:p w14:paraId="4F2C1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6DE175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8.12</w:t>
                  </w:r>
                </w:p>
              </w:tc>
              <w:tc>
                <w:tcPr>
                  <w:tcW w:w="473" w:type="pct"/>
                  <w:shd w:val="clear" w:color="auto" w:fill="auto"/>
                  <w:noWrap/>
                  <w:vAlign w:val="center"/>
                </w:tcPr>
                <w:p w14:paraId="2E0D0C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68.33</w:t>
                  </w:r>
                </w:p>
              </w:tc>
              <w:tc>
                <w:tcPr>
                  <w:tcW w:w="266" w:type="pct"/>
                  <w:vMerge w:val="continue"/>
                  <w:shd w:val="clear" w:color="auto" w:fill="auto"/>
                  <w:noWrap/>
                  <w:vAlign w:val="center"/>
                </w:tcPr>
                <w:p w14:paraId="2C59B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228ED0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7D072B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47.33</w:t>
                  </w:r>
                </w:p>
              </w:tc>
              <w:tc>
                <w:tcPr>
                  <w:tcW w:w="220" w:type="pct"/>
                  <w:shd w:val="clear" w:color="auto" w:fill="auto"/>
                  <w:noWrap/>
                  <w:vAlign w:val="center"/>
                </w:tcPr>
                <w:p w14:paraId="08767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0D53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restart"/>
                  <w:shd w:val="clear" w:color="auto" w:fill="FFFFFF"/>
                  <w:noWrap/>
                  <w:vAlign w:val="center"/>
                </w:tcPr>
                <w:p w14:paraId="47D9FB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sz w:val="18"/>
                      <w:szCs w:val="18"/>
                      <w:u w:val="none"/>
                      <w:lang w:val="en-US" w:eastAsia="zh-CN"/>
                    </w:rPr>
                    <w:t>15</w:t>
                  </w:r>
                </w:p>
              </w:tc>
              <w:tc>
                <w:tcPr>
                  <w:tcW w:w="254" w:type="pct"/>
                  <w:vMerge w:val="restart"/>
                  <w:shd w:val="clear" w:color="auto" w:fill="FFFFFF"/>
                  <w:noWrap/>
                  <w:vAlign w:val="center"/>
                </w:tcPr>
                <w:p w14:paraId="159532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搅拌楼</w:t>
                  </w:r>
                </w:p>
              </w:tc>
              <w:tc>
                <w:tcPr>
                  <w:tcW w:w="315" w:type="pct"/>
                  <w:vMerge w:val="restart"/>
                  <w:shd w:val="clear" w:color="auto" w:fill="FFFFFF"/>
                  <w:noWrap/>
                  <w:vAlign w:val="center"/>
                </w:tcPr>
                <w:p w14:paraId="23F1B7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风机6</w:t>
                  </w:r>
                </w:p>
              </w:tc>
              <w:tc>
                <w:tcPr>
                  <w:tcW w:w="315" w:type="pct"/>
                  <w:shd w:val="clear" w:color="auto" w:fill="FFFFFF"/>
                  <w:noWrap/>
                  <w:vAlign w:val="center"/>
                </w:tcPr>
                <w:p w14:paraId="264B95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1CD327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0FA67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97.43</w:t>
                  </w:r>
                </w:p>
              </w:tc>
              <w:tc>
                <w:tcPr>
                  <w:tcW w:w="522" w:type="pct"/>
                  <w:shd w:val="clear" w:color="auto" w:fill="FFFFFF"/>
                  <w:noWrap/>
                  <w:vAlign w:val="center"/>
                </w:tcPr>
                <w:p w14:paraId="647A5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180.44</w:t>
                  </w:r>
                </w:p>
              </w:tc>
              <w:tc>
                <w:tcPr>
                  <w:tcW w:w="256" w:type="pct"/>
                  <w:shd w:val="clear" w:color="auto" w:fill="FFFFFF"/>
                  <w:noWrap/>
                  <w:vAlign w:val="center"/>
                </w:tcPr>
                <w:p w14:paraId="5ADC0E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2AEDDB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39.67</w:t>
                  </w:r>
                </w:p>
              </w:tc>
              <w:tc>
                <w:tcPr>
                  <w:tcW w:w="473" w:type="pct"/>
                  <w:shd w:val="clear" w:color="auto" w:fill="FFFFFF"/>
                  <w:noWrap/>
                  <w:vAlign w:val="center"/>
                </w:tcPr>
                <w:p w14:paraId="61C6C6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68.26</w:t>
                  </w:r>
                </w:p>
              </w:tc>
              <w:tc>
                <w:tcPr>
                  <w:tcW w:w="266" w:type="pct"/>
                  <w:vMerge w:val="continue"/>
                  <w:shd w:val="clear" w:color="auto" w:fill="FFFFFF"/>
                  <w:noWrap/>
                  <w:vAlign w:val="center"/>
                </w:tcPr>
                <w:p w14:paraId="3C4963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56E418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13200E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47.26</w:t>
                  </w:r>
                </w:p>
              </w:tc>
              <w:tc>
                <w:tcPr>
                  <w:tcW w:w="220" w:type="pct"/>
                  <w:shd w:val="clear" w:color="auto" w:fill="FFFFFF"/>
                  <w:noWrap/>
                  <w:vAlign w:val="center"/>
                </w:tcPr>
                <w:p w14:paraId="08226A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365D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26B4D1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25E222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313015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58BFC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23FC80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7BE147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97.43</w:t>
                  </w:r>
                </w:p>
              </w:tc>
              <w:tc>
                <w:tcPr>
                  <w:tcW w:w="522" w:type="pct"/>
                  <w:shd w:val="clear" w:color="auto" w:fill="auto"/>
                  <w:noWrap/>
                  <w:vAlign w:val="center"/>
                </w:tcPr>
                <w:p w14:paraId="2CC6A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180.44</w:t>
                  </w:r>
                </w:p>
              </w:tc>
              <w:tc>
                <w:tcPr>
                  <w:tcW w:w="256" w:type="pct"/>
                  <w:shd w:val="clear" w:color="auto" w:fill="auto"/>
                  <w:noWrap/>
                  <w:vAlign w:val="center"/>
                </w:tcPr>
                <w:p w14:paraId="265C0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739C4B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30.64</w:t>
                  </w:r>
                </w:p>
              </w:tc>
              <w:tc>
                <w:tcPr>
                  <w:tcW w:w="473" w:type="pct"/>
                  <w:shd w:val="clear" w:color="auto" w:fill="auto"/>
                  <w:noWrap/>
                  <w:vAlign w:val="center"/>
                </w:tcPr>
                <w:p w14:paraId="54186A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68.26</w:t>
                  </w:r>
                </w:p>
              </w:tc>
              <w:tc>
                <w:tcPr>
                  <w:tcW w:w="266" w:type="pct"/>
                  <w:vMerge w:val="continue"/>
                  <w:shd w:val="clear" w:color="auto" w:fill="auto"/>
                  <w:noWrap/>
                  <w:vAlign w:val="center"/>
                </w:tcPr>
                <w:p w14:paraId="79AEB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405E07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72CB7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47.26</w:t>
                  </w:r>
                </w:p>
              </w:tc>
              <w:tc>
                <w:tcPr>
                  <w:tcW w:w="220" w:type="pct"/>
                  <w:shd w:val="clear" w:color="auto" w:fill="auto"/>
                  <w:noWrap/>
                  <w:vAlign w:val="center"/>
                </w:tcPr>
                <w:p w14:paraId="2852C1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1335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8" w:type="pct"/>
                  <w:vMerge w:val="continue"/>
                  <w:shd w:val="clear" w:color="auto" w:fill="FFFFFF"/>
                  <w:noWrap/>
                  <w:vAlign w:val="center"/>
                </w:tcPr>
                <w:p w14:paraId="47F1AA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FFFFFF"/>
                  <w:noWrap/>
                  <w:vAlign w:val="center"/>
                </w:tcPr>
                <w:p w14:paraId="3E88E9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FFFFFF"/>
                  <w:noWrap/>
                  <w:vAlign w:val="center"/>
                </w:tcPr>
                <w:p w14:paraId="2FF208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FFFFFF"/>
                  <w:noWrap/>
                  <w:vAlign w:val="center"/>
                </w:tcPr>
                <w:p w14:paraId="08C315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FFFFFF"/>
                  <w:noWrap/>
                  <w:vAlign w:val="center"/>
                </w:tcPr>
                <w:p w14:paraId="58216C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FFFFFF"/>
                  <w:noWrap/>
                  <w:vAlign w:val="center"/>
                </w:tcPr>
                <w:p w14:paraId="3B633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97.43</w:t>
                  </w:r>
                </w:p>
              </w:tc>
              <w:tc>
                <w:tcPr>
                  <w:tcW w:w="522" w:type="pct"/>
                  <w:shd w:val="clear" w:color="auto" w:fill="FFFFFF"/>
                  <w:noWrap/>
                  <w:vAlign w:val="center"/>
                </w:tcPr>
                <w:p w14:paraId="3359D3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180.44</w:t>
                  </w:r>
                </w:p>
              </w:tc>
              <w:tc>
                <w:tcPr>
                  <w:tcW w:w="256" w:type="pct"/>
                  <w:shd w:val="clear" w:color="auto" w:fill="FFFFFF"/>
                  <w:noWrap/>
                  <w:vAlign w:val="center"/>
                </w:tcPr>
                <w:p w14:paraId="192FD8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FFFFFF"/>
                  <w:noWrap/>
                  <w:vAlign w:val="center"/>
                </w:tcPr>
                <w:p w14:paraId="2817A1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6.84</w:t>
                  </w:r>
                </w:p>
              </w:tc>
              <w:tc>
                <w:tcPr>
                  <w:tcW w:w="473" w:type="pct"/>
                  <w:shd w:val="clear" w:color="auto" w:fill="FFFFFF"/>
                  <w:noWrap/>
                  <w:vAlign w:val="center"/>
                </w:tcPr>
                <w:p w14:paraId="3AE658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68.36</w:t>
                  </w:r>
                </w:p>
              </w:tc>
              <w:tc>
                <w:tcPr>
                  <w:tcW w:w="266" w:type="pct"/>
                  <w:vMerge w:val="continue"/>
                  <w:shd w:val="clear" w:color="auto" w:fill="FFFFFF"/>
                  <w:noWrap/>
                  <w:vAlign w:val="center"/>
                </w:tcPr>
                <w:p w14:paraId="14F147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FFFFFF"/>
                  <w:noWrap/>
                  <w:vAlign w:val="center"/>
                </w:tcPr>
                <w:p w14:paraId="51FA7C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FFFFFF"/>
                  <w:noWrap/>
                  <w:vAlign w:val="center"/>
                </w:tcPr>
                <w:p w14:paraId="09289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47.36</w:t>
                  </w:r>
                </w:p>
              </w:tc>
              <w:tc>
                <w:tcPr>
                  <w:tcW w:w="220" w:type="pct"/>
                  <w:shd w:val="clear" w:color="auto" w:fill="FFFFFF"/>
                  <w:noWrap/>
                  <w:vAlign w:val="center"/>
                </w:tcPr>
                <w:p w14:paraId="6AA01F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7714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18" w:type="pct"/>
                  <w:vMerge w:val="continue"/>
                  <w:shd w:val="clear" w:color="auto" w:fill="auto"/>
                  <w:noWrap/>
                  <w:vAlign w:val="center"/>
                </w:tcPr>
                <w:p w14:paraId="292BD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254" w:type="pct"/>
                  <w:vMerge w:val="continue"/>
                  <w:shd w:val="clear" w:color="auto" w:fill="auto"/>
                  <w:noWrap/>
                  <w:vAlign w:val="center"/>
                </w:tcPr>
                <w:p w14:paraId="7CEC69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vMerge w:val="continue"/>
                  <w:shd w:val="clear" w:color="auto" w:fill="auto"/>
                  <w:noWrap/>
                  <w:vAlign w:val="center"/>
                </w:tcPr>
                <w:p w14:paraId="382E6F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15" w:type="pct"/>
                  <w:shd w:val="clear" w:color="auto" w:fill="auto"/>
                  <w:noWrap/>
                  <w:vAlign w:val="center"/>
                </w:tcPr>
                <w:p w14:paraId="58A9E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285" w:type="pct"/>
                  <w:vMerge w:val="continue"/>
                  <w:shd w:val="clear" w:color="auto" w:fill="auto"/>
                  <w:noWrap/>
                  <w:vAlign w:val="center"/>
                </w:tcPr>
                <w:p w14:paraId="3CA5A3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18"/>
                      <w:szCs w:val="18"/>
                      <w:u w:val="none"/>
                    </w:rPr>
                  </w:pPr>
                </w:p>
              </w:tc>
              <w:tc>
                <w:tcPr>
                  <w:tcW w:w="611" w:type="pct"/>
                  <w:shd w:val="clear" w:color="auto" w:fill="auto"/>
                  <w:noWrap/>
                  <w:vAlign w:val="center"/>
                </w:tcPr>
                <w:p w14:paraId="6E3F4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97.43</w:t>
                  </w:r>
                </w:p>
              </w:tc>
              <w:tc>
                <w:tcPr>
                  <w:tcW w:w="522" w:type="pct"/>
                  <w:shd w:val="clear" w:color="auto" w:fill="auto"/>
                  <w:noWrap/>
                  <w:vAlign w:val="center"/>
                </w:tcPr>
                <w:p w14:paraId="17B213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180.44</w:t>
                  </w:r>
                </w:p>
              </w:tc>
              <w:tc>
                <w:tcPr>
                  <w:tcW w:w="256" w:type="pct"/>
                  <w:shd w:val="clear" w:color="auto" w:fill="auto"/>
                  <w:noWrap/>
                  <w:vAlign w:val="center"/>
                </w:tcPr>
                <w:p w14:paraId="21D263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443" w:type="pct"/>
                  <w:shd w:val="clear" w:color="auto" w:fill="auto"/>
                  <w:noWrap/>
                  <w:vAlign w:val="center"/>
                </w:tcPr>
                <w:p w14:paraId="4A1CDC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473" w:type="pct"/>
                  <w:shd w:val="clear" w:color="auto" w:fill="auto"/>
                  <w:noWrap/>
                  <w:vAlign w:val="center"/>
                </w:tcPr>
                <w:p w14:paraId="5F394D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68.46</w:t>
                  </w:r>
                </w:p>
              </w:tc>
              <w:tc>
                <w:tcPr>
                  <w:tcW w:w="266" w:type="pct"/>
                  <w:vMerge w:val="continue"/>
                  <w:shd w:val="clear" w:color="auto" w:fill="auto"/>
                  <w:noWrap/>
                  <w:vAlign w:val="center"/>
                </w:tcPr>
                <w:p w14:paraId="57C85D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p>
              </w:tc>
              <w:tc>
                <w:tcPr>
                  <w:tcW w:w="335" w:type="pct"/>
                  <w:shd w:val="clear" w:color="auto" w:fill="auto"/>
                  <w:noWrap/>
                  <w:vAlign w:val="center"/>
                </w:tcPr>
                <w:p w14:paraId="5F5C9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482" w:type="pct"/>
                  <w:shd w:val="clear" w:color="auto" w:fill="auto"/>
                  <w:noWrap/>
                  <w:vAlign w:val="center"/>
                </w:tcPr>
                <w:p w14:paraId="50A1B8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47.46</w:t>
                  </w:r>
                </w:p>
              </w:tc>
              <w:tc>
                <w:tcPr>
                  <w:tcW w:w="220" w:type="pct"/>
                  <w:shd w:val="clear" w:color="auto" w:fill="auto"/>
                  <w:noWrap/>
                  <w:vAlign w:val="center"/>
                </w:tcPr>
                <w:p w14:paraId="51AE97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bl>
          <w:p w14:paraId="50380C87">
            <w:pPr>
              <w:numPr>
                <w:ilvl w:val="0"/>
                <w:numId w:val="0"/>
              </w:num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 xml:space="preserve">4 </w:t>
            </w:r>
            <w:r>
              <w:rPr>
                <w:rFonts w:hint="default" w:ascii="Times New Roman" w:hAnsi="Times New Roman" w:eastAsia="宋体" w:cs="Times New Roman"/>
                <w:b/>
                <w:bCs/>
                <w:color w:val="auto"/>
                <w:sz w:val="21"/>
                <w:szCs w:val="21"/>
                <w:highlight w:val="none"/>
                <w:lang w:val="en-US" w:eastAsia="zh-CN"/>
              </w:rPr>
              <w:t>项目</w:t>
            </w:r>
            <w:r>
              <w:rPr>
                <w:rFonts w:hint="eastAsia" w:ascii="Times New Roman" w:hAnsi="Times New Roman" w:eastAsia="宋体" w:cs="Times New Roman"/>
                <w:b/>
                <w:bCs/>
                <w:color w:val="auto"/>
                <w:sz w:val="21"/>
                <w:szCs w:val="21"/>
                <w:highlight w:val="none"/>
                <w:lang w:val="en-US" w:eastAsia="zh-CN"/>
              </w:rPr>
              <w:t>室外</w:t>
            </w:r>
            <w:r>
              <w:rPr>
                <w:rFonts w:hint="default" w:ascii="Times New Roman" w:hAnsi="Times New Roman" w:eastAsia="宋体" w:cs="Times New Roman"/>
                <w:b/>
                <w:bCs/>
                <w:color w:val="auto"/>
                <w:sz w:val="21"/>
                <w:szCs w:val="21"/>
                <w:highlight w:val="none"/>
                <w:lang w:val="en-US" w:eastAsia="zh-CN"/>
              </w:rPr>
              <w:t>主要噪声源一览表</w:t>
            </w:r>
          </w:p>
          <w:tbl>
            <w:tblPr>
              <w:tblStyle w:val="27"/>
              <w:tblW w:w="7605"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7"/>
              <w:gridCol w:w="938"/>
              <w:gridCol w:w="1026"/>
              <w:gridCol w:w="855"/>
              <w:gridCol w:w="885"/>
              <w:gridCol w:w="1005"/>
              <w:gridCol w:w="1284"/>
              <w:gridCol w:w="1065"/>
            </w:tblGrid>
            <w:tr w14:paraId="3278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trPr>
              <w:tc>
                <w:tcPr>
                  <w:tcW w:w="547" w:type="dxa"/>
                  <w:vMerge w:val="restart"/>
                  <w:shd w:val="clear" w:color="auto" w:fill="F0F0F0"/>
                  <w:noWrap/>
                  <w:vAlign w:val="center"/>
                </w:tcPr>
                <w:p w14:paraId="325C9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938" w:type="dxa"/>
                  <w:vMerge w:val="restart"/>
                  <w:shd w:val="clear" w:color="auto" w:fill="F0F0F0"/>
                  <w:noWrap/>
                  <w:vAlign w:val="center"/>
                </w:tcPr>
                <w:p w14:paraId="40BA36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声源名称</w:t>
                  </w:r>
                </w:p>
              </w:tc>
              <w:tc>
                <w:tcPr>
                  <w:tcW w:w="2766" w:type="dxa"/>
                  <w:gridSpan w:val="3"/>
                  <w:shd w:val="clear" w:color="auto" w:fill="F0F0F0"/>
                  <w:noWrap/>
                  <w:vAlign w:val="center"/>
                </w:tcPr>
                <w:p w14:paraId="4B0E79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空间相对位置/m</w:t>
                  </w:r>
                </w:p>
              </w:tc>
              <w:tc>
                <w:tcPr>
                  <w:tcW w:w="1005" w:type="dxa"/>
                  <w:vMerge w:val="restart"/>
                  <w:shd w:val="clear" w:color="auto" w:fill="F0F0F0"/>
                  <w:noWrap/>
                  <w:vAlign w:val="center"/>
                </w:tcPr>
                <w:p w14:paraId="033BAB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声功率级</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/dB(A</w:t>
                  </w:r>
                </w:p>
              </w:tc>
              <w:tc>
                <w:tcPr>
                  <w:tcW w:w="1284" w:type="dxa"/>
                  <w:vMerge w:val="restart"/>
                  <w:shd w:val="clear" w:color="auto" w:fill="F0F0F0"/>
                  <w:noWrap/>
                  <w:vAlign w:val="center"/>
                </w:tcPr>
                <w:p w14:paraId="77A11C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声源控制措施</w:t>
                  </w:r>
                </w:p>
              </w:tc>
              <w:tc>
                <w:tcPr>
                  <w:tcW w:w="1065" w:type="dxa"/>
                  <w:vMerge w:val="restart"/>
                  <w:shd w:val="clear" w:color="auto" w:fill="F0F0F0"/>
                  <w:noWrap/>
                  <w:vAlign w:val="center"/>
                </w:tcPr>
                <w:p w14:paraId="378923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运行时段</w:t>
                  </w:r>
                </w:p>
              </w:tc>
            </w:tr>
            <w:tr w14:paraId="3D25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47" w:type="dxa"/>
                  <w:vMerge w:val="continue"/>
                  <w:shd w:val="clear" w:color="auto" w:fill="F0F0F0"/>
                  <w:noWrap/>
                  <w:vAlign w:val="center"/>
                </w:tcPr>
                <w:p w14:paraId="7C2C08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938" w:type="dxa"/>
                  <w:vMerge w:val="continue"/>
                  <w:shd w:val="clear" w:color="auto" w:fill="F0F0F0"/>
                  <w:noWrap/>
                  <w:vAlign w:val="center"/>
                </w:tcPr>
                <w:p w14:paraId="0F3E37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26" w:type="dxa"/>
                  <w:shd w:val="clear" w:color="auto" w:fill="F0F0F0"/>
                  <w:noWrap/>
                  <w:vAlign w:val="center"/>
                </w:tcPr>
                <w:p w14:paraId="56C673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w:t>
                  </w:r>
                </w:p>
              </w:tc>
              <w:tc>
                <w:tcPr>
                  <w:tcW w:w="855" w:type="dxa"/>
                  <w:shd w:val="clear" w:color="auto" w:fill="F0F0F0"/>
                  <w:noWrap/>
                  <w:vAlign w:val="center"/>
                </w:tcPr>
                <w:p w14:paraId="6D57CD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w:t>
                  </w:r>
                </w:p>
              </w:tc>
              <w:tc>
                <w:tcPr>
                  <w:tcW w:w="885" w:type="dxa"/>
                  <w:shd w:val="clear" w:color="auto" w:fill="F0F0F0"/>
                  <w:noWrap/>
                  <w:vAlign w:val="center"/>
                </w:tcPr>
                <w:p w14:paraId="5B137F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w:t>
                  </w:r>
                </w:p>
              </w:tc>
              <w:tc>
                <w:tcPr>
                  <w:tcW w:w="1005" w:type="dxa"/>
                  <w:vMerge w:val="continue"/>
                  <w:shd w:val="clear" w:color="auto" w:fill="F0F0F0"/>
                  <w:vAlign w:val="center"/>
                </w:tcPr>
                <w:p w14:paraId="37712B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1284" w:type="dxa"/>
                  <w:vMerge w:val="continue"/>
                  <w:shd w:val="clear" w:color="auto" w:fill="F0F0F0"/>
                  <w:noWrap/>
                  <w:vAlign w:val="center"/>
                </w:tcPr>
                <w:p w14:paraId="4ABC38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65" w:type="dxa"/>
                  <w:vMerge w:val="continue"/>
                  <w:shd w:val="clear" w:color="auto" w:fill="F0F0F0"/>
                  <w:noWrap/>
                  <w:vAlign w:val="center"/>
                </w:tcPr>
                <w:p w14:paraId="0CFD78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142E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47" w:type="dxa"/>
                  <w:shd w:val="clear" w:color="auto" w:fill="FFFFFF"/>
                  <w:noWrap/>
                  <w:vAlign w:val="center"/>
                </w:tcPr>
                <w:p w14:paraId="1CB833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38" w:type="dxa"/>
                  <w:shd w:val="clear" w:color="auto" w:fill="FFFFFF"/>
                  <w:noWrap/>
                  <w:vAlign w:val="center"/>
                </w:tcPr>
                <w:p w14:paraId="671888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水泵1</w:t>
                  </w:r>
                </w:p>
              </w:tc>
              <w:tc>
                <w:tcPr>
                  <w:tcW w:w="1026" w:type="dxa"/>
                  <w:shd w:val="clear" w:color="auto" w:fill="FFFFFF"/>
                  <w:noWrap/>
                  <w:vAlign w:val="center"/>
                </w:tcPr>
                <w:p w14:paraId="52631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19.47</w:t>
                  </w:r>
                </w:p>
              </w:tc>
              <w:tc>
                <w:tcPr>
                  <w:tcW w:w="855" w:type="dxa"/>
                  <w:shd w:val="clear" w:color="auto" w:fill="FFFFFF"/>
                  <w:noWrap/>
                  <w:vAlign w:val="center"/>
                </w:tcPr>
                <w:p w14:paraId="32A4E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196.08</w:t>
                  </w:r>
                </w:p>
              </w:tc>
              <w:tc>
                <w:tcPr>
                  <w:tcW w:w="885" w:type="dxa"/>
                  <w:shd w:val="clear" w:color="auto" w:fill="FFFFFF"/>
                  <w:noWrap/>
                  <w:vAlign w:val="center"/>
                </w:tcPr>
                <w:p w14:paraId="1A3024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005" w:type="dxa"/>
                  <w:shd w:val="clear" w:color="auto" w:fill="FFFFFF"/>
                  <w:noWrap/>
                  <w:vAlign w:val="center"/>
                </w:tcPr>
                <w:p w14:paraId="2D170E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84" w:type="dxa"/>
                  <w:vMerge w:val="restart"/>
                  <w:shd w:val="clear" w:color="auto" w:fill="FFFFFF"/>
                  <w:noWrap/>
                  <w:vAlign w:val="center"/>
                </w:tcPr>
                <w:p w14:paraId="3D3C13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减震垫、隔声罩</w:t>
                  </w:r>
                </w:p>
              </w:tc>
              <w:tc>
                <w:tcPr>
                  <w:tcW w:w="1065" w:type="dxa"/>
                  <w:shd w:val="clear" w:color="auto" w:fill="FFFFFF"/>
                  <w:noWrap/>
                  <w:vAlign w:val="center"/>
                </w:tcPr>
                <w:p w14:paraId="06048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昼间</w:t>
                  </w:r>
                </w:p>
              </w:tc>
            </w:tr>
            <w:tr w14:paraId="5105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7" w:type="dxa"/>
                  <w:shd w:val="clear" w:color="auto" w:fill="auto"/>
                  <w:noWrap/>
                  <w:vAlign w:val="center"/>
                </w:tcPr>
                <w:p w14:paraId="5C333E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938" w:type="dxa"/>
                  <w:shd w:val="clear" w:color="auto" w:fill="auto"/>
                  <w:noWrap/>
                  <w:vAlign w:val="center"/>
                </w:tcPr>
                <w:p w14:paraId="2B5DFD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水泵2</w:t>
                  </w:r>
                </w:p>
              </w:tc>
              <w:tc>
                <w:tcPr>
                  <w:tcW w:w="1026" w:type="dxa"/>
                  <w:shd w:val="clear" w:color="auto" w:fill="auto"/>
                  <w:noWrap/>
                  <w:vAlign w:val="center"/>
                </w:tcPr>
                <w:p w14:paraId="12B5C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33.81</w:t>
                  </w:r>
                </w:p>
              </w:tc>
              <w:tc>
                <w:tcPr>
                  <w:tcW w:w="855" w:type="dxa"/>
                  <w:shd w:val="clear" w:color="auto" w:fill="auto"/>
                  <w:noWrap/>
                  <w:vAlign w:val="center"/>
                </w:tcPr>
                <w:p w14:paraId="101EDC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155.15</w:t>
                  </w:r>
                </w:p>
              </w:tc>
              <w:tc>
                <w:tcPr>
                  <w:tcW w:w="885" w:type="dxa"/>
                  <w:shd w:val="clear" w:color="auto" w:fill="auto"/>
                  <w:noWrap/>
                  <w:vAlign w:val="center"/>
                </w:tcPr>
                <w:p w14:paraId="309EE9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005" w:type="dxa"/>
                  <w:shd w:val="clear" w:color="auto" w:fill="auto"/>
                  <w:noWrap/>
                  <w:vAlign w:val="center"/>
                </w:tcPr>
                <w:p w14:paraId="1B11C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284" w:type="dxa"/>
                  <w:vMerge w:val="continue"/>
                  <w:shd w:val="clear" w:color="auto" w:fill="auto"/>
                  <w:noWrap/>
                  <w:vAlign w:val="center"/>
                </w:tcPr>
                <w:p w14:paraId="3EADCD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65" w:type="dxa"/>
                  <w:shd w:val="clear" w:color="auto" w:fill="auto"/>
                  <w:noWrap/>
                  <w:vAlign w:val="center"/>
                </w:tcPr>
                <w:p w14:paraId="15CE2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昼间</w:t>
                  </w:r>
                </w:p>
              </w:tc>
            </w:tr>
          </w:tbl>
          <w:p w14:paraId="3099D660">
            <w:pPr>
              <w:keepNext w:val="0"/>
              <w:keepLines w:val="0"/>
              <w:suppressLineNumbers w:val="0"/>
              <w:adjustRightInd w:val="0"/>
              <w:snapToGrid w:val="0"/>
              <w:spacing w:before="312" w:beforeLines="100" w:beforeAutospacing="0" w:after="0" w:afterAutospacing="0" w:line="360" w:lineRule="auto"/>
              <w:ind w:left="0" w:right="0" w:firstLine="482" w:firstLineChars="200"/>
              <w:rPr>
                <w:rFonts w:hint="default" w:ascii="Times New Roman" w:hAnsi="Times New Roman" w:cs="Times New Roman"/>
                <w:b/>
                <w:color w:val="auto"/>
                <w:sz w:val="24"/>
                <w:highlight w:val="none"/>
              </w:rPr>
            </w:pPr>
            <w:r>
              <w:rPr>
                <w:rFonts w:hint="eastAsia" w:ascii="Times New Roman" w:hAnsi="Times New Roman" w:cs="Times New Roman"/>
                <w:b/>
                <w:color w:val="auto"/>
                <w:sz w:val="24"/>
                <w:highlight w:val="none"/>
                <w:lang w:val="en-US" w:eastAsia="zh-CN"/>
              </w:rPr>
              <w:t>（</w:t>
            </w:r>
            <w:r>
              <w:rPr>
                <w:rFonts w:hint="eastAsia" w:cs="Times New Roman"/>
                <w:b/>
                <w:color w:val="auto"/>
                <w:sz w:val="24"/>
                <w:highlight w:val="none"/>
                <w:lang w:val="en-US" w:eastAsia="zh-CN"/>
              </w:rPr>
              <w:t>2</w:t>
            </w:r>
            <w:r>
              <w:rPr>
                <w:rFonts w:hint="eastAsia" w:ascii="Times New Roman" w:hAnsi="Times New Roman" w:cs="Times New Roman"/>
                <w:b/>
                <w:color w:val="auto"/>
                <w:sz w:val="24"/>
                <w:highlight w:val="none"/>
                <w:lang w:val="en-US" w:eastAsia="zh-CN"/>
              </w:rPr>
              <w:t>）</w:t>
            </w:r>
            <w:r>
              <w:rPr>
                <w:rFonts w:hint="default" w:ascii="Times New Roman" w:hAnsi="Times New Roman" w:cs="Times New Roman"/>
                <w:b/>
                <w:color w:val="auto"/>
                <w:sz w:val="24"/>
                <w:highlight w:val="none"/>
              </w:rPr>
              <w:t>预测分析</w:t>
            </w:r>
          </w:p>
          <w:p w14:paraId="5F47553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1）预测点的确定</w:t>
            </w:r>
          </w:p>
          <w:p w14:paraId="2A145B6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噪声预测点为项目所在建筑东侧</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西侧</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南侧及</w:t>
            </w:r>
            <w:r>
              <w:rPr>
                <w:rFonts w:hint="default" w:ascii="Times New Roman" w:hAnsi="Times New Roman" w:cs="Times New Roman"/>
                <w:color w:val="auto"/>
                <w:sz w:val="24"/>
                <w:highlight w:val="none"/>
              </w:rPr>
              <w:t>北侧边界外1m</w:t>
            </w:r>
            <w:r>
              <w:rPr>
                <w:rFonts w:hint="eastAsia" w:ascii="Times New Roman" w:hAnsi="Times New Roman" w:eastAsia="宋体" w:cs="Times New Roman"/>
                <w:color w:val="auto"/>
                <w:sz w:val="24"/>
                <w:szCs w:val="24"/>
                <w:highlight w:val="none"/>
                <w:lang w:val="en-US" w:eastAsia="zh-CN"/>
              </w:rPr>
              <w:t>处</w:t>
            </w:r>
            <w:r>
              <w:rPr>
                <w:rFonts w:hint="default" w:ascii="Times New Roman" w:hAnsi="Times New Roman" w:cs="Times New Roman"/>
                <w:color w:val="auto"/>
                <w:sz w:val="24"/>
                <w:highlight w:val="none"/>
              </w:rPr>
              <w:t>。</w:t>
            </w:r>
          </w:p>
          <w:p w14:paraId="215CF54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2）噪声预测模式</w:t>
            </w:r>
          </w:p>
          <w:p w14:paraId="6734771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预测模式采用《环境影响评价技术导则 声环境》（HJ2.4-2021）中推荐的模型。声环境影响预测，一般采用声源的倍频带声功率级、A 声功率级或靠近声源某一位置的倍频带声压级、A声级来预测计算距声源不同距离的声级。工业声源有室外和室内两种声源，应分别计算。本项目主要涉及室内和室外噪声源。</w:t>
            </w:r>
          </w:p>
          <w:p w14:paraId="4F16E8E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室外噪声源预测：户外声传播衰减包括几何发散（</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）、大气吸收（</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atm</w:t>
            </w:r>
            <w:r>
              <w:rPr>
                <w:rFonts w:hint="default" w:ascii="Times New Roman" w:hAnsi="Times New Roman" w:cs="Times New Roman"/>
                <w:color w:val="auto"/>
                <w:sz w:val="24"/>
              </w:rPr>
              <w:t>）、地面效应（</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）、障碍物屏蔽（</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bar</w:t>
            </w:r>
            <w:r>
              <w:rPr>
                <w:rFonts w:hint="default" w:ascii="Times New Roman" w:hAnsi="Times New Roman" w:cs="Times New Roman"/>
                <w:color w:val="auto"/>
                <w:sz w:val="24"/>
              </w:rPr>
              <w:t>）、其他多方面效应（</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misc</w:t>
            </w:r>
            <w:r>
              <w:rPr>
                <w:rFonts w:hint="default" w:ascii="Times New Roman" w:hAnsi="Times New Roman" w:cs="Times New Roman"/>
                <w:color w:val="auto"/>
                <w:sz w:val="24"/>
              </w:rPr>
              <w:t>）引起的衰减。</w:t>
            </w:r>
          </w:p>
          <w:p w14:paraId="73ED3DE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 a） 在环境影响评价中，应根据声源声功率级或参考位置处的声压级、户外声传播衰减，计算预测点的声级，分别按式（A.1）或式（A.2）计算。 </w:t>
            </w:r>
          </w:p>
          <w:p w14:paraId="38E73E37">
            <w:pPr>
              <w:spacing w:line="360" w:lineRule="auto"/>
              <w:ind w:firstLine="840" w:firstLineChars="350"/>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w:t>
            </w:r>
            <w:r>
              <w:rPr>
                <w:rFonts w:hint="default" w:ascii="Times New Roman" w:hAnsi="Times New Roman" w:cs="Times New Roman"/>
                <w:i/>
                <w:iCs/>
                <w:color w:val="auto"/>
                <w:sz w:val="24"/>
              </w:rPr>
              <w:t>(r)</w:t>
            </w:r>
            <w:r>
              <w:rPr>
                <w:rFonts w:hint="default" w:ascii="Times New Roman" w:hAnsi="Times New Roman" w:cs="Times New Roman"/>
                <w:color w:val="auto"/>
                <w:sz w:val="24"/>
              </w:rPr>
              <w:t>＝</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w</w:t>
            </w:r>
            <w:r>
              <w:rPr>
                <w:rFonts w:hint="default" w:ascii="Times New Roman" w:hAnsi="Times New Roman" w:cs="Times New Roman"/>
                <w:color w:val="auto"/>
                <w:sz w:val="24"/>
              </w:rPr>
              <w:t>＋</w:t>
            </w:r>
            <w:r>
              <w:rPr>
                <w:rFonts w:hint="default" w:ascii="Times New Roman" w:hAnsi="Times New Roman" w:cs="Times New Roman"/>
                <w:i/>
                <w:iCs/>
                <w:color w:val="auto"/>
                <w:sz w:val="24"/>
              </w:rPr>
              <w:t>D</w:t>
            </w:r>
            <w:r>
              <w:rPr>
                <w:rFonts w:hint="default" w:ascii="Times New Roman" w:hAnsi="Times New Roman" w:cs="Times New Roman"/>
                <w:i/>
                <w:iCs/>
                <w:color w:val="auto"/>
                <w:sz w:val="24"/>
                <w:vertAlign w:val="subscript"/>
              </w:rPr>
              <w:t>c</w:t>
            </w:r>
            <w:r>
              <w:rPr>
                <w:rFonts w:hint="default" w:ascii="Times New Roman" w:hAnsi="Times New Roman" w:cs="Times New Roman"/>
                <w:color w:val="auto"/>
                <w:sz w:val="24"/>
              </w:rPr>
              <w:t>－(</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atm</w:t>
            </w:r>
            <w:r>
              <w:rPr>
                <w:rFonts w:hint="default" w:ascii="Times New Roman" w:hAnsi="Times New Roman" w:cs="Times New Roman"/>
                <w:color w:val="auto"/>
                <w:sz w:val="24"/>
              </w:rPr>
              <w:t>＋</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bar</w:t>
            </w:r>
            <w:r>
              <w:rPr>
                <w:rFonts w:hint="default" w:ascii="Times New Roman" w:hAnsi="Times New Roman" w:cs="Times New Roman"/>
                <w:color w:val="auto"/>
                <w:sz w:val="24"/>
              </w:rPr>
              <w:t>＋</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misc</w:t>
            </w:r>
            <w:r>
              <w:rPr>
                <w:rFonts w:hint="default" w:ascii="Times New Roman" w:hAnsi="Times New Roman" w:cs="Times New Roman"/>
                <w:color w:val="auto"/>
                <w:sz w:val="24"/>
              </w:rPr>
              <w:t>)      A.1</w:t>
            </w:r>
          </w:p>
          <w:p w14:paraId="4106907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49445ED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w:t>
            </w:r>
            <w:r>
              <w:rPr>
                <w:rFonts w:hint="default" w:ascii="Times New Roman" w:hAnsi="Times New Roman" w:cs="Times New Roman"/>
                <w:i/>
                <w:iCs/>
                <w:color w:val="auto"/>
                <w:sz w:val="24"/>
              </w:rPr>
              <w:t>(r)</w:t>
            </w:r>
            <w:r>
              <w:rPr>
                <w:rFonts w:hint="default" w:ascii="Times New Roman" w:hAnsi="Times New Roman" w:cs="Times New Roman"/>
                <w:color w:val="auto"/>
                <w:sz w:val="24"/>
              </w:rPr>
              <w:t>—预测点出声压级，dB；</w:t>
            </w:r>
          </w:p>
          <w:p w14:paraId="5D6EE2D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w</w:t>
            </w:r>
            <w:r>
              <w:rPr>
                <w:rFonts w:hint="default" w:ascii="Times New Roman" w:hAnsi="Times New Roman" w:cs="Times New Roman"/>
                <w:i/>
                <w:iCs/>
                <w:color w:val="auto"/>
                <w:sz w:val="24"/>
                <w:lang w:bidi="ar"/>
              </w:rPr>
              <w:t xml:space="preserve"> </w:t>
            </w:r>
            <w:r>
              <w:rPr>
                <w:rFonts w:hint="default" w:ascii="Times New Roman" w:hAnsi="Times New Roman" w:cs="Times New Roman"/>
                <w:color w:val="auto"/>
                <w:sz w:val="24"/>
                <w:lang w:bidi="ar"/>
              </w:rPr>
              <w:t xml:space="preserve">——由点声源产生的声功率级（A计权或倍频带），dB； </w:t>
            </w:r>
          </w:p>
          <w:p w14:paraId="00412CC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D</w:t>
            </w:r>
            <w:r>
              <w:rPr>
                <w:rFonts w:hint="default" w:ascii="Times New Roman" w:hAnsi="Times New Roman" w:cs="Times New Roman"/>
                <w:color w:val="auto"/>
                <w:sz w:val="24"/>
                <w:vertAlign w:val="subscript"/>
                <w:lang w:bidi="ar"/>
              </w:rPr>
              <w:t>C</w:t>
            </w:r>
            <w:r>
              <w:rPr>
                <w:rFonts w:hint="default" w:ascii="Times New Roman" w:hAnsi="Times New Roman" w:cs="Times New Roman"/>
                <w:color w:val="auto"/>
                <w:sz w:val="24"/>
                <w:lang w:bidi="ar"/>
              </w:rPr>
              <w:t xml:space="preserve"> ——指向性校正，它描述点声源的等效连续声压级与产生声功率级</w:t>
            </w: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w</w:t>
            </w:r>
            <w:r>
              <w:rPr>
                <w:rFonts w:hint="default" w:ascii="Times New Roman" w:hAnsi="Times New Roman" w:cs="Times New Roman"/>
                <w:color w:val="auto"/>
                <w:sz w:val="24"/>
                <w:lang w:bidi="ar"/>
              </w:rPr>
              <w:t xml:space="preserve">的全向点声源在规定方向的声级的偏差程度，dB； </w:t>
            </w:r>
          </w:p>
          <w:p w14:paraId="1C6621A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A</w:t>
            </w:r>
            <w:r>
              <w:rPr>
                <w:rFonts w:hint="default" w:ascii="Times New Roman" w:hAnsi="Times New Roman" w:cs="Times New Roman"/>
                <w:color w:val="auto"/>
                <w:sz w:val="24"/>
                <w:vertAlign w:val="subscript"/>
                <w:lang w:bidi="ar"/>
              </w:rPr>
              <w:t>div</w:t>
            </w:r>
            <w:r>
              <w:rPr>
                <w:rFonts w:hint="default" w:ascii="Times New Roman" w:hAnsi="Times New Roman" w:cs="Times New Roman"/>
                <w:color w:val="auto"/>
                <w:sz w:val="24"/>
                <w:lang w:bidi="ar"/>
              </w:rPr>
              <w:t xml:space="preserve"> ——几何发散引起的衰减，dB； </w:t>
            </w:r>
          </w:p>
          <w:p w14:paraId="4F1F9AC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A</w:t>
            </w:r>
            <w:r>
              <w:rPr>
                <w:rFonts w:hint="default" w:ascii="Times New Roman" w:hAnsi="Times New Roman" w:cs="Times New Roman"/>
                <w:color w:val="auto"/>
                <w:sz w:val="24"/>
                <w:vertAlign w:val="subscript"/>
                <w:lang w:bidi="ar"/>
              </w:rPr>
              <w:t>atm</w:t>
            </w:r>
            <w:r>
              <w:rPr>
                <w:rFonts w:hint="default" w:ascii="Times New Roman" w:hAnsi="Times New Roman" w:cs="Times New Roman"/>
                <w:color w:val="auto"/>
                <w:sz w:val="24"/>
                <w:lang w:bidi="ar"/>
              </w:rPr>
              <w:t xml:space="preserve"> ——大气吸收引起的衰减，dB； </w:t>
            </w:r>
          </w:p>
          <w:p w14:paraId="3CA3F97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A</w:t>
            </w:r>
            <w:r>
              <w:rPr>
                <w:rFonts w:hint="default" w:ascii="Times New Roman" w:hAnsi="Times New Roman" w:cs="Times New Roman"/>
                <w:color w:val="auto"/>
                <w:sz w:val="24"/>
                <w:vertAlign w:val="subscript"/>
                <w:lang w:bidi="ar"/>
              </w:rPr>
              <w:t>gr</w:t>
            </w:r>
            <w:r>
              <w:rPr>
                <w:rFonts w:hint="default" w:ascii="Times New Roman" w:hAnsi="Times New Roman" w:cs="Times New Roman"/>
                <w:color w:val="auto"/>
                <w:sz w:val="24"/>
                <w:lang w:bidi="ar"/>
              </w:rPr>
              <w:t xml:space="preserve"> ——地面效应引起的衰减，dB； </w:t>
            </w:r>
          </w:p>
          <w:p w14:paraId="7B5108A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A</w:t>
            </w:r>
            <w:r>
              <w:rPr>
                <w:rFonts w:hint="default" w:ascii="Times New Roman" w:hAnsi="Times New Roman" w:cs="Times New Roman"/>
                <w:color w:val="auto"/>
                <w:sz w:val="24"/>
                <w:vertAlign w:val="subscript"/>
                <w:lang w:bidi="ar"/>
              </w:rPr>
              <w:t>bar</w:t>
            </w:r>
            <w:r>
              <w:rPr>
                <w:rFonts w:hint="default" w:ascii="Times New Roman" w:hAnsi="Times New Roman" w:cs="Times New Roman"/>
                <w:color w:val="auto"/>
                <w:sz w:val="24"/>
                <w:lang w:bidi="ar"/>
              </w:rPr>
              <w:t xml:space="preserve"> ——障碍物屏蔽引起的衰减，dB； </w:t>
            </w:r>
          </w:p>
          <w:p w14:paraId="4807F85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A</w:t>
            </w:r>
            <w:r>
              <w:rPr>
                <w:rFonts w:hint="default" w:ascii="Times New Roman" w:hAnsi="Times New Roman" w:cs="Times New Roman"/>
                <w:color w:val="auto"/>
                <w:sz w:val="24"/>
                <w:vertAlign w:val="subscript"/>
                <w:lang w:bidi="ar"/>
              </w:rPr>
              <w:t>misc</w:t>
            </w:r>
            <w:r>
              <w:rPr>
                <w:rFonts w:hint="default" w:ascii="Times New Roman" w:hAnsi="Times New Roman" w:cs="Times New Roman"/>
                <w:color w:val="auto"/>
                <w:sz w:val="24"/>
                <w:lang w:bidi="ar"/>
              </w:rPr>
              <w:t xml:space="preserve"> ——其他多方面效应引起的衰减，dB；</w:t>
            </w:r>
          </w:p>
          <w:p w14:paraId="49625BD4">
            <w:pPr>
              <w:spacing w:line="360" w:lineRule="auto"/>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w:t>
            </w:r>
            <w:r>
              <w:rPr>
                <w:rFonts w:hint="default" w:ascii="Times New Roman" w:hAnsi="Times New Roman" w:cs="Times New Roman"/>
                <w:i/>
                <w:iCs/>
                <w:color w:val="auto"/>
                <w:sz w:val="24"/>
              </w:rPr>
              <w:t>(r)</w:t>
            </w:r>
            <w:r>
              <w:rPr>
                <w:rFonts w:hint="default" w:ascii="Times New Roman" w:hAnsi="Times New Roman" w:cs="Times New Roman"/>
                <w:color w:val="auto"/>
                <w:sz w:val="24"/>
              </w:rPr>
              <w:t>＝</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w:t>
            </w:r>
            <w:r>
              <w:rPr>
                <w:rFonts w:hint="default" w:ascii="Times New Roman" w:hAnsi="Times New Roman" w:cs="Times New Roman"/>
                <w:i/>
                <w:iCs/>
                <w:color w:val="auto"/>
                <w:sz w:val="24"/>
              </w:rPr>
              <w:t>(r</w:t>
            </w:r>
            <w:r>
              <w:rPr>
                <w:rFonts w:hint="default" w:ascii="Times New Roman" w:hAnsi="Times New Roman" w:cs="Times New Roman"/>
                <w:i/>
                <w:iCs/>
                <w:color w:val="auto"/>
                <w:sz w:val="24"/>
                <w:vertAlign w:val="subscript"/>
              </w:rPr>
              <w:t>0</w:t>
            </w:r>
            <w:r>
              <w:rPr>
                <w:rFonts w:hint="default" w:ascii="Times New Roman" w:hAnsi="Times New Roman" w:cs="Times New Roman"/>
                <w:i/>
                <w:iCs/>
                <w:color w:val="auto"/>
                <w:sz w:val="24"/>
              </w:rPr>
              <w:t>)</w:t>
            </w:r>
            <w:r>
              <w:rPr>
                <w:rFonts w:hint="default" w:ascii="Times New Roman" w:hAnsi="Times New Roman" w:cs="Times New Roman"/>
                <w:color w:val="auto"/>
                <w:sz w:val="24"/>
              </w:rPr>
              <w:t>＋</w:t>
            </w:r>
            <w:r>
              <w:rPr>
                <w:rFonts w:hint="default" w:ascii="Times New Roman" w:hAnsi="Times New Roman" w:cs="Times New Roman"/>
                <w:i/>
                <w:iCs/>
                <w:color w:val="auto"/>
                <w:sz w:val="24"/>
              </w:rPr>
              <w:t>D</w:t>
            </w:r>
            <w:r>
              <w:rPr>
                <w:rFonts w:hint="default" w:ascii="Times New Roman" w:hAnsi="Times New Roman" w:cs="Times New Roman"/>
                <w:i/>
                <w:iCs/>
                <w:color w:val="auto"/>
                <w:sz w:val="24"/>
                <w:vertAlign w:val="subscript"/>
              </w:rPr>
              <w:t>c</w:t>
            </w:r>
            <w:r>
              <w:rPr>
                <w:rFonts w:hint="default" w:ascii="Times New Roman" w:hAnsi="Times New Roman" w:cs="Times New Roman"/>
                <w:color w:val="auto"/>
                <w:sz w:val="24"/>
              </w:rPr>
              <w:t>－(</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atm</w:t>
            </w:r>
            <w:r>
              <w:rPr>
                <w:rFonts w:hint="default" w:ascii="Times New Roman" w:hAnsi="Times New Roman" w:cs="Times New Roman"/>
                <w:color w:val="auto"/>
                <w:sz w:val="24"/>
              </w:rPr>
              <w:t>＋</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bar</w:t>
            </w:r>
            <w:r>
              <w:rPr>
                <w:rFonts w:hint="default" w:ascii="Times New Roman" w:hAnsi="Times New Roman" w:cs="Times New Roman"/>
                <w:color w:val="auto"/>
                <w:sz w:val="24"/>
              </w:rPr>
              <w:t>＋</w:t>
            </w:r>
            <w:r>
              <w:rPr>
                <w:rFonts w:hint="default" w:ascii="Times New Roman" w:hAnsi="Times New Roman" w:cs="Times New Roman"/>
                <w:i/>
                <w:iCs/>
                <w:color w:val="auto"/>
                <w:sz w:val="24"/>
              </w:rPr>
              <w:t>A</w:t>
            </w:r>
            <w:r>
              <w:rPr>
                <w:rFonts w:hint="default" w:ascii="Times New Roman" w:hAnsi="Times New Roman" w:cs="Times New Roman"/>
                <w:color w:val="auto"/>
                <w:sz w:val="24"/>
                <w:vertAlign w:val="subscript"/>
              </w:rPr>
              <w:t>misc</w:t>
            </w:r>
            <w:r>
              <w:rPr>
                <w:rFonts w:hint="default" w:ascii="Times New Roman" w:hAnsi="Times New Roman" w:cs="Times New Roman"/>
                <w:color w:val="auto"/>
                <w:sz w:val="24"/>
              </w:rPr>
              <w:t>)                    A.2</w:t>
            </w:r>
          </w:p>
          <w:p w14:paraId="77743E2E">
            <w:pPr>
              <w:spacing w:line="360" w:lineRule="auto"/>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218FD15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p</w:t>
            </w:r>
            <w:r>
              <w:rPr>
                <w:rFonts w:hint="default" w:ascii="Times New Roman" w:hAnsi="Times New Roman" w:cs="Times New Roman"/>
                <w:color w:val="auto"/>
                <w:sz w:val="24"/>
                <w:lang w:bidi="ar"/>
              </w:rPr>
              <w:t>(</w:t>
            </w:r>
            <w:r>
              <w:rPr>
                <w:rFonts w:hint="default" w:ascii="Times New Roman" w:hAnsi="Times New Roman" w:cs="Times New Roman"/>
                <w:i/>
                <w:iCs/>
                <w:color w:val="auto"/>
                <w:sz w:val="24"/>
                <w:lang w:bidi="ar"/>
              </w:rPr>
              <w:t>r</w:t>
            </w:r>
            <w:r>
              <w:rPr>
                <w:rFonts w:hint="default" w:ascii="Times New Roman" w:hAnsi="Times New Roman" w:cs="Times New Roman"/>
                <w:color w:val="auto"/>
                <w:sz w:val="24"/>
                <w:lang w:bidi="ar"/>
              </w:rPr>
              <w:t xml:space="preserve">) ——预测点处声压级，dB； </w:t>
            </w:r>
          </w:p>
          <w:p w14:paraId="6613EFE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p</w:t>
            </w:r>
            <w:r>
              <w:rPr>
                <w:rFonts w:hint="default" w:ascii="Times New Roman" w:hAnsi="Times New Roman" w:cs="Times New Roman"/>
                <w:color w:val="auto"/>
                <w:sz w:val="24"/>
                <w:lang w:bidi="ar"/>
              </w:rPr>
              <w:t>(</w:t>
            </w:r>
            <w:r>
              <w:rPr>
                <w:rFonts w:hint="default" w:ascii="Times New Roman" w:hAnsi="Times New Roman" w:cs="Times New Roman"/>
                <w:i/>
                <w:iCs/>
                <w:color w:val="auto"/>
                <w:sz w:val="24"/>
                <w:lang w:bidi="ar"/>
              </w:rPr>
              <w:t>r</w:t>
            </w:r>
            <w:r>
              <w:rPr>
                <w:rFonts w:hint="default" w:ascii="Times New Roman" w:hAnsi="Times New Roman" w:cs="Times New Roman"/>
                <w:color w:val="auto"/>
                <w:sz w:val="24"/>
                <w:vertAlign w:val="subscript"/>
                <w:lang w:bidi="ar"/>
              </w:rPr>
              <w:t>0</w:t>
            </w:r>
            <w:r>
              <w:rPr>
                <w:rFonts w:hint="default" w:ascii="Times New Roman" w:hAnsi="Times New Roman" w:cs="Times New Roman"/>
                <w:color w:val="auto"/>
                <w:sz w:val="24"/>
                <w:lang w:bidi="ar"/>
              </w:rPr>
              <w:t>) ——参考位置</w:t>
            </w:r>
            <w:r>
              <w:rPr>
                <w:rFonts w:hint="default" w:ascii="Times New Roman" w:hAnsi="Times New Roman" w:cs="Times New Roman"/>
                <w:i/>
                <w:iCs/>
                <w:color w:val="auto"/>
                <w:sz w:val="24"/>
                <w:lang w:bidi="ar"/>
              </w:rPr>
              <w:t>r</w:t>
            </w:r>
            <w:r>
              <w:rPr>
                <w:rFonts w:hint="default" w:ascii="Times New Roman" w:hAnsi="Times New Roman" w:cs="Times New Roman"/>
                <w:color w:val="auto"/>
                <w:sz w:val="24"/>
                <w:vertAlign w:val="subscript"/>
                <w:lang w:bidi="ar"/>
              </w:rPr>
              <w:t>0</w:t>
            </w:r>
            <w:r>
              <w:rPr>
                <w:rFonts w:hint="default" w:ascii="Times New Roman" w:hAnsi="Times New Roman" w:cs="Times New Roman"/>
                <w:color w:val="auto"/>
                <w:sz w:val="24"/>
                <w:lang w:bidi="ar"/>
              </w:rPr>
              <w:t xml:space="preserve">处的声压级，dB； </w:t>
            </w:r>
          </w:p>
          <w:p w14:paraId="0ED8279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D</w:t>
            </w:r>
            <w:r>
              <w:rPr>
                <w:rFonts w:hint="default" w:ascii="Times New Roman" w:hAnsi="Times New Roman" w:cs="Times New Roman"/>
                <w:color w:val="auto"/>
                <w:sz w:val="24"/>
                <w:vertAlign w:val="subscript"/>
                <w:lang w:bidi="ar"/>
              </w:rPr>
              <w:t>C</w:t>
            </w:r>
            <w:r>
              <w:rPr>
                <w:rFonts w:hint="default" w:ascii="Times New Roman" w:hAnsi="Times New Roman" w:cs="Times New Roman"/>
                <w:color w:val="auto"/>
                <w:sz w:val="24"/>
                <w:lang w:bidi="ar"/>
              </w:rPr>
              <w:t xml:space="preserve"> ——指向性校正，它描述点声源的等效连续声压级与产生声功率级</w:t>
            </w:r>
            <w:r>
              <w:rPr>
                <w:rFonts w:hint="default" w:ascii="Times New Roman" w:hAnsi="Times New Roman" w:cs="Times New Roman"/>
                <w:i/>
                <w:iCs/>
                <w:color w:val="auto"/>
                <w:sz w:val="24"/>
                <w:lang w:bidi="ar"/>
              </w:rPr>
              <w:t>Lw</w:t>
            </w:r>
            <w:r>
              <w:rPr>
                <w:rFonts w:hint="default" w:ascii="Times New Roman" w:hAnsi="Times New Roman" w:cs="Times New Roman"/>
                <w:color w:val="auto"/>
                <w:sz w:val="24"/>
                <w:lang w:bidi="ar"/>
              </w:rPr>
              <w:t xml:space="preserve">的全向点声源在规定方向的声级的偏差程度，dB； </w:t>
            </w:r>
          </w:p>
          <w:p w14:paraId="74C6A13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A</w:t>
            </w:r>
            <w:r>
              <w:rPr>
                <w:rFonts w:hint="default" w:ascii="Times New Roman" w:hAnsi="Times New Roman" w:cs="Times New Roman"/>
                <w:color w:val="auto"/>
                <w:sz w:val="24"/>
                <w:vertAlign w:val="subscript"/>
                <w:lang w:bidi="ar"/>
              </w:rPr>
              <w:t>div</w:t>
            </w:r>
            <w:r>
              <w:rPr>
                <w:rFonts w:hint="default" w:ascii="Times New Roman" w:hAnsi="Times New Roman" w:cs="Times New Roman"/>
                <w:color w:val="auto"/>
                <w:sz w:val="24"/>
                <w:lang w:bidi="ar"/>
              </w:rPr>
              <w:t xml:space="preserve"> ——几何发散引起的衰减，dB； </w:t>
            </w:r>
          </w:p>
          <w:p w14:paraId="650385F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A</w:t>
            </w:r>
            <w:r>
              <w:rPr>
                <w:rFonts w:hint="default" w:ascii="Times New Roman" w:hAnsi="Times New Roman" w:cs="Times New Roman"/>
                <w:color w:val="auto"/>
                <w:sz w:val="24"/>
                <w:vertAlign w:val="subscript"/>
                <w:lang w:bidi="ar"/>
              </w:rPr>
              <w:t>atm</w:t>
            </w:r>
            <w:r>
              <w:rPr>
                <w:rFonts w:hint="default" w:ascii="Times New Roman" w:hAnsi="Times New Roman" w:cs="Times New Roman"/>
                <w:color w:val="auto"/>
                <w:sz w:val="24"/>
                <w:lang w:bidi="ar"/>
              </w:rPr>
              <w:t xml:space="preserve"> ——大气吸收引起的衰减，dB； </w:t>
            </w:r>
          </w:p>
          <w:p w14:paraId="6CCA536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A</w:t>
            </w:r>
            <w:r>
              <w:rPr>
                <w:rFonts w:hint="default" w:ascii="Times New Roman" w:hAnsi="Times New Roman" w:cs="Times New Roman"/>
                <w:color w:val="auto"/>
                <w:sz w:val="24"/>
                <w:vertAlign w:val="subscript"/>
                <w:lang w:bidi="ar"/>
              </w:rPr>
              <w:t>gr</w:t>
            </w:r>
            <w:r>
              <w:rPr>
                <w:rFonts w:hint="default" w:ascii="Times New Roman" w:hAnsi="Times New Roman" w:cs="Times New Roman"/>
                <w:color w:val="auto"/>
                <w:sz w:val="24"/>
                <w:lang w:bidi="ar"/>
              </w:rPr>
              <w:t xml:space="preserve"> ——地面效应引起的衰减，dB； </w:t>
            </w:r>
          </w:p>
          <w:p w14:paraId="4344547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A</w:t>
            </w:r>
            <w:r>
              <w:rPr>
                <w:rFonts w:hint="default" w:ascii="Times New Roman" w:hAnsi="Times New Roman" w:cs="Times New Roman"/>
                <w:color w:val="auto"/>
                <w:sz w:val="24"/>
                <w:vertAlign w:val="subscript"/>
                <w:lang w:bidi="ar"/>
              </w:rPr>
              <w:t>bar</w:t>
            </w:r>
            <w:r>
              <w:rPr>
                <w:rFonts w:hint="default" w:ascii="Times New Roman" w:hAnsi="Times New Roman" w:cs="Times New Roman"/>
                <w:color w:val="auto"/>
                <w:sz w:val="24"/>
                <w:lang w:bidi="ar"/>
              </w:rPr>
              <w:t xml:space="preserve"> ——障碍物屏蔽引起的衰减，dB； </w:t>
            </w:r>
          </w:p>
          <w:p w14:paraId="2836BB8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A</w:t>
            </w:r>
            <w:r>
              <w:rPr>
                <w:rFonts w:hint="default" w:ascii="Times New Roman" w:hAnsi="Times New Roman" w:cs="Times New Roman"/>
                <w:color w:val="auto"/>
                <w:sz w:val="24"/>
                <w:vertAlign w:val="subscript"/>
                <w:lang w:bidi="ar"/>
              </w:rPr>
              <w:t>misc</w:t>
            </w:r>
            <w:r>
              <w:rPr>
                <w:rFonts w:hint="default" w:ascii="Times New Roman" w:hAnsi="Times New Roman" w:cs="Times New Roman"/>
                <w:color w:val="auto"/>
                <w:sz w:val="24"/>
                <w:lang w:bidi="ar"/>
              </w:rPr>
              <w:t xml:space="preserve"> ——其他多方面效应引起的衰减，dB。</w:t>
            </w:r>
          </w:p>
          <w:p w14:paraId="47E7F3C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室内噪声源预测：声</w:t>
            </w:r>
            <w:r>
              <w:rPr>
                <w:rFonts w:hint="default" w:ascii="Times New Roman" w:hAnsi="Times New Roman" w:cs="Times New Roman"/>
                <w:color w:val="auto"/>
                <w:sz w:val="24"/>
                <w:lang w:bidi="ar"/>
              </w:rPr>
              <w:t xml:space="preserve">源位于室内，室内声源可采用等效室外声源声功率级法进行计算。设靠近开口处（或窗户）室内、室外某倍频带的声压级或 A 声级分别为 </w:t>
            </w: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p1</w:t>
            </w:r>
            <w:r>
              <w:rPr>
                <w:rFonts w:hint="default" w:ascii="Times New Roman" w:hAnsi="Times New Roman" w:cs="Times New Roman"/>
                <w:color w:val="auto"/>
                <w:sz w:val="24"/>
                <w:lang w:bidi="ar"/>
              </w:rPr>
              <w:t xml:space="preserve">和 </w:t>
            </w: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p2</w:t>
            </w:r>
            <w:r>
              <w:rPr>
                <w:rFonts w:hint="default" w:ascii="Times New Roman" w:hAnsi="Times New Roman" w:cs="Times New Roman"/>
                <w:color w:val="auto"/>
                <w:sz w:val="24"/>
                <w:lang w:bidi="ar"/>
              </w:rPr>
              <w:t>。若声源所在室内声场为近似扩散声场，则室外的倍频带声压级可按式（B.1）近似求出：</w:t>
            </w:r>
          </w:p>
          <w:p w14:paraId="3E05C010">
            <w:pPr>
              <w:spacing w:line="360" w:lineRule="auto"/>
              <w:ind w:firstLine="1680" w:firstLineChars="700"/>
              <w:rPr>
                <w:rFonts w:hint="default" w:ascii="Times New Roman" w:hAnsi="Times New Roman" w:cs="Times New Roman"/>
                <w:color w:val="auto"/>
                <w:sz w:val="24"/>
              </w:rPr>
            </w:pP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p2</w:t>
            </w:r>
            <w:r>
              <w:rPr>
                <w:rFonts w:hint="default" w:ascii="Times New Roman" w:hAnsi="Times New Roman" w:cs="Times New Roman"/>
                <w:color w:val="auto"/>
                <w:sz w:val="24"/>
                <w:lang w:bidi="ar"/>
              </w:rPr>
              <w:t>＝</w:t>
            </w: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p1</w:t>
            </w:r>
            <w:r>
              <w:rPr>
                <w:rFonts w:hint="default" w:ascii="Times New Roman" w:hAnsi="Times New Roman" w:cs="Times New Roman"/>
                <w:color w:val="auto"/>
                <w:sz w:val="24"/>
                <w:lang w:bidi="ar"/>
              </w:rPr>
              <w:t>－(</w:t>
            </w:r>
            <w:r>
              <w:rPr>
                <w:rFonts w:hint="default" w:ascii="Times New Roman" w:hAnsi="Times New Roman" w:cs="Times New Roman"/>
                <w:i/>
                <w:iCs/>
                <w:color w:val="auto"/>
                <w:sz w:val="24"/>
                <w:lang w:bidi="ar"/>
              </w:rPr>
              <w:t>TL</w:t>
            </w:r>
            <w:r>
              <w:rPr>
                <w:rFonts w:hint="default" w:ascii="Times New Roman" w:hAnsi="Times New Roman" w:cs="Times New Roman"/>
                <w:color w:val="auto"/>
                <w:sz w:val="24"/>
                <w:lang w:bidi="ar"/>
              </w:rPr>
              <w:t xml:space="preserve">+6)                </w:t>
            </w:r>
            <w:r>
              <w:rPr>
                <w:rFonts w:hint="eastAsia" w:ascii="Times New Roman" w:hAnsi="Times New Roman" w:cs="Times New Roman"/>
                <w:color w:val="auto"/>
                <w:sz w:val="24"/>
                <w:lang w:val="en-US" w:eastAsia="zh-CN" w:bidi="ar"/>
              </w:rPr>
              <w:t xml:space="preserve">          </w:t>
            </w:r>
            <w:r>
              <w:rPr>
                <w:rFonts w:hint="default" w:ascii="Times New Roman" w:hAnsi="Times New Roman" w:cs="Times New Roman"/>
                <w:color w:val="auto"/>
                <w:sz w:val="24"/>
                <w:lang w:bidi="ar"/>
              </w:rPr>
              <w:t>B.1</w:t>
            </w:r>
          </w:p>
          <w:p w14:paraId="1F1E27F3">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02235BF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p1</w:t>
            </w:r>
            <w:r>
              <w:rPr>
                <w:rFonts w:hint="default" w:ascii="Times New Roman" w:hAnsi="Times New Roman" w:cs="Times New Roman"/>
                <w:color w:val="auto"/>
                <w:sz w:val="24"/>
              </w:rPr>
              <w:t>—</w:t>
            </w:r>
            <w:r>
              <w:rPr>
                <w:rFonts w:hint="default" w:ascii="Times New Roman" w:hAnsi="Times New Roman" w:cs="Times New Roman"/>
                <w:color w:val="auto"/>
                <w:sz w:val="24"/>
                <w:lang w:bidi="ar"/>
              </w:rPr>
              <w:t>靠近开口处（或窗户）室内某倍频带的声压级或A声级，dB；</w:t>
            </w:r>
          </w:p>
          <w:p w14:paraId="63ACD82A">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p2</w:t>
            </w:r>
            <w:r>
              <w:rPr>
                <w:rFonts w:hint="default" w:ascii="Times New Roman" w:hAnsi="Times New Roman" w:cs="Times New Roman"/>
                <w:color w:val="auto"/>
                <w:sz w:val="24"/>
              </w:rPr>
              <w:t>—</w:t>
            </w:r>
            <w:r>
              <w:rPr>
                <w:rFonts w:hint="default" w:ascii="Times New Roman" w:hAnsi="Times New Roman" w:cs="Times New Roman"/>
                <w:color w:val="auto"/>
                <w:sz w:val="24"/>
                <w:lang w:bidi="ar"/>
              </w:rPr>
              <w:t>靠近开口处（或窗户）室外某倍频带的声压级或A声级，dB；</w:t>
            </w:r>
          </w:p>
          <w:p w14:paraId="71821AF8">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i/>
                <w:iCs/>
                <w:color w:val="auto"/>
                <w:sz w:val="24"/>
                <w:lang w:bidi="ar"/>
              </w:rPr>
              <w:t>TL</w:t>
            </w:r>
            <w:r>
              <w:rPr>
                <w:rFonts w:hint="default" w:ascii="Times New Roman" w:hAnsi="Times New Roman" w:cs="Times New Roman"/>
                <w:color w:val="auto"/>
                <w:sz w:val="24"/>
              </w:rPr>
              <w:t>—隔墙或窗户</w:t>
            </w:r>
            <w:r>
              <w:rPr>
                <w:rFonts w:hint="default" w:ascii="Times New Roman" w:hAnsi="Times New Roman" w:cs="Times New Roman"/>
                <w:color w:val="auto"/>
                <w:sz w:val="24"/>
                <w:lang w:bidi="ar"/>
              </w:rPr>
              <w:t>倍频带或A声级的隔音量</w:t>
            </w:r>
            <w:r>
              <w:rPr>
                <w:rFonts w:hint="default" w:ascii="Times New Roman" w:hAnsi="Times New Roman" w:cs="Times New Roman"/>
                <w:color w:val="auto"/>
                <w:sz w:val="24"/>
              </w:rPr>
              <w:t>。</w:t>
            </w:r>
          </w:p>
          <w:p w14:paraId="16B046A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3082925" cy="1682115"/>
                  <wp:effectExtent l="0" t="0" r="3175" b="133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1"/>
                          <a:stretch>
                            <a:fillRect/>
                          </a:stretch>
                        </pic:blipFill>
                        <pic:spPr>
                          <a:xfrm>
                            <a:off x="0" y="0"/>
                            <a:ext cx="3082925" cy="1682115"/>
                          </a:xfrm>
                          <a:prstGeom prst="rect">
                            <a:avLst/>
                          </a:prstGeom>
                          <a:noFill/>
                          <a:ln>
                            <a:noFill/>
                          </a:ln>
                        </pic:spPr>
                      </pic:pic>
                    </a:graphicData>
                  </a:graphic>
                </wp:inline>
              </w:drawing>
            </w:r>
          </w:p>
          <w:p w14:paraId="4A074139">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w:t>
            </w:r>
            <w:r>
              <w:rPr>
                <w:rFonts w:hint="eastAsia" w:ascii="Times New Roman" w:hAnsi="Times New Roman" w:cs="Times New Roman"/>
                <w:b/>
                <w:color w:val="auto"/>
                <w:sz w:val="21"/>
                <w:szCs w:val="21"/>
                <w:lang w:val="en-US" w:eastAsia="zh-CN"/>
              </w:rPr>
              <w:t>4</w:t>
            </w:r>
            <w:r>
              <w:rPr>
                <w:rFonts w:hint="default"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 xml:space="preserve">  室内声源等效为室外声源图例</w:t>
            </w:r>
          </w:p>
          <w:p w14:paraId="635FF66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也可按照（B.2）计算某一室内声源靠近围护结构处产生的倍频带声压级或 A 声级： </w:t>
            </w:r>
          </w:p>
          <w:p w14:paraId="6C9B4BC9">
            <w:pPr>
              <w:adjustRightInd w:val="0"/>
              <w:snapToGrid w:val="0"/>
              <w:spacing w:line="360" w:lineRule="auto"/>
              <w:ind w:firstLine="1680" w:firstLineChars="700"/>
              <w:jc w:val="both"/>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drawing>
                <wp:inline distT="0" distB="0" distL="114300" distR="114300">
                  <wp:extent cx="2009775" cy="438150"/>
                  <wp:effectExtent l="0" t="0" r="9525" b="0"/>
                  <wp:docPr id="4" name="图片 5"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B2"/>
                          <pic:cNvPicPr>
                            <a:picLocks noChangeAspect="1"/>
                          </pic:cNvPicPr>
                        </pic:nvPicPr>
                        <pic:blipFill>
                          <a:blip r:embed="rId22"/>
                          <a:stretch>
                            <a:fillRect/>
                          </a:stretch>
                        </pic:blipFill>
                        <pic:spPr>
                          <a:xfrm>
                            <a:off x="0" y="0"/>
                            <a:ext cx="2009775" cy="438150"/>
                          </a:xfrm>
                          <a:prstGeom prst="rect">
                            <a:avLst/>
                          </a:prstGeom>
                          <a:noFill/>
                          <a:ln>
                            <a:noFill/>
                          </a:ln>
                        </pic:spPr>
                      </pic:pic>
                    </a:graphicData>
                  </a:graphic>
                </wp:inline>
              </w:drawing>
            </w:r>
            <w:r>
              <w:rPr>
                <w:rFonts w:hint="default" w:ascii="Times New Roman" w:hAnsi="Times New Roman" w:cs="Times New Roman"/>
                <w:color w:val="auto"/>
                <w:sz w:val="24"/>
              </w:rPr>
              <w:t xml:space="preserve">                  B.2</w:t>
            </w:r>
          </w:p>
          <w:p w14:paraId="3F38C16E">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61D33077">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i/>
                <w:iCs/>
                <w:color w:val="auto"/>
                <w:sz w:val="24"/>
                <w:lang w:bidi="ar"/>
              </w:rPr>
              <w:t>L</w:t>
            </w:r>
            <w:r>
              <w:rPr>
                <w:rFonts w:hint="default" w:ascii="Times New Roman" w:hAnsi="Times New Roman" w:cs="Times New Roman"/>
                <w:i/>
                <w:iCs/>
                <w:color w:val="auto"/>
                <w:sz w:val="24"/>
                <w:vertAlign w:val="subscript"/>
                <w:lang w:bidi="ar"/>
              </w:rPr>
              <w:t>p1</w:t>
            </w:r>
            <w:r>
              <w:rPr>
                <w:rFonts w:hint="default" w:ascii="Times New Roman" w:hAnsi="Times New Roman" w:cs="Times New Roman"/>
                <w:color w:val="auto"/>
                <w:sz w:val="24"/>
                <w:lang w:bidi="ar"/>
              </w:rPr>
              <w:t>——靠近开口处（或窗户）室内某倍频带的声压级或A声级，dB；</w:t>
            </w:r>
          </w:p>
          <w:p w14:paraId="3A3A1195">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w</w:t>
            </w:r>
            <w:r>
              <w:rPr>
                <w:rFonts w:hint="default" w:ascii="Times New Roman" w:hAnsi="Times New Roman" w:cs="Times New Roman"/>
                <w:color w:val="auto"/>
                <w:sz w:val="24"/>
                <w:lang w:bidi="ar"/>
              </w:rPr>
              <w:t>——</w:t>
            </w:r>
            <w:r>
              <w:rPr>
                <w:rFonts w:hint="default" w:ascii="Times New Roman" w:hAnsi="Times New Roman" w:cs="Times New Roman"/>
                <w:color w:val="auto"/>
                <w:sz w:val="24"/>
              </w:rPr>
              <w:t>点声源声功率级（A计权或倍频率），dB；</w:t>
            </w:r>
          </w:p>
          <w:p w14:paraId="5F72565A">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Q</w:t>
            </w:r>
            <w:r>
              <w:rPr>
                <w:rFonts w:hint="default" w:ascii="Times New Roman" w:hAnsi="Times New Roman" w:cs="Times New Roman"/>
                <w:color w:val="auto"/>
                <w:sz w:val="24"/>
                <w:lang w:bidi="ar"/>
              </w:rPr>
              <w:t>——</w:t>
            </w:r>
            <w:r>
              <w:rPr>
                <w:rFonts w:hint="default" w:ascii="Times New Roman" w:hAnsi="Times New Roman" w:cs="Times New Roman"/>
                <w:color w:val="auto"/>
                <w:sz w:val="24"/>
              </w:rPr>
              <w:t>指向性因素；通常对无指向性声源，当声源放在房间中心时，</w:t>
            </w:r>
            <w:r>
              <w:rPr>
                <w:rFonts w:hint="default" w:ascii="Times New Roman" w:hAnsi="Times New Roman" w:cs="Times New Roman"/>
                <w:i/>
                <w:iCs/>
                <w:color w:val="auto"/>
                <w:sz w:val="24"/>
              </w:rPr>
              <w:t>Q</w:t>
            </w:r>
            <w:r>
              <w:rPr>
                <w:rFonts w:hint="default" w:ascii="Times New Roman" w:hAnsi="Times New Roman" w:cs="Times New Roman"/>
                <w:color w:val="auto"/>
                <w:sz w:val="24"/>
              </w:rPr>
              <w:t>=1；当放在一面墙的中心时，</w:t>
            </w:r>
            <w:r>
              <w:rPr>
                <w:rFonts w:hint="default" w:ascii="Times New Roman" w:hAnsi="Times New Roman" w:cs="Times New Roman"/>
                <w:i/>
                <w:iCs/>
                <w:color w:val="auto"/>
                <w:sz w:val="24"/>
              </w:rPr>
              <w:t>Q</w:t>
            </w:r>
            <w:r>
              <w:rPr>
                <w:rFonts w:hint="default" w:ascii="Times New Roman" w:hAnsi="Times New Roman" w:cs="Times New Roman"/>
                <w:color w:val="auto"/>
                <w:sz w:val="24"/>
              </w:rPr>
              <w:t>=2；当放在两面墙夹角处时，</w:t>
            </w:r>
            <w:r>
              <w:rPr>
                <w:rFonts w:hint="default" w:ascii="Times New Roman" w:hAnsi="Times New Roman" w:cs="Times New Roman"/>
                <w:i/>
                <w:iCs/>
                <w:color w:val="auto"/>
                <w:sz w:val="24"/>
              </w:rPr>
              <w:t>Q</w:t>
            </w:r>
            <w:r>
              <w:rPr>
                <w:rFonts w:hint="default" w:ascii="Times New Roman" w:hAnsi="Times New Roman" w:cs="Times New Roman"/>
                <w:color w:val="auto"/>
                <w:sz w:val="24"/>
              </w:rPr>
              <w:t>=4；当放在三面墙夹角处时，</w:t>
            </w:r>
            <w:r>
              <w:rPr>
                <w:rFonts w:hint="default" w:ascii="Times New Roman" w:hAnsi="Times New Roman" w:cs="Times New Roman"/>
                <w:i/>
                <w:iCs/>
                <w:color w:val="auto"/>
                <w:sz w:val="24"/>
              </w:rPr>
              <w:t>Q</w:t>
            </w:r>
            <w:r>
              <w:rPr>
                <w:rFonts w:hint="default" w:ascii="Times New Roman" w:hAnsi="Times New Roman" w:cs="Times New Roman"/>
                <w:color w:val="auto"/>
                <w:sz w:val="24"/>
              </w:rPr>
              <w:t xml:space="preserve">=8； </w:t>
            </w:r>
          </w:p>
          <w:p w14:paraId="0AF27F58">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R</w:t>
            </w:r>
            <w:r>
              <w:rPr>
                <w:rFonts w:hint="default" w:ascii="Times New Roman" w:hAnsi="Times New Roman" w:cs="Times New Roman"/>
                <w:color w:val="auto"/>
                <w:sz w:val="24"/>
              </w:rPr>
              <w:t>—房间常数；</w:t>
            </w:r>
            <w:r>
              <w:rPr>
                <w:rFonts w:hint="default" w:ascii="Times New Roman" w:hAnsi="Times New Roman" w:cs="Times New Roman"/>
                <w:i/>
                <w:iCs/>
                <w:color w:val="auto"/>
                <w:sz w:val="24"/>
              </w:rPr>
              <w:t>R</w:t>
            </w:r>
            <w:r>
              <w:rPr>
                <w:rFonts w:hint="default" w:ascii="Times New Roman" w:hAnsi="Times New Roman" w:cs="Times New Roman"/>
                <w:color w:val="auto"/>
                <w:sz w:val="24"/>
              </w:rPr>
              <w:t>＝S/(1-α)；S为房间内表面积；α为平均吸声系数；</w:t>
            </w:r>
          </w:p>
          <w:p w14:paraId="480F8B43">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r—声源到靠近围护结构某点处的距离，m。</w:t>
            </w:r>
          </w:p>
          <w:p w14:paraId="0AF567FF">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然后按照式B.3计算出所有室内声源在围护结构处产生的</w:t>
            </w:r>
            <w:r>
              <w:rPr>
                <w:rFonts w:hint="default" w:ascii="Times New Roman" w:hAnsi="Times New Roman" w:cs="Times New Roman"/>
                <w:i/>
                <w:iCs/>
                <w:color w:val="auto"/>
                <w:sz w:val="24"/>
              </w:rPr>
              <w:t>i</w:t>
            </w:r>
            <w:r>
              <w:rPr>
                <w:rFonts w:hint="default" w:ascii="Times New Roman" w:hAnsi="Times New Roman" w:cs="Times New Roman"/>
                <w:color w:val="auto"/>
                <w:sz w:val="24"/>
              </w:rPr>
              <w:t>倍频带叠加声级；</w:t>
            </w:r>
          </w:p>
          <w:p w14:paraId="69E3D580">
            <w:pPr>
              <w:adjustRightInd w:val="0"/>
              <w:snapToGrid w:val="0"/>
              <w:spacing w:line="360" w:lineRule="auto"/>
              <w:ind w:firstLine="1920" w:firstLineChars="8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857375" cy="495300"/>
                  <wp:effectExtent l="0" t="0" r="9525" b="0"/>
                  <wp:docPr id="6" name="图片 6"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3"/>
                          <pic:cNvPicPr>
                            <a:picLocks noChangeAspect="1"/>
                          </pic:cNvPicPr>
                        </pic:nvPicPr>
                        <pic:blipFill>
                          <a:blip r:embed="rId23"/>
                          <a:stretch>
                            <a:fillRect/>
                          </a:stretch>
                        </pic:blipFill>
                        <pic:spPr>
                          <a:xfrm>
                            <a:off x="0" y="0"/>
                            <a:ext cx="1857375" cy="495300"/>
                          </a:xfrm>
                          <a:prstGeom prst="rect">
                            <a:avLst/>
                          </a:prstGeom>
                          <a:noFill/>
                          <a:ln>
                            <a:noFill/>
                          </a:ln>
                        </pic:spPr>
                      </pic:pic>
                    </a:graphicData>
                  </a:graphic>
                </wp:inline>
              </w:drawing>
            </w:r>
            <w:r>
              <w:rPr>
                <w:rFonts w:hint="default" w:ascii="Times New Roman" w:hAnsi="Times New Roman" w:cs="Times New Roman"/>
                <w:color w:val="auto"/>
                <w:sz w:val="24"/>
              </w:rPr>
              <w:t xml:space="preserve">                B.3   </w:t>
            </w:r>
          </w:p>
          <w:p w14:paraId="36896687">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1496600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p1i</w:t>
            </w:r>
            <w:r>
              <w:rPr>
                <w:rFonts w:hint="default" w:ascii="Times New Roman" w:hAnsi="Times New Roman" w:cs="Times New Roman"/>
                <w:color w:val="auto"/>
                <w:sz w:val="24"/>
              </w:rPr>
              <w:t>(</w:t>
            </w:r>
            <w:r>
              <w:rPr>
                <w:rFonts w:hint="default" w:ascii="Times New Roman" w:hAnsi="Times New Roman" w:cs="Times New Roman"/>
                <w:i/>
                <w:iCs/>
                <w:color w:val="auto"/>
                <w:sz w:val="24"/>
              </w:rPr>
              <w:t>T</w:t>
            </w:r>
            <w:r>
              <w:rPr>
                <w:rFonts w:hint="default" w:ascii="Times New Roman" w:hAnsi="Times New Roman" w:cs="Times New Roman"/>
                <w:color w:val="auto"/>
                <w:sz w:val="24"/>
              </w:rPr>
              <w:t>)—靠近围护结构处室内N个声源</w:t>
            </w:r>
            <w:r>
              <w:rPr>
                <w:rFonts w:hint="default" w:ascii="Times New Roman" w:hAnsi="Times New Roman" w:cs="Times New Roman"/>
                <w:i/>
                <w:iCs/>
                <w:color w:val="auto"/>
                <w:sz w:val="24"/>
              </w:rPr>
              <w:t>i</w:t>
            </w:r>
            <w:r>
              <w:rPr>
                <w:rFonts w:hint="default" w:ascii="Times New Roman" w:hAnsi="Times New Roman" w:cs="Times New Roman"/>
                <w:color w:val="auto"/>
                <w:sz w:val="24"/>
              </w:rPr>
              <w:t>倍频带的叠加声压级，dB；</w:t>
            </w:r>
          </w:p>
          <w:p w14:paraId="1FB134E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p1ij</w:t>
            </w:r>
            <w:r>
              <w:rPr>
                <w:rFonts w:hint="default" w:ascii="Times New Roman" w:hAnsi="Times New Roman" w:cs="Times New Roman"/>
                <w:color w:val="auto"/>
                <w:sz w:val="24"/>
              </w:rPr>
              <w:t>—室内j声源</w:t>
            </w:r>
            <w:r>
              <w:rPr>
                <w:rFonts w:hint="default" w:ascii="Times New Roman" w:hAnsi="Times New Roman" w:cs="Times New Roman"/>
                <w:i/>
                <w:iCs/>
                <w:color w:val="auto"/>
                <w:sz w:val="24"/>
              </w:rPr>
              <w:t>i</w:t>
            </w:r>
            <w:r>
              <w:rPr>
                <w:rFonts w:hint="default" w:ascii="Times New Roman" w:hAnsi="Times New Roman" w:cs="Times New Roman"/>
                <w:color w:val="auto"/>
                <w:sz w:val="24"/>
              </w:rPr>
              <w:t>倍频带的声压级，dB；</w:t>
            </w:r>
          </w:p>
          <w:p w14:paraId="10640A7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N</w:t>
            </w:r>
            <w:r>
              <w:rPr>
                <w:rFonts w:hint="default" w:ascii="Times New Roman" w:hAnsi="Times New Roman" w:cs="Times New Roman"/>
                <w:color w:val="auto"/>
                <w:sz w:val="24"/>
              </w:rPr>
              <w:t>—室内声源总数；</w:t>
            </w:r>
          </w:p>
          <w:p w14:paraId="0209D32A">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在室内近似为扩散声场时，按式（B.4）计算出靠近室外围护结构处的声压级： </w:t>
            </w:r>
          </w:p>
          <w:p w14:paraId="360E5421">
            <w:pPr>
              <w:adjustRightInd w:val="0"/>
              <w:snapToGrid w:val="0"/>
              <w:spacing w:line="360" w:lineRule="auto"/>
              <w:ind w:firstLine="1920" w:firstLineChars="800"/>
              <w:rPr>
                <w:rFonts w:hint="default" w:ascii="Times New Roman" w:hAnsi="Times New Roman" w:cs="Times New Roman"/>
                <w:i/>
                <w:iCs/>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p2i</w:t>
            </w:r>
            <w:r>
              <w:rPr>
                <w:rFonts w:hint="default" w:ascii="Times New Roman" w:hAnsi="Times New Roman" w:cs="Times New Roman"/>
                <w:color w:val="auto"/>
                <w:sz w:val="24"/>
              </w:rPr>
              <w:t>(</w:t>
            </w:r>
            <w:r>
              <w:rPr>
                <w:rFonts w:hint="default" w:ascii="Times New Roman" w:hAnsi="Times New Roman" w:cs="Times New Roman"/>
                <w:i/>
                <w:iCs/>
                <w:color w:val="auto"/>
                <w:sz w:val="24"/>
              </w:rPr>
              <w:t>T</w:t>
            </w:r>
            <w:r>
              <w:rPr>
                <w:rFonts w:hint="default" w:ascii="Times New Roman" w:hAnsi="Times New Roman" w:cs="Times New Roman"/>
                <w:color w:val="auto"/>
                <w:sz w:val="24"/>
              </w:rPr>
              <w:t>)</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p1i</w:t>
            </w:r>
            <w:r>
              <w:rPr>
                <w:rFonts w:hint="default" w:ascii="Times New Roman" w:hAnsi="Times New Roman" w:cs="Times New Roman"/>
                <w:color w:val="auto"/>
                <w:sz w:val="24"/>
              </w:rPr>
              <w:t>(</w:t>
            </w:r>
            <w:r>
              <w:rPr>
                <w:rFonts w:hint="default" w:ascii="Times New Roman" w:hAnsi="Times New Roman" w:cs="Times New Roman"/>
                <w:i/>
                <w:iCs/>
                <w:color w:val="auto"/>
                <w:sz w:val="24"/>
              </w:rPr>
              <w:t>T</w:t>
            </w:r>
            <w:r>
              <w:rPr>
                <w:rFonts w:hint="default" w:ascii="Times New Roman" w:hAnsi="Times New Roman" w:cs="Times New Roman"/>
                <w:color w:val="auto"/>
                <w:sz w:val="24"/>
              </w:rPr>
              <w:t>)－</w:t>
            </w:r>
            <w:r>
              <w:rPr>
                <w:rFonts w:hint="default" w:ascii="Times New Roman" w:hAnsi="Times New Roman" w:cs="Times New Roman"/>
                <w:color w:val="auto"/>
                <w:sz w:val="24"/>
                <w:lang w:bidi="ar"/>
              </w:rPr>
              <w:t>(</w:t>
            </w:r>
            <w:r>
              <w:rPr>
                <w:rFonts w:hint="default" w:ascii="Times New Roman" w:hAnsi="Times New Roman" w:cs="Times New Roman"/>
                <w:i/>
                <w:iCs/>
                <w:color w:val="auto"/>
                <w:sz w:val="24"/>
                <w:lang w:bidi="ar"/>
              </w:rPr>
              <w:t>TL</w:t>
            </w:r>
            <w:r>
              <w:rPr>
                <w:rFonts w:hint="default" w:ascii="Times New Roman" w:hAnsi="Times New Roman" w:cs="Times New Roman"/>
                <w:i/>
                <w:iCs/>
                <w:color w:val="auto"/>
                <w:sz w:val="24"/>
                <w:vertAlign w:val="subscript"/>
                <w:lang w:bidi="ar"/>
              </w:rPr>
              <w:t>i</w:t>
            </w:r>
            <w:r>
              <w:rPr>
                <w:rFonts w:hint="default" w:ascii="Times New Roman" w:hAnsi="Times New Roman" w:cs="Times New Roman"/>
                <w:color w:val="auto"/>
                <w:sz w:val="24"/>
                <w:lang w:bidi="ar"/>
              </w:rPr>
              <w:t>+6)                    B.4</w:t>
            </w:r>
          </w:p>
          <w:p w14:paraId="28CA5ECC">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5D1B2DE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p2i</w:t>
            </w:r>
            <w:r>
              <w:rPr>
                <w:rFonts w:hint="default" w:ascii="Times New Roman" w:hAnsi="Times New Roman" w:cs="Times New Roman"/>
                <w:color w:val="auto"/>
                <w:sz w:val="24"/>
              </w:rPr>
              <w:t>(</w:t>
            </w:r>
            <w:r>
              <w:rPr>
                <w:rFonts w:hint="default" w:ascii="Times New Roman" w:hAnsi="Times New Roman" w:cs="Times New Roman"/>
                <w:i/>
                <w:iCs/>
                <w:color w:val="auto"/>
                <w:sz w:val="24"/>
              </w:rPr>
              <w:t>T</w:t>
            </w:r>
            <w:r>
              <w:rPr>
                <w:rFonts w:hint="default" w:ascii="Times New Roman" w:hAnsi="Times New Roman" w:cs="Times New Roman"/>
                <w:color w:val="auto"/>
                <w:sz w:val="24"/>
              </w:rPr>
              <w:t>)—</w:t>
            </w:r>
            <w:r>
              <w:rPr>
                <w:rFonts w:hint="default" w:ascii="Times New Roman" w:hAnsi="Times New Roman" w:cs="Times New Roman"/>
                <w:color w:val="auto"/>
                <w:sz w:val="24"/>
                <w:lang w:bidi="ar"/>
              </w:rPr>
              <w:t xml:space="preserve">靠近围护结构处室外 </w:t>
            </w:r>
            <w:r>
              <w:rPr>
                <w:rFonts w:hint="default" w:ascii="Times New Roman" w:hAnsi="Times New Roman" w:cs="Times New Roman"/>
                <w:i/>
                <w:iCs/>
                <w:color w:val="auto"/>
                <w:sz w:val="24"/>
                <w:lang w:bidi="ar"/>
              </w:rPr>
              <w:t xml:space="preserve">N </w:t>
            </w:r>
            <w:r>
              <w:rPr>
                <w:rFonts w:hint="default" w:ascii="Times New Roman" w:hAnsi="Times New Roman" w:cs="Times New Roman"/>
                <w:color w:val="auto"/>
                <w:sz w:val="24"/>
                <w:lang w:bidi="ar"/>
              </w:rPr>
              <w:t xml:space="preserve">个声源 </w:t>
            </w:r>
            <w:r>
              <w:rPr>
                <w:rFonts w:hint="default" w:ascii="Times New Roman" w:hAnsi="Times New Roman" w:cs="Times New Roman"/>
                <w:i/>
                <w:iCs/>
                <w:color w:val="auto"/>
                <w:sz w:val="24"/>
                <w:lang w:bidi="ar"/>
              </w:rPr>
              <w:t xml:space="preserve">i </w:t>
            </w:r>
            <w:r>
              <w:rPr>
                <w:rFonts w:hint="default" w:ascii="Times New Roman" w:hAnsi="Times New Roman" w:cs="Times New Roman"/>
                <w:color w:val="auto"/>
                <w:sz w:val="24"/>
                <w:lang w:bidi="ar"/>
              </w:rPr>
              <w:t xml:space="preserve">倍频带的叠加声压级，dB； </w:t>
            </w:r>
          </w:p>
          <w:p w14:paraId="0ADF1F25">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p1i</w:t>
            </w:r>
            <w:r>
              <w:rPr>
                <w:rFonts w:hint="default" w:ascii="Times New Roman" w:hAnsi="Times New Roman" w:cs="Times New Roman"/>
                <w:color w:val="auto"/>
                <w:sz w:val="24"/>
              </w:rPr>
              <w:t>(</w:t>
            </w:r>
            <w:r>
              <w:rPr>
                <w:rFonts w:hint="default" w:ascii="Times New Roman" w:hAnsi="Times New Roman" w:cs="Times New Roman"/>
                <w:i/>
                <w:iCs/>
                <w:color w:val="auto"/>
                <w:sz w:val="24"/>
              </w:rPr>
              <w:t>T</w:t>
            </w:r>
            <w:r>
              <w:rPr>
                <w:rFonts w:hint="default" w:ascii="Times New Roman" w:hAnsi="Times New Roman" w:cs="Times New Roman"/>
                <w:color w:val="auto"/>
                <w:sz w:val="24"/>
              </w:rPr>
              <w:t>)—</w:t>
            </w:r>
            <w:r>
              <w:rPr>
                <w:rFonts w:hint="default" w:ascii="Times New Roman" w:hAnsi="Times New Roman" w:cs="Times New Roman"/>
                <w:color w:val="auto"/>
                <w:sz w:val="24"/>
                <w:lang w:bidi="ar"/>
              </w:rPr>
              <w:t xml:space="preserve">靠近围护结构处室内 </w:t>
            </w:r>
            <w:r>
              <w:rPr>
                <w:rFonts w:hint="default" w:ascii="Times New Roman" w:hAnsi="Times New Roman" w:cs="Times New Roman"/>
                <w:i/>
                <w:iCs/>
                <w:color w:val="auto"/>
                <w:sz w:val="24"/>
                <w:lang w:bidi="ar"/>
              </w:rPr>
              <w:t xml:space="preserve">N </w:t>
            </w:r>
            <w:r>
              <w:rPr>
                <w:rFonts w:hint="default" w:ascii="Times New Roman" w:hAnsi="Times New Roman" w:cs="Times New Roman"/>
                <w:color w:val="auto"/>
                <w:sz w:val="24"/>
                <w:lang w:bidi="ar"/>
              </w:rPr>
              <w:t xml:space="preserve">个声源 </w:t>
            </w:r>
            <w:r>
              <w:rPr>
                <w:rFonts w:hint="default" w:ascii="Times New Roman" w:hAnsi="Times New Roman" w:cs="Times New Roman"/>
                <w:i/>
                <w:iCs/>
                <w:color w:val="auto"/>
                <w:sz w:val="24"/>
                <w:lang w:bidi="ar"/>
              </w:rPr>
              <w:t xml:space="preserve">i </w:t>
            </w:r>
            <w:r>
              <w:rPr>
                <w:rFonts w:hint="default" w:ascii="Times New Roman" w:hAnsi="Times New Roman" w:cs="Times New Roman"/>
                <w:color w:val="auto"/>
                <w:sz w:val="24"/>
                <w:lang w:bidi="ar"/>
              </w:rPr>
              <w:t>倍频带的叠加声压级，dB；</w:t>
            </w:r>
          </w:p>
          <w:p w14:paraId="405CCA2E">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lang w:bidi="ar"/>
              </w:rPr>
              <w:t>TL</w:t>
            </w:r>
            <w:r>
              <w:rPr>
                <w:rFonts w:hint="default" w:ascii="Times New Roman" w:hAnsi="Times New Roman" w:cs="Times New Roman"/>
                <w:i/>
                <w:iCs/>
                <w:color w:val="auto"/>
                <w:sz w:val="24"/>
                <w:vertAlign w:val="subscript"/>
                <w:lang w:bidi="ar"/>
              </w:rPr>
              <w:t>i</w:t>
            </w:r>
            <w:r>
              <w:rPr>
                <w:rFonts w:hint="default" w:ascii="Times New Roman" w:hAnsi="Times New Roman" w:cs="Times New Roman"/>
                <w:color w:val="auto"/>
                <w:sz w:val="24"/>
              </w:rPr>
              <w:t>—</w:t>
            </w:r>
            <w:r>
              <w:rPr>
                <w:rFonts w:hint="default" w:ascii="Times New Roman" w:hAnsi="Times New Roman" w:cs="Times New Roman"/>
                <w:color w:val="auto"/>
                <w:sz w:val="24"/>
                <w:lang w:bidi="ar"/>
              </w:rPr>
              <w:t xml:space="preserve">围护结构 </w:t>
            </w:r>
            <w:r>
              <w:rPr>
                <w:rFonts w:hint="default" w:ascii="Times New Roman" w:hAnsi="Times New Roman" w:cs="Times New Roman"/>
                <w:i/>
                <w:iCs/>
                <w:color w:val="auto"/>
                <w:sz w:val="24"/>
                <w:lang w:bidi="ar"/>
              </w:rPr>
              <w:t xml:space="preserve">i </w:t>
            </w:r>
            <w:r>
              <w:rPr>
                <w:rFonts w:hint="default" w:ascii="Times New Roman" w:hAnsi="Times New Roman" w:cs="Times New Roman"/>
                <w:color w:val="auto"/>
                <w:sz w:val="24"/>
                <w:lang w:bidi="ar"/>
              </w:rPr>
              <w:t>倍频带的隔声量；</w:t>
            </w:r>
          </w:p>
          <w:p w14:paraId="447D2D63">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rPr>
              <w:t>然</w:t>
            </w:r>
            <w:r>
              <w:rPr>
                <w:rFonts w:hint="default" w:ascii="Times New Roman" w:hAnsi="Times New Roman" w:cs="Times New Roman"/>
                <w:color w:val="auto"/>
                <w:sz w:val="24"/>
                <w:lang w:bidi="ar"/>
              </w:rPr>
              <w:t>后按式（B.5）将室外声源的声压级和透过面积换算成等效的室外声源，计算出中心位置位于透声面积（S）处的等效声源的倍频带声功率级。</w:t>
            </w:r>
          </w:p>
          <w:p w14:paraId="7E785C6E">
            <w:pPr>
              <w:spacing w:line="360" w:lineRule="auto"/>
              <w:ind w:firstLine="1680" w:firstLineChars="700"/>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w</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p2</w:t>
            </w:r>
            <w:r>
              <w:rPr>
                <w:rFonts w:hint="default" w:ascii="Times New Roman" w:hAnsi="Times New Roman" w:cs="Times New Roman"/>
                <w:color w:val="auto"/>
                <w:sz w:val="24"/>
              </w:rPr>
              <w:t>（</w:t>
            </w:r>
            <w:r>
              <w:rPr>
                <w:rFonts w:hint="default" w:ascii="Times New Roman" w:hAnsi="Times New Roman" w:cs="Times New Roman"/>
                <w:i/>
                <w:iCs/>
                <w:color w:val="auto"/>
                <w:sz w:val="24"/>
              </w:rPr>
              <w:t>T</w:t>
            </w:r>
            <w:r>
              <w:rPr>
                <w:rFonts w:hint="default" w:ascii="Times New Roman" w:hAnsi="Times New Roman" w:cs="Times New Roman"/>
                <w:color w:val="auto"/>
                <w:sz w:val="24"/>
              </w:rPr>
              <w:t>）＋10Lg</w:t>
            </w:r>
            <w:r>
              <w:rPr>
                <w:rFonts w:hint="default" w:ascii="Times New Roman" w:hAnsi="Times New Roman" w:cs="Times New Roman"/>
                <w:i/>
                <w:iCs/>
                <w:color w:val="auto"/>
                <w:sz w:val="24"/>
              </w:rPr>
              <w:t>S</w:t>
            </w:r>
            <w:r>
              <w:rPr>
                <w:rFonts w:hint="default" w:ascii="Times New Roman" w:hAnsi="Times New Roman" w:cs="Times New Roman"/>
                <w:color w:val="auto"/>
                <w:sz w:val="24"/>
              </w:rPr>
              <w:t xml:space="preserve">                        </w:t>
            </w:r>
            <w:r>
              <w:rPr>
                <w:rFonts w:hint="default" w:ascii="Times New Roman" w:hAnsi="Times New Roman" w:cs="Times New Roman"/>
                <w:color w:val="auto"/>
                <w:sz w:val="24"/>
                <w:lang w:bidi="ar"/>
              </w:rPr>
              <w:t>B.5</w:t>
            </w:r>
          </w:p>
          <w:p w14:paraId="000A1E6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48B57BA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w</w:t>
            </w:r>
            <w:r>
              <w:rPr>
                <w:rFonts w:hint="default" w:ascii="Times New Roman" w:hAnsi="Times New Roman" w:cs="Times New Roman"/>
                <w:color w:val="auto"/>
                <w:sz w:val="24"/>
              </w:rPr>
              <w:t>—</w:t>
            </w:r>
            <w:r>
              <w:rPr>
                <w:rFonts w:hint="default" w:ascii="Times New Roman" w:hAnsi="Times New Roman" w:cs="Times New Roman"/>
                <w:color w:val="auto"/>
                <w:sz w:val="24"/>
                <w:lang w:bidi="ar"/>
              </w:rPr>
              <w:t>中心位置位于透声面积（</w:t>
            </w:r>
            <w:r>
              <w:rPr>
                <w:rFonts w:hint="default" w:ascii="Times New Roman" w:hAnsi="Times New Roman" w:cs="Times New Roman"/>
                <w:i/>
                <w:iCs/>
                <w:color w:val="auto"/>
                <w:sz w:val="24"/>
                <w:lang w:bidi="ar"/>
              </w:rPr>
              <w:t>S</w:t>
            </w:r>
            <w:r>
              <w:rPr>
                <w:rFonts w:hint="default" w:ascii="Times New Roman" w:hAnsi="Times New Roman" w:cs="Times New Roman"/>
                <w:color w:val="auto"/>
                <w:sz w:val="24"/>
                <w:lang w:bidi="ar"/>
              </w:rPr>
              <w:t>）处的等效声源的倍频带声功率级，dB；</w:t>
            </w:r>
          </w:p>
          <w:p w14:paraId="07F738B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p2</w:t>
            </w:r>
            <w:r>
              <w:rPr>
                <w:rFonts w:hint="default" w:ascii="Times New Roman" w:hAnsi="Times New Roman" w:cs="Times New Roman"/>
                <w:color w:val="auto"/>
                <w:sz w:val="24"/>
              </w:rPr>
              <w:t>（</w:t>
            </w:r>
            <w:r>
              <w:rPr>
                <w:rFonts w:hint="default" w:ascii="Times New Roman" w:hAnsi="Times New Roman" w:cs="Times New Roman"/>
                <w:i/>
                <w:iCs/>
                <w:color w:val="auto"/>
                <w:sz w:val="24"/>
              </w:rPr>
              <w:t>T</w:t>
            </w:r>
            <w:r>
              <w:rPr>
                <w:rFonts w:hint="default" w:ascii="Times New Roman" w:hAnsi="Times New Roman" w:cs="Times New Roman"/>
                <w:color w:val="auto"/>
                <w:sz w:val="24"/>
              </w:rPr>
              <w:t>）—</w:t>
            </w:r>
            <w:r>
              <w:rPr>
                <w:rFonts w:hint="default" w:ascii="Times New Roman" w:hAnsi="Times New Roman" w:cs="Times New Roman"/>
                <w:color w:val="auto"/>
                <w:sz w:val="24"/>
                <w:lang w:bidi="ar"/>
              </w:rPr>
              <w:t>靠近围护结构处室外声源的声压级，dB；</w:t>
            </w:r>
          </w:p>
          <w:p w14:paraId="774A9AA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S</w:t>
            </w:r>
            <w:r>
              <w:rPr>
                <w:rFonts w:hint="default" w:ascii="Times New Roman" w:hAnsi="Times New Roman" w:cs="Times New Roman"/>
                <w:color w:val="auto"/>
                <w:sz w:val="24"/>
              </w:rPr>
              <w:t>—透声面积，m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14:paraId="33F464E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然后按室外声源预测方法计算预测点处的A声级。</w:t>
            </w:r>
          </w:p>
          <w:p w14:paraId="0867E57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最终噪声预测值计算：</w:t>
            </w:r>
            <w:r>
              <w:rPr>
                <w:rFonts w:hint="default" w:ascii="Times New Roman" w:hAnsi="Times New Roman" w:cs="Times New Roman"/>
                <w:color w:val="auto"/>
                <w:sz w:val="24"/>
                <w:lang w:bidi="ar"/>
              </w:rPr>
              <w:t xml:space="preserve">设第 </w:t>
            </w:r>
            <w:r>
              <w:rPr>
                <w:rFonts w:hint="default" w:ascii="Times New Roman" w:hAnsi="Times New Roman" w:cs="Times New Roman"/>
                <w:i/>
                <w:iCs/>
                <w:color w:val="auto"/>
                <w:sz w:val="24"/>
                <w:lang w:bidi="ar"/>
              </w:rPr>
              <w:t xml:space="preserve">i </w:t>
            </w:r>
            <w:r>
              <w:rPr>
                <w:rFonts w:hint="default" w:ascii="Times New Roman" w:hAnsi="Times New Roman" w:cs="Times New Roman"/>
                <w:color w:val="auto"/>
                <w:sz w:val="24"/>
                <w:lang w:bidi="ar"/>
              </w:rPr>
              <w:t>个室外声源在预测点产生的A声级为</w:t>
            </w:r>
            <w:r>
              <w:rPr>
                <w:rFonts w:hint="default" w:ascii="Times New Roman" w:hAnsi="Times New Roman" w:cs="Times New Roman"/>
                <w:i/>
                <w:iCs/>
                <w:color w:val="auto"/>
                <w:sz w:val="24"/>
                <w:lang w:bidi="ar"/>
              </w:rPr>
              <w:t>L</w:t>
            </w:r>
            <w:r>
              <w:rPr>
                <w:rFonts w:hint="default" w:ascii="Times New Roman" w:hAnsi="Times New Roman" w:cs="Times New Roman"/>
                <w:color w:val="auto"/>
                <w:sz w:val="24"/>
                <w:vertAlign w:val="subscript"/>
                <w:lang w:bidi="ar"/>
              </w:rPr>
              <w:t>A</w:t>
            </w:r>
            <w:r>
              <w:rPr>
                <w:rFonts w:hint="default" w:ascii="Times New Roman" w:hAnsi="Times New Roman" w:cs="Times New Roman"/>
                <w:i/>
                <w:iCs/>
                <w:color w:val="auto"/>
                <w:sz w:val="24"/>
                <w:vertAlign w:val="subscript"/>
                <w:lang w:bidi="ar"/>
              </w:rPr>
              <w:t>i</w:t>
            </w:r>
            <w:r>
              <w:rPr>
                <w:rFonts w:hint="default" w:ascii="Times New Roman" w:hAnsi="Times New Roman" w:cs="Times New Roman"/>
                <w:color w:val="auto"/>
                <w:sz w:val="24"/>
                <w:lang w:bidi="ar"/>
              </w:rPr>
              <w:t>，在</w:t>
            </w:r>
            <w:r>
              <w:rPr>
                <w:rFonts w:hint="default" w:ascii="Times New Roman" w:hAnsi="Times New Roman" w:cs="Times New Roman"/>
                <w:i/>
                <w:iCs/>
                <w:color w:val="auto"/>
                <w:sz w:val="24"/>
                <w:lang w:bidi="ar"/>
              </w:rPr>
              <w:t>T</w:t>
            </w:r>
            <w:r>
              <w:rPr>
                <w:rFonts w:hint="default" w:ascii="Times New Roman" w:hAnsi="Times New Roman" w:cs="Times New Roman"/>
                <w:color w:val="auto"/>
                <w:sz w:val="24"/>
                <w:lang w:bidi="ar"/>
              </w:rPr>
              <w:t>时间内该声源工作时间为</w:t>
            </w:r>
            <w:r>
              <w:rPr>
                <w:rFonts w:hint="default" w:ascii="Times New Roman" w:hAnsi="Times New Roman" w:cs="Times New Roman"/>
                <w:i/>
                <w:iCs/>
                <w:color w:val="auto"/>
                <w:sz w:val="24"/>
                <w:lang w:bidi="ar"/>
              </w:rPr>
              <w:t>t</w:t>
            </w:r>
            <w:r>
              <w:rPr>
                <w:rFonts w:hint="default" w:ascii="Times New Roman" w:hAnsi="Times New Roman" w:cs="Times New Roman"/>
                <w:i/>
                <w:iCs/>
                <w:color w:val="auto"/>
                <w:sz w:val="24"/>
                <w:vertAlign w:val="subscript"/>
                <w:lang w:bidi="ar"/>
              </w:rPr>
              <w:t>i</w:t>
            </w:r>
            <w:r>
              <w:rPr>
                <w:rFonts w:hint="default" w:ascii="Times New Roman" w:hAnsi="Times New Roman" w:cs="Times New Roman"/>
                <w:color w:val="auto"/>
                <w:sz w:val="24"/>
                <w:lang w:bidi="ar"/>
              </w:rPr>
              <w:t>；第</w:t>
            </w:r>
            <w:r>
              <w:rPr>
                <w:rFonts w:hint="default" w:ascii="Times New Roman" w:hAnsi="Times New Roman" w:cs="Times New Roman"/>
                <w:i/>
                <w:iCs/>
                <w:color w:val="auto"/>
                <w:sz w:val="24"/>
                <w:lang w:bidi="ar"/>
              </w:rPr>
              <w:t>j</w:t>
            </w:r>
            <w:r>
              <w:rPr>
                <w:rFonts w:hint="default" w:ascii="Times New Roman" w:hAnsi="Times New Roman" w:cs="Times New Roman"/>
                <w:color w:val="auto"/>
                <w:sz w:val="24"/>
                <w:lang w:bidi="ar"/>
              </w:rPr>
              <w:t>个等效室外声源在预测点产生的A声级为</w:t>
            </w:r>
            <w:r>
              <w:rPr>
                <w:rFonts w:hint="default" w:ascii="Times New Roman" w:hAnsi="Times New Roman" w:cs="Times New Roman"/>
                <w:i/>
                <w:iCs/>
                <w:color w:val="auto"/>
                <w:sz w:val="24"/>
                <w:lang w:bidi="ar"/>
              </w:rPr>
              <w:t>L</w:t>
            </w:r>
            <w:r>
              <w:rPr>
                <w:rFonts w:hint="default" w:ascii="Times New Roman" w:hAnsi="Times New Roman" w:cs="Times New Roman"/>
                <w:color w:val="auto"/>
                <w:sz w:val="24"/>
                <w:vertAlign w:val="subscript"/>
                <w:lang w:bidi="ar"/>
              </w:rPr>
              <w:t>A</w:t>
            </w:r>
            <w:r>
              <w:rPr>
                <w:rFonts w:hint="default" w:ascii="Times New Roman" w:hAnsi="Times New Roman" w:cs="Times New Roman"/>
                <w:i/>
                <w:iCs/>
                <w:color w:val="auto"/>
                <w:sz w:val="24"/>
                <w:vertAlign w:val="subscript"/>
                <w:lang w:bidi="ar"/>
              </w:rPr>
              <w:t>j</w:t>
            </w:r>
            <w:r>
              <w:rPr>
                <w:rFonts w:hint="default" w:ascii="Times New Roman" w:hAnsi="Times New Roman" w:cs="Times New Roman"/>
                <w:color w:val="auto"/>
                <w:sz w:val="24"/>
                <w:lang w:bidi="ar"/>
              </w:rPr>
              <w:t>，在</w:t>
            </w:r>
            <w:r>
              <w:rPr>
                <w:rFonts w:hint="default" w:ascii="Times New Roman" w:hAnsi="Times New Roman" w:cs="Times New Roman"/>
                <w:i/>
                <w:iCs/>
                <w:color w:val="auto"/>
                <w:sz w:val="24"/>
                <w:lang w:bidi="ar"/>
              </w:rPr>
              <w:t xml:space="preserve">T </w:t>
            </w:r>
            <w:r>
              <w:rPr>
                <w:rFonts w:hint="default" w:ascii="Times New Roman" w:hAnsi="Times New Roman" w:cs="Times New Roman"/>
                <w:color w:val="auto"/>
                <w:sz w:val="24"/>
                <w:lang w:bidi="ar"/>
              </w:rPr>
              <w:t>时间内该声源工作时间为</w:t>
            </w:r>
            <w:r>
              <w:rPr>
                <w:rFonts w:hint="default" w:ascii="Times New Roman" w:hAnsi="Times New Roman" w:cs="Times New Roman"/>
                <w:i/>
                <w:iCs/>
                <w:color w:val="auto"/>
                <w:sz w:val="24"/>
                <w:lang w:bidi="ar"/>
              </w:rPr>
              <w:t>t</w:t>
            </w:r>
            <w:r>
              <w:rPr>
                <w:rFonts w:hint="default" w:ascii="Times New Roman" w:hAnsi="Times New Roman" w:cs="Times New Roman"/>
                <w:i/>
                <w:iCs/>
                <w:color w:val="auto"/>
                <w:sz w:val="24"/>
                <w:vertAlign w:val="subscript"/>
                <w:lang w:bidi="ar"/>
              </w:rPr>
              <w:t xml:space="preserve"> j</w:t>
            </w:r>
            <w:r>
              <w:rPr>
                <w:rFonts w:hint="default" w:ascii="Times New Roman" w:hAnsi="Times New Roman" w:cs="Times New Roman"/>
                <w:color w:val="auto"/>
                <w:sz w:val="24"/>
                <w:lang w:bidi="ar"/>
              </w:rPr>
              <w:t>，则拟建工程声源对预测点产生的贡献值（</w:t>
            </w:r>
            <w:r>
              <w:rPr>
                <w:rFonts w:hint="default" w:ascii="Times New Roman" w:hAnsi="Times New Roman" w:cs="Times New Roman"/>
                <w:i/>
                <w:iCs/>
                <w:color w:val="auto"/>
                <w:sz w:val="24"/>
                <w:lang w:bidi="ar"/>
              </w:rPr>
              <w:t>L</w:t>
            </w:r>
            <w:r>
              <w:rPr>
                <w:rFonts w:hint="default" w:ascii="Times New Roman" w:hAnsi="Times New Roman" w:cs="Times New Roman"/>
                <w:color w:val="auto"/>
                <w:sz w:val="24"/>
                <w:vertAlign w:val="subscript"/>
                <w:lang w:bidi="ar"/>
              </w:rPr>
              <w:t>eqg</w:t>
            </w:r>
            <w:r>
              <w:rPr>
                <w:rFonts w:hint="default" w:ascii="Times New Roman" w:hAnsi="Times New Roman" w:cs="Times New Roman"/>
                <w:color w:val="auto"/>
                <w:sz w:val="24"/>
                <w:lang w:bidi="ar"/>
              </w:rPr>
              <w:t>）为：</w:t>
            </w:r>
          </w:p>
          <w:p w14:paraId="73B9EEB5">
            <w:pPr>
              <w:adjustRightInd w:val="0"/>
              <w:snapToGrid w:val="0"/>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drawing>
                <wp:inline distT="0" distB="0" distL="114300" distR="114300">
                  <wp:extent cx="3133725" cy="609600"/>
                  <wp:effectExtent l="0" t="0" r="9525" b="0"/>
                  <wp:docPr id="7" name="图片 7"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6"/>
                          <pic:cNvPicPr>
                            <a:picLocks noChangeAspect="1"/>
                          </pic:cNvPicPr>
                        </pic:nvPicPr>
                        <pic:blipFill>
                          <a:blip r:embed="rId24"/>
                          <a:stretch>
                            <a:fillRect/>
                          </a:stretch>
                        </pic:blipFill>
                        <pic:spPr>
                          <a:xfrm>
                            <a:off x="0" y="0"/>
                            <a:ext cx="3133725" cy="609600"/>
                          </a:xfrm>
                          <a:prstGeom prst="rect">
                            <a:avLst/>
                          </a:prstGeom>
                          <a:noFill/>
                          <a:ln>
                            <a:noFill/>
                          </a:ln>
                        </pic:spPr>
                      </pic:pic>
                    </a:graphicData>
                  </a:graphic>
                </wp:inline>
              </w:drawing>
            </w:r>
            <w:r>
              <w:rPr>
                <w:rFonts w:hint="default" w:ascii="Times New Roman" w:hAnsi="Times New Roman" w:cs="Times New Roman"/>
                <w:color w:val="auto"/>
                <w:sz w:val="24"/>
              </w:rPr>
              <w:t xml:space="preserve">        B.6</w:t>
            </w:r>
          </w:p>
          <w:p w14:paraId="4243AB0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3C51FCB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eqg</w:t>
            </w:r>
            <w:r>
              <w:rPr>
                <w:rFonts w:hint="default" w:ascii="Times New Roman" w:hAnsi="Times New Roman" w:cs="Times New Roman"/>
                <w:color w:val="auto"/>
                <w:sz w:val="24"/>
              </w:rPr>
              <w:t>—</w:t>
            </w:r>
            <w:r>
              <w:rPr>
                <w:rFonts w:hint="default" w:ascii="Times New Roman" w:hAnsi="Times New Roman" w:cs="Times New Roman"/>
                <w:color w:val="auto"/>
                <w:sz w:val="24"/>
                <w:lang w:bidi="ar"/>
              </w:rPr>
              <w:t>建设项目声源在预测点产生的噪声贡献值，dB；</w:t>
            </w:r>
          </w:p>
          <w:p w14:paraId="2B44F8C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T</w:t>
            </w:r>
            <w:r>
              <w:rPr>
                <w:rFonts w:hint="default" w:ascii="Times New Roman" w:hAnsi="Times New Roman" w:cs="Times New Roman"/>
                <w:color w:val="auto"/>
                <w:sz w:val="24"/>
              </w:rPr>
              <w:t>—用于计算等效声级的时间，s；</w:t>
            </w:r>
          </w:p>
          <w:p w14:paraId="0AFD0613">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i/>
                <w:iCs/>
                <w:color w:val="auto"/>
                <w:sz w:val="24"/>
              </w:rPr>
              <w:t>N</w:t>
            </w:r>
            <w:r>
              <w:rPr>
                <w:rFonts w:hint="default" w:ascii="Times New Roman" w:hAnsi="Times New Roman" w:cs="Times New Roman"/>
                <w:color w:val="auto"/>
                <w:sz w:val="24"/>
              </w:rPr>
              <w:t>—室外声源个数；</w:t>
            </w:r>
          </w:p>
          <w:p w14:paraId="3B86C1AA">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i/>
                <w:iCs/>
                <w:color w:val="auto"/>
                <w:sz w:val="24"/>
              </w:rPr>
              <w:t>t</w:t>
            </w:r>
            <w:r>
              <w:rPr>
                <w:rFonts w:hint="default" w:ascii="Times New Roman" w:hAnsi="Times New Roman" w:cs="Times New Roman"/>
                <w:i/>
                <w:iCs/>
                <w:color w:val="auto"/>
                <w:sz w:val="24"/>
                <w:vertAlign w:val="subscript"/>
              </w:rPr>
              <w:t>i</w:t>
            </w:r>
            <w:r>
              <w:rPr>
                <w:rFonts w:hint="default" w:ascii="Times New Roman" w:hAnsi="Times New Roman" w:cs="Times New Roman"/>
                <w:color w:val="auto"/>
                <w:sz w:val="24"/>
              </w:rPr>
              <w:t>—在</w:t>
            </w:r>
            <w:r>
              <w:rPr>
                <w:rFonts w:hint="default" w:ascii="Times New Roman" w:hAnsi="Times New Roman" w:cs="Times New Roman"/>
                <w:i/>
                <w:iCs/>
                <w:color w:val="auto"/>
                <w:sz w:val="24"/>
              </w:rPr>
              <w:t>T</w:t>
            </w:r>
            <w:r>
              <w:rPr>
                <w:rFonts w:hint="default" w:ascii="Times New Roman" w:hAnsi="Times New Roman" w:cs="Times New Roman"/>
                <w:color w:val="auto"/>
                <w:sz w:val="24"/>
              </w:rPr>
              <w:t>时间内</w:t>
            </w:r>
            <w:r>
              <w:rPr>
                <w:rFonts w:hint="default" w:ascii="Times New Roman" w:hAnsi="Times New Roman" w:cs="Times New Roman"/>
                <w:i/>
                <w:iCs/>
                <w:color w:val="auto"/>
                <w:sz w:val="24"/>
                <w:lang w:bidi="ar"/>
              </w:rPr>
              <w:t>i</w:t>
            </w:r>
            <w:r>
              <w:rPr>
                <w:rFonts w:hint="default" w:ascii="Times New Roman" w:hAnsi="Times New Roman" w:cs="Times New Roman"/>
                <w:color w:val="auto"/>
                <w:sz w:val="24"/>
                <w:lang w:bidi="ar"/>
              </w:rPr>
              <w:t>声源的工作时间</w:t>
            </w:r>
            <w:r>
              <w:rPr>
                <w:rFonts w:hint="default" w:ascii="Times New Roman" w:hAnsi="Times New Roman" w:cs="Times New Roman"/>
                <w:color w:val="auto"/>
                <w:sz w:val="24"/>
              </w:rPr>
              <w:t>，s</w:t>
            </w:r>
            <w:r>
              <w:rPr>
                <w:rFonts w:hint="default" w:ascii="Times New Roman" w:hAnsi="Times New Roman" w:cs="Times New Roman"/>
                <w:color w:val="auto"/>
                <w:sz w:val="24"/>
                <w:lang w:bidi="ar"/>
              </w:rPr>
              <w:t>；</w:t>
            </w:r>
          </w:p>
          <w:p w14:paraId="0C646223">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M</w:t>
            </w:r>
            <w:r>
              <w:rPr>
                <w:rFonts w:hint="default" w:ascii="Times New Roman" w:hAnsi="Times New Roman" w:cs="Times New Roman"/>
                <w:color w:val="auto"/>
                <w:sz w:val="24"/>
              </w:rPr>
              <w:t>—</w:t>
            </w:r>
            <w:r>
              <w:rPr>
                <w:rFonts w:hint="default" w:ascii="Times New Roman" w:hAnsi="Times New Roman" w:cs="Times New Roman"/>
                <w:color w:val="auto"/>
                <w:sz w:val="24"/>
                <w:lang w:bidi="ar"/>
              </w:rPr>
              <w:t>等效室外声源个数；</w:t>
            </w:r>
          </w:p>
          <w:p w14:paraId="53FA0C00">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i/>
                <w:iCs/>
                <w:color w:val="auto"/>
                <w:sz w:val="24"/>
              </w:rPr>
              <w:t>t</w:t>
            </w:r>
            <w:r>
              <w:rPr>
                <w:rFonts w:hint="default" w:ascii="Times New Roman" w:hAnsi="Times New Roman" w:cs="Times New Roman"/>
                <w:i/>
                <w:iCs/>
                <w:color w:val="auto"/>
                <w:sz w:val="24"/>
                <w:vertAlign w:val="subscript"/>
              </w:rPr>
              <w:t>j</w:t>
            </w:r>
            <w:r>
              <w:rPr>
                <w:rFonts w:hint="default" w:ascii="Times New Roman" w:hAnsi="Times New Roman" w:cs="Times New Roman"/>
                <w:color w:val="auto"/>
                <w:sz w:val="24"/>
              </w:rPr>
              <w:t>—在T时间内</w:t>
            </w:r>
            <w:r>
              <w:rPr>
                <w:rFonts w:hint="default" w:ascii="Times New Roman" w:hAnsi="Times New Roman" w:cs="Times New Roman"/>
                <w:i/>
                <w:iCs/>
                <w:color w:val="auto"/>
                <w:sz w:val="24"/>
                <w:lang w:bidi="ar"/>
              </w:rPr>
              <w:t>j</w:t>
            </w:r>
            <w:r>
              <w:rPr>
                <w:rFonts w:hint="default" w:ascii="Times New Roman" w:hAnsi="Times New Roman" w:cs="Times New Roman"/>
                <w:color w:val="auto"/>
                <w:sz w:val="24"/>
                <w:lang w:bidi="ar"/>
              </w:rPr>
              <w:t>声源的工作时间</w:t>
            </w:r>
            <w:r>
              <w:rPr>
                <w:rFonts w:hint="default" w:ascii="Times New Roman" w:hAnsi="Times New Roman" w:cs="Times New Roman"/>
                <w:color w:val="auto"/>
                <w:sz w:val="24"/>
              </w:rPr>
              <w:t>，s</w:t>
            </w:r>
            <w:r>
              <w:rPr>
                <w:rFonts w:hint="default" w:ascii="Times New Roman" w:hAnsi="Times New Roman" w:cs="Times New Roman"/>
                <w:color w:val="auto"/>
                <w:sz w:val="24"/>
                <w:lang w:bidi="ar"/>
              </w:rPr>
              <w:t>；</w:t>
            </w:r>
          </w:p>
          <w:p w14:paraId="71219AF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）预测结果分析</w:t>
            </w:r>
          </w:p>
          <w:p w14:paraId="0B071199">
            <w:pPr>
              <w:spacing w:line="360" w:lineRule="auto"/>
              <w:ind w:firstLine="480" w:firstLineChars="200"/>
              <w:jc w:val="left"/>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项目噪声贡献等声值线图见</w:t>
            </w:r>
            <w:r>
              <w:rPr>
                <w:rFonts w:hint="eastAsia" w:ascii="Times New Roman" w:hAnsi="Times New Roman" w:eastAsia="宋体" w:cs="Times New Roman"/>
                <w:color w:val="auto"/>
                <w:sz w:val="24"/>
                <w:lang w:eastAsia="zh-CN"/>
              </w:rPr>
              <w:t>下图所示</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drawing>
                <wp:inline distT="0" distB="0" distL="114300" distR="114300">
                  <wp:extent cx="4777740" cy="4351655"/>
                  <wp:effectExtent l="0" t="0" r="3810" b="10795"/>
                  <wp:docPr id="12" name="图片 12" descr="170115563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01155635337"/>
                          <pic:cNvPicPr>
                            <a:picLocks noChangeAspect="1"/>
                          </pic:cNvPicPr>
                        </pic:nvPicPr>
                        <pic:blipFill>
                          <a:blip r:embed="rId25"/>
                          <a:stretch>
                            <a:fillRect/>
                          </a:stretch>
                        </pic:blipFill>
                        <pic:spPr>
                          <a:xfrm>
                            <a:off x="0" y="0"/>
                            <a:ext cx="4777740" cy="4351655"/>
                          </a:xfrm>
                          <a:prstGeom prst="rect">
                            <a:avLst/>
                          </a:prstGeom>
                        </pic:spPr>
                      </pic:pic>
                    </a:graphicData>
                  </a:graphic>
                </wp:inline>
              </w:drawing>
            </w:r>
          </w:p>
          <w:p w14:paraId="148D8B53">
            <w:pPr>
              <w:pStyle w:val="70"/>
              <w:spacing w:line="36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图</w:t>
            </w:r>
            <w:r>
              <w:rPr>
                <w:rFonts w:hint="eastAsia" w:ascii="Times New Roman" w:hAnsi="Times New Roman" w:cs="Times New Roman"/>
                <w:color w:val="auto"/>
                <w:sz w:val="21"/>
                <w:szCs w:val="21"/>
                <w:lang w:val="en-US" w:eastAsia="zh-CN"/>
              </w:rPr>
              <w:t xml:space="preserve">4-2 </w:t>
            </w:r>
            <w:r>
              <w:rPr>
                <w:rFonts w:hint="default" w:ascii="Times New Roman" w:hAnsi="Times New Roman" w:eastAsia="宋体" w:cs="Times New Roman"/>
                <w:color w:val="auto"/>
                <w:sz w:val="21"/>
                <w:szCs w:val="21"/>
              </w:rPr>
              <w:t>噪声贡献值等声值线图</w:t>
            </w:r>
          </w:p>
          <w:p w14:paraId="0C327307">
            <w:pPr>
              <w:pStyle w:val="70"/>
              <w:spacing w:line="360" w:lineRule="auto"/>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 xml:space="preserve">    </w:t>
            </w:r>
            <w:r>
              <w:rPr>
                <w:rFonts w:hint="default" w:ascii="Times New Roman" w:hAnsi="Times New Roman" w:eastAsia="宋体" w:cs="Times New Roman"/>
                <w:b w:val="0"/>
                <w:bCs w:val="0"/>
                <w:color w:val="auto"/>
                <w:kern w:val="2"/>
                <w:sz w:val="24"/>
                <w:szCs w:val="24"/>
                <w:lang w:val="en-US" w:eastAsia="zh-CN" w:bidi="ar-SA"/>
              </w:rPr>
              <w:t>以现状监测的监测值为背景值，对主要噪声设备设置隔声间处理，考虑项目主要噪声源对本项目厂界东侧、厂界南侧、厂界西侧、厂界北侧</w:t>
            </w:r>
            <w:r>
              <w:rPr>
                <w:rFonts w:hint="eastAsia" w:ascii="Times New Roman" w:hAnsi="Times New Roman" w:cs="Times New Roman"/>
                <w:b w:val="0"/>
                <w:bCs w:val="0"/>
                <w:color w:val="auto"/>
                <w:kern w:val="2"/>
                <w:sz w:val="24"/>
                <w:szCs w:val="24"/>
                <w:lang w:val="en-US" w:eastAsia="zh-CN" w:bidi="ar-SA"/>
              </w:rPr>
              <w:t>接受点</w:t>
            </w:r>
            <w:r>
              <w:rPr>
                <w:rFonts w:hint="default" w:ascii="Times New Roman" w:hAnsi="Times New Roman" w:eastAsia="宋体" w:cs="Times New Roman"/>
                <w:b w:val="0"/>
                <w:bCs w:val="0"/>
                <w:color w:val="auto"/>
                <w:kern w:val="2"/>
                <w:sz w:val="24"/>
                <w:szCs w:val="24"/>
                <w:lang w:val="en-US" w:eastAsia="zh-CN" w:bidi="ar-SA"/>
              </w:rPr>
              <w:t>噪声的影响见表</w:t>
            </w:r>
            <w:r>
              <w:rPr>
                <w:rFonts w:hint="eastAsia" w:ascii="Times New Roman" w:hAnsi="Times New Roman" w:eastAsia="宋体" w:cs="Times New Roman"/>
                <w:b w:val="0"/>
                <w:bCs w:val="0"/>
                <w:color w:val="auto"/>
                <w:kern w:val="2"/>
                <w:sz w:val="24"/>
                <w:szCs w:val="24"/>
                <w:lang w:val="en-US" w:eastAsia="zh-CN" w:bidi="ar-SA"/>
              </w:rPr>
              <w:t>4-</w:t>
            </w:r>
            <w:r>
              <w:rPr>
                <w:rFonts w:hint="eastAsia" w:ascii="Times New Roman" w:hAnsi="Times New Roman" w:cs="Times New Roman"/>
                <w:b w:val="0"/>
                <w:bCs w:val="0"/>
                <w:color w:val="auto"/>
                <w:kern w:val="2"/>
                <w:sz w:val="24"/>
                <w:szCs w:val="24"/>
                <w:lang w:val="en-US" w:eastAsia="zh-CN" w:bidi="ar-SA"/>
              </w:rPr>
              <w:t>5</w:t>
            </w:r>
            <w:r>
              <w:rPr>
                <w:rFonts w:hint="eastAsia" w:ascii="Times New Roman" w:hAnsi="Times New Roman" w:eastAsia="宋体" w:cs="Times New Roman"/>
                <w:b w:val="0"/>
                <w:bCs w:val="0"/>
                <w:color w:val="auto"/>
                <w:kern w:val="2"/>
                <w:sz w:val="24"/>
                <w:szCs w:val="24"/>
                <w:lang w:val="en-US" w:eastAsia="zh-CN" w:bidi="ar-SA"/>
              </w:rPr>
              <w:t>。</w:t>
            </w:r>
          </w:p>
          <w:p w14:paraId="6D187D29">
            <w:pPr>
              <w:pStyle w:val="7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eastAsia" w:ascii="Times New Roman" w:hAnsi="Times New Roman" w:cs="Times New Roman"/>
                <w:color w:val="auto"/>
                <w:sz w:val="21"/>
                <w:szCs w:val="21"/>
                <w:lang w:val="en-US" w:eastAsia="zh-CN"/>
              </w:rPr>
              <w:t>4-5</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厂界</w:t>
            </w:r>
            <w:r>
              <w:rPr>
                <w:rFonts w:hint="eastAsia" w:ascii="Times New Roman" w:hAnsi="Times New Roman" w:cs="Times New Roman"/>
                <w:color w:val="auto"/>
                <w:sz w:val="21"/>
                <w:szCs w:val="21"/>
                <w:lang w:val="en-US" w:eastAsia="zh-CN"/>
              </w:rPr>
              <w:t>接受点昼间</w:t>
            </w:r>
            <w:r>
              <w:rPr>
                <w:rFonts w:hint="default" w:ascii="Times New Roman" w:hAnsi="Times New Roman" w:eastAsia="宋体" w:cs="Times New Roman"/>
                <w:color w:val="auto"/>
                <w:sz w:val="21"/>
                <w:szCs w:val="21"/>
              </w:rPr>
              <w:t>噪声预测结果表</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单位：dB(A)</w:t>
            </w:r>
          </w:p>
          <w:tbl>
            <w:tblPr>
              <w:tblStyle w:val="27"/>
              <w:tblW w:w="4993"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53"/>
              <w:gridCol w:w="671"/>
              <w:gridCol w:w="795"/>
              <w:gridCol w:w="870"/>
              <w:gridCol w:w="570"/>
              <w:gridCol w:w="720"/>
              <w:gridCol w:w="750"/>
              <w:gridCol w:w="720"/>
              <w:gridCol w:w="525"/>
              <w:gridCol w:w="465"/>
              <w:gridCol w:w="454"/>
              <w:gridCol w:w="706"/>
            </w:tblGrid>
            <w:tr w14:paraId="2885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32" w:type="pct"/>
                  <w:vMerge w:val="restart"/>
                  <w:shd w:val="clear" w:color="auto" w:fill="F0F0F0"/>
                  <w:vAlign w:val="center"/>
                </w:tcPr>
                <w:p w14:paraId="45BB2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441" w:type="pct"/>
                  <w:vMerge w:val="restart"/>
                  <w:shd w:val="clear" w:color="auto" w:fill="F0F0F0"/>
                  <w:vAlign w:val="center"/>
                </w:tcPr>
                <w:p w14:paraId="2104E6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523" w:type="pct"/>
                  <w:vMerge w:val="restart"/>
                  <w:shd w:val="clear" w:color="auto" w:fill="F0F0F0"/>
                  <w:vAlign w:val="center"/>
                </w:tcPr>
                <w:p w14:paraId="4CB35F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X(m)</w:t>
                  </w:r>
                </w:p>
              </w:tc>
              <w:tc>
                <w:tcPr>
                  <w:tcW w:w="572" w:type="pct"/>
                  <w:vMerge w:val="restart"/>
                  <w:shd w:val="clear" w:color="auto" w:fill="F0F0F0"/>
                  <w:vAlign w:val="center"/>
                </w:tcPr>
                <w:p w14:paraId="19E61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Y(m)</w:t>
                  </w:r>
                </w:p>
              </w:tc>
              <w:tc>
                <w:tcPr>
                  <w:tcW w:w="375" w:type="pct"/>
                  <w:vMerge w:val="restart"/>
                  <w:shd w:val="clear" w:color="auto" w:fill="F0F0F0"/>
                  <w:vAlign w:val="center"/>
                </w:tcPr>
                <w:p w14:paraId="170699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离地高(m)</w:t>
                  </w:r>
                </w:p>
              </w:tc>
              <w:tc>
                <w:tcPr>
                  <w:tcW w:w="473" w:type="pct"/>
                  <w:vMerge w:val="restart"/>
                  <w:shd w:val="clear" w:color="auto" w:fill="F0F0F0"/>
                  <w:vAlign w:val="center"/>
                </w:tcPr>
                <w:p w14:paraId="770225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贡献值(dB)</w:t>
                  </w:r>
                </w:p>
              </w:tc>
              <w:tc>
                <w:tcPr>
                  <w:tcW w:w="493" w:type="pct"/>
                  <w:vMerge w:val="restart"/>
                  <w:shd w:val="clear" w:color="auto" w:fill="F0F0F0"/>
                  <w:vAlign w:val="center"/>
                </w:tcPr>
                <w:p w14:paraId="577BD5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背景值(dB)</w:t>
                  </w:r>
                </w:p>
              </w:tc>
              <w:tc>
                <w:tcPr>
                  <w:tcW w:w="473" w:type="pct"/>
                  <w:vMerge w:val="restart"/>
                  <w:shd w:val="clear" w:color="auto" w:fill="F0F0F0"/>
                  <w:vAlign w:val="center"/>
                </w:tcPr>
                <w:p w14:paraId="2441F4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叠加值(dB)</w:t>
                  </w:r>
                </w:p>
              </w:tc>
              <w:tc>
                <w:tcPr>
                  <w:tcW w:w="345" w:type="pct"/>
                  <w:vMerge w:val="restart"/>
                  <w:shd w:val="clear" w:color="auto" w:fill="F0F0F0"/>
                  <w:vAlign w:val="center"/>
                </w:tcPr>
                <w:p w14:paraId="6172D4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功能区</w:t>
                  </w:r>
                </w:p>
              </w:tc>
              <w:tc>
                <w:tcPr>
                  <w:tcW w:w="305" w:type="pct"/>
                  <w:vMerge w:val="restart"/>
                  <w:shd w:val="clear" w:color="auto" w:fill="F0F0F0"/>
                  <w:vAlign w:val="center"/>
                </w:tcPr>
                <w:p w14:paraId="51BB4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标准值</w:t>
                  </w:r>
                </w:p>
              </w:tc>
              <w:tc>
                <w:tcPr>
                  <w:tcW w:w="298" w:type="pct"/>
                  <w:vMerge w:val="restart"/>
                  <w:shd w:val="clear" w:color="auto" w:fill="F0F0F0"/>
                  <w:vAlign w:val="center"/>
                </w:tcPr>
                <w:p w14:paraId="75563C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是否达标</w:t>
                  </w:r>
                </w:p>
              </w:tc>
              <w:tc>
                <w:tcPr>
                  <w:tcW w:w="464" w:type="pct"/>
                  <w:vMerge w:val="restart"/>
                  <w:shd w:val="clear" w:color="auto" w:fill="F0F0F0"/>
                  <w:vAlign w:val="center"/>
                </w:tcPr>
                <w:p w14:paraId="176B99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与标准差值</w:t>
                  </w:r>
                </w:p>
              </w:tc>
            </w:tr>
            <w:tr w14:paraId="1DB2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232" w:type="pct"/>
                  <w:vMerge w:val="continue"/>
                  <w:shd w:val="clear" w:color="auto" w:fill="F0F0F0"/>
                  <w:vAlign w:val="center"/>
                </w:tcPr>
                <w:p w14:paraId="0FEC1B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41" w:type="pct"/>
                  <w:vMerge w:val="continue"/>
                  <w:shd w:val="clear" w:color="auto" w:fill="F0F0F0"/>
                  <w:vAlign w:val="center"/>
                </w:tcPr>
                <w:p w14:paraId="71BD08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23" w:type="pct"/>
                  <w:vMerge w:val="continue"/>
                  <w:shd w:val="clear" w:color="auto" w:fill="F0F0F0"/>
                  <w:vAlign w:val="center"/>
                </w:tcPr>
                <w:p w14:paraId="43E783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72" w:type="pct"/>
                  <w:vMerge w:val="continue"/>
                  <w:shd w:val="clear" w:color="auto" w:fill="F0F0F0"/>
                  <w:vAlign w:val="center"/>
                </w:tcPr>
                <w:p w14:paraId="096767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75" w:type="pct"/>
                  <w:vMerge w:val="continue"/>
                  <w:shd w:val="clear" w:color="auto" w:fill="F0F0F0"/>
                  <w:vAlign w:val="center"/>
                </w:tcPr>
                <w:p w14:paraId="07A75B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73" w:type="pct"/>
                  <w:vMerge w:val="continue"/>
                  <w:shd w:val="clear" w:color="auto" w:fill="F0F0F0"/>
                  <w:vAlign w:val="center"/>
                </w:tcPr>
                <w:p w14:paraId="0820E3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93" w:type="pct"/>
                  <w:vMerge w:val="continue"/>
                  <w:shd w:val="clear" w:color="auto" w:fill="F0F0F0"/>
                  <w:vAlign w:val="center"/>
                </w:tcPr>
                <w:p w14:paraId="701409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73" w:type="pct"/>
                  <w:vMerge w:val="continue"/>
                  <w:shd w:val="clear" w:color="auto" w:fill="F0F0F0"/>
                  <w:vAlign w:val="center"/>
                </w:tcPr>
                <w:p w14:paraId="381C3D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45" w:type="pct"/>
                  <w:vMerge w:val="continue"/>
                  <w:shd w:val="clear" w:color="auto" w:fill="F0F0F0"/>
                  <w:vAlign w:val="center"/>
                </w:tcPr>
                <w:p w14:paraId="1B796C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05" w:type="pct"/>
                  <w:vMerge w:val="continue"/>
                  <w:shd w:val="clear" w:color="auto" w:fill="F0F0F0"/>
                  <w:vAlign w:val="center"/>
                </w:tcPr>
                <w:p w14:paraId="106F7A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98" w:type="pct"/>
                  <w:vMerge w:val="continue"/>
                  <w:shd w:val="clear" w:color="auto" w:fill="F0F0F0"/>
                  <w:vAlign w:val="center"/>
                </w:tcPr>
                <w:p w14:paraId="185B6E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64" w:type="pct"/>
                  <w:vMerge w:val="continue"/>
                  <w:shd w:val="clear" w:color="auto" w:fill="F0F0F0"/>
                  <w:vAlign w:val="center"/>
                </w:tcPr>
                <w:p w14:paraId="73F04C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74CD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32" w:type="pct"/>
                  <w:shd w:val="clear" w:color="auto" w:fill="FFFFFF"/>
                  <w:vAlign w:val="center"/>
                </w:tcPr>
                <w:p w14:paraId="043605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1" w:type="pct"/>
                  <w:shd w:val="clear" w:color="auto" w:fill="FFFFFF"/>
                  <w:vAlign w:val="center"/>
                </w:tcPr>
                <w:p w14:paraId="112335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厂界南面</w:t>
                  </w:r>
                </w:p>
              </w:tc>
              <w:tc>
                <w:tcPr>
                  <w:tcW w:w="523" w:type="pct"/>
                  <w:shd w:val="clear" w:color="auto" w:fill="FFFFFF"/>
                  <w:vAlign w:val="center"/>
                </w:tcPr>
                <w:p w14:paraId="2F032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155.84</w:t>
                  </w:r>
                </w:p>
              </w:tc>
              <w:tc>
                <w:tcPr>
                  <w:tcW w:w="572" w:type="pct"/>
                  <w:shd w:val="clear" w:color="auto" w:fill="FFFFFF"/>
                  <w:vAlign w:val="center"/>
                </w:tcPr>
                <w:p w14:paraId="46B8BB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26.57</w:t>
                  </w:r>
                </w:p>
              </w:tc>
              <w:tc>
                <w:tcPr>
                  <w:tcW w:w="375" w:type="pct"/>
                  <w:shd w:val="clear" w:color="auto" w:fill="FFFFFF"/>
                  <w:vAlign w:val="center"/>
                </w:tcPr>
                <w:p w14:paraId="7FB99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73" w:type="pct"/>
                  <w:shd w:val="clear" w:color="auto" w:fill="FFFFFF"/>
                  <w:vAlign w:val="center"/>
                </w:tcPr>
                <w:p w14:paraId="7C678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25.31</w:t>
                  </w:r>
                </w:p>
              </w:tc>
              <w:tc>
                <w:tcPr>
                  <w:tcW w:w="493" w:type="pct"/>
                  <w:shd w:val="clear" w:color="auto" w:fill="FFFFFF"/>
                  <w:vAlign w:val="center"/>
                </w:tcPr>
                <w:p w14:paraId="0F0B4D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53.50</w:t>
                  </w:r>
                </w:p>
              </w:tc>
              <w:tc>
                <w:tcPr>
                  <w:tcW w:w="473" w:type="pct"/>
                  <w:shd w:val="clear" w:color="auto" w:fill="FFFFFF"/>
                  <w:vAlign w:val="center"/>
                </w:tcPr>
                <w:p w14:paraId="04275A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53.51</w:t>
                  </w:r>
                </w:p>
              </w:tc>
              <w:tc>
                <w:tcPr>
                  <w:tcW w:w="345" w:type="pct"/>
                  <w:vMerge w:val="restart"/>
                  <w:shd w:val="clear" w:color="auto" w:fill="FFFFFF"/>
                  <w:vAlign w:val="center"/>
                </w:tcPr>
                <w:p w14:paraId="005858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3类</w:t>
                  </w:r>
                </w:p>
              </w:tc>
              <w:tc>
                <w:tcPr>
                  <w:tcW w:w="305" w:type="pct"/>
                  <w:shd w:val="clear" w:color="auto" w:fill="FFFFFF"/>
                  <w:vAlign w:val="center"/>
                </w:tcPr>
                <w:p w14:paraId="7D9A40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298" w:type="pct"/>
                  <w:shd w:val="clear" w:color="auto" w:fill="FFFFFF"/>
                  <w:vAlign w:val="center"/>
                </w:tcPr>
                <w:p w14:paraId="42E99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464" w:type="pct"/>
                  <w:shd w:val="clear" w:color="auto" w:fill="FFFFFF"/>
                  <w:vAlign w:val="center"/>
                </w:tcPr>
                <w:p w14:paraId="3040B8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-11.49</w:t>
                  </w:r>
                </w:p>
              </w:tc>
            </w:tr>
            <w:tr w14:paraId="2B72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32" w:type="pct"/>
                  <w:shd w:val="clear" w:color="auto" w:fill="auto"/>
                  <w:vAlign w:val="center"/>
                </w:tcPr>
                <w:p w14:paraId="4E7865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41" w:type="pct"/>
                  <w:shd w:val="clear" w:color="auto" w:fill="auto"/>
                  <w:vAlign w:val="center"/>
                </w:tcPr>
                <w:p w14:paraId="1E18FD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厂界北面</w:t>
                  </w:r>
                </w:p>
              </w:tc>
              <w:tc>
                <w:tcPr>
                  <w:tcW w:w="523" w:type="pct"/>
                  <w:shd w:val="clear" w:color="auto" w:fill="auto"/>
                  <w:vAlign w:val="center"/>
                </w:tcPr>
                <w:p w14:paraId="44BD52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34.64</w:t>
                  </w:r>
                </w:p>
              </w:tc>
              <w:tc>
                <w:tcPr>
                  <w:tcW w:w="572" w:type="pct"/>
                  <w:shd w:val="clear" w:color="auto" w:fill="auto"/>
                  <w:vAlign w:val="center"/>
                </w:tcPr>
                <w:p w14:paraId="6A4255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274.94</w:t>
                  </w:r>
                </w:p>
              </w:tc>
              <w:tc>
                <w:tcPr>
                  <w:tcW w:w="375" w:type="pct"/>
                  <w:shd w:val="clear" w:color="auto" w:fill="auto"/>
                  <w:vAlign w:val="center"/>
                </w:tcPr>
                <w:p w14:paraId="12DC90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73" w:type="pct"/>
                  <w:shd w:val="clear" w:color="auto" w:fill="auto"/>
                  <w:vAlign w:val="center"/>
                </w:tcPr>
                <w:p w14:paraId="25ABAD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38.88</w:t>
                  </w:r>
                </w:p>
              </w:tc>
              <w:tc>
                <w:tcPr>
                  <w:tcW w:w="493" w:type="pct"/>
                  <w:shd w:val="clear" w:color="auto" w:fill="auto"/>
                  <w:vAlign w:val="center"/>
                </w:tcPr>
                <w:p w14:paraId="193D5F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53.70</w:t>
                  </w:r>
                </w:p>
              </w:tc>
              <w:tc>
                <w:tcPr>
                  <w:tcW w:w="473" w:type="pct"/>
                  <w:shd w:val="clear" w:color="auto" w:fill="auto"/>
                  <w:vAlign w:val="center"/>
                </w:tcPr>
                <w:p w14:paraId="08186A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53.84</w:t>
                  </w:r>
                </w:p>
              </w:tc>
              <w:tc>
                <w:tcPr>
                  <w:tcW w:w="345" w:type="pct"/>
                  <w:vMerge w:val="continue"/>
                  <w:shd w:val="clear" w:color="auto" w:fill="auto"/>
                  <w:vAlign w:val="center"/>
                </w:tcPr>
                <w:p w14:paraId="24514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05" w:type="pct"/>
                  <w:shd w:val="clear" w:color="auto" w:fill="auto"/>
                  <w:vAlign w:val="center"/>
                </w:tcPr>
                <w:p w14:paraId="444B9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298" w:type="pct"/>
                  <w:shd w:val="clear" w:color="auto" w:fill="auto"/>
                  <w:vAlign w:val="center"/>
                </w:tcPr>
                <w:p w14:paraId="4A576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464" w:type="pct"/>
                  <w:shd w:val="clear" w:color="auto" w:fill="auto"/>
                  <w:vAlign w:val="center"/>
                </w:tcPr>
                <w:p w14:paraId="70E0A3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-11.16</w:t>
                  </w:r>
                </w:p>
              </w:tc>
            </w:tr>
            <w:tr w14:paraId="0884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32" w:type="pct"/>
                  <w:shd w:val="clear" w:color="auto" w:fill="FFFFFF"/>
                  <w:vAlign w:val="center"/>
                </w:tcPr>
                <w:p w14:paraId="1762BD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41" w:type="pct"/>
                  <w:shd w:val="clear" w:color="auto" w:fill="FFFFFF"/>
                  <w:vAlign w:val="center"/>
                </w:tcPr>
                <w:p w14:paraId="281BF5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厂界西面</w:t>
                  </w:r>
                </w:p>
              </w:tc>
              <w:tc>
                <w:tcPr>
                  <w:tcW w:w="523" w:type="pct"/>
                  <w:shd w:val="clear" w:color="auto" w:fill="FFFFFF"/>
                  <w:vAlign w:val="center"/>
                </w:tcPr>
                <w:p w14:paraId="1E8300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26.54</w:t>
                  </w:r>
                </w:p>
              </w:tc>
              <w:tc>
                <w:tcPr>
                  <w:tcW w:w="572" w:type="pct"/>
                  <w:shd w:val="clear" w:color="auto" w:fill="FFFFFF"/>
                  <w:vAlign w:val="center"/>
                </w:tcPr>
                <w:p w14:paraId="1D37F4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126.86</w:t>
                  </w:r>
                </w:p>
              </w:tc>
              <w:tc>
                <w:tcPr>
                  <w:tcW w:w="375" w:type="pct"/>
                  <w:shd w:val="clear" w:color="auto" w:fill="FFFFFF"/>
                  <w:vAlign w:val="center"/>
                </w:tcPr>
                <w:p w14:paraId="62A0C5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73" w:type="pct"/>
                  <w:shd w:val="clear" w:color="auto" w:fill="FFFFFF"/>
                  <w:vAlign w:val="center"/>
                </w:tcPr>
                <w:p w14:paraId="753BAC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50.12</w:t>
                  </w:r>
                </w:p>
              </w:tc>
              <w:tc>
                <w:tcPr>
                  <w:tcW w:w="493" w:type="pct"/>
                  <w:shd w:val="clear" w:color="auto" w:fill="FFFFFF"/>
                  <w:vAlign w:val="center"/>
                </w:tcPr>
                <w:p w14:paraId="4AF653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53.00</w:t>
                  </w:r>
                </w:p>
              </w:tc>
              <w:tc>
                <w:tcPr>
                  <w:tcW w:w="473" w:type="pct"/>
                  <w:shd w:val="clear" w:color="auto" w:fill="FFFFFF"/>
                  <w:vAlign w:val="center"/>
                </w:tcPr>
                <w:p w14:paraId="1D81D2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54.80</w:t>
                  </w:r>
                </w:p>
              </w:tc>
              <w:tc>
                <w:tcPr>
                  <w:tcW w:w="345" w:type="pct"/>
                  <w:vMerge w:val="continue"/>
                  <w:shd w:val="clear" w:color="auto" w:fill="FFFFFF"/>
                  <w:vAlign w:val="center"/>
                </w:tcPr>
                <w:p w14:paraId="18626C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05" w:type="pct"/>
                  <w:shd w:val="clear" w:color="auto" w:fill="FFFFFF"/>
                  <w:vAlign w:val="center"/>
                </w:tcPr>
                <w:p w14:paraId="4651C7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298" w:type="pct"/>
                  <w:shd w:val="clear" w:color="auto" w:fill="FFFFFF"/>
                  <w:vAlign w:val="center"/>
                </w:tcPr>
                <w:p w14:paraId="74E24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464" w:type="pct"/>
                  <w:shd w:val="clear" w:color="auto" w:fill="FFFFFF"/>
                  <w:vAlign w:val="center"/>
                </w:tcPr>
                <w:p w14:paraId="42E8AC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-10.20</w:t>
                  </w:r>
                </w:p>
              </w:tc>
            </w:tr>
            <w:tr w14:paraId="07E9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32" w:type="pct"/>
                  <w:shd w:val="clear" w:color="auto" w:fill="auto"/>
                  <w:vAlign w:val="center"/>
                </w:tcPr>
                <w:p w14:paraId="083A3F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41" w:type="pct"/>
                  <w:shd w:val="clear" w:color="auto" w:fill="auto"/>
                  <w:vAlign w:val="center"/>
                </w:tcPr>
                <w:p w14:paraId="13981E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厂界东面</w:t>
                  </w:r>
                </w:p>
              </w:tc>
              <w:tc>
                <w:tcPr>
                  <w:tcW w:w="523" w:type="pct"/>
                  <w:shd w:val="clear" w:color="auto" w:fill="auto"/>
                  <w:vAlign w:val="center"/>
                </w:tcPr>
                <w:p w14:paraId="7813DE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151.15</w:t>
                  </w:r>
                </w:p>
              </w:tc>
              <w:tc>
                <w:tcPr>
                  <w:tcW w:w="572" w:type="pct"/>
                  <w:shd w:val="clear" w:color="auto" w:fill="auto"/>
                  <w:vAlign w:val="center"/>
                </w:tcPr>
                <w:p w14:paraId="5EDEF9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156.30</w:t>
                  </w:r>
                </w:p>
              </w:tc>
              <w:tc>
                <w:tcPr>
                  <w:tcW w:w="375" w:type="pct"/>
                  <w:shd w:val="clear" w:color="auto" w:fill="auto"/>
                  <w:vAlign w:val="center"/>
                </w:tcPr>
                <w:p w14:paraId="09B287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473" w:type="pct"/>
                  <w:shd w:val="clear" w:color="auto" w:fill="auto"/>
                  <w:vAlign w:val="center"/>
                </w:tcPr>
                <w:p w14:paraId="13D73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51.22</w:t>
                  </w:r>
                </w:p>
              </w:tc>
              <w:tc>
                <w:tcPr>
                  <w:tcW w:w="493" w:type="pct"/>
                  <w:shd w:val="clear" w:color="auto" w:fill="auto"/>
                  <w:vAlign w:val="center"/>
                </w:tcPr>
                <w:p w14:paraId="413957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54.40</w:t>
                  </w:r>
                </w:p>
              </w:tc>
              <w:tc>
                <w:tcPr>
                  <w:tcW w:w="473" w:type="pct"/>
                  <w:shd w:val="clear" w:color="auto" w:fill="auto"/>
                  <w:vAlign w:val="center"/>
                </w:tcPr>
                <w:p w14:paraId="592693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56.10</w:t>
                  </w:r>
                </w:p>
              </w:tc>
              <w:tc>
                <w:tcPr>
                  <w:tcW w:w="345" w:type="pct"/>
                  <w:vMerge w:val="continue"/>
                  <w:shd w:val="clear" w:color="auto" w:fill="auto"/>
                  <w:vAlign w:val="center"/>
                </w:tcPr>
                <w:p w14:paraId="718F1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05" w:type="pct"/>
                  <w:shd w:val="clear" w:color="auto" w:fill="auto"/>
                  <w:vAlign w:val="center"/>
                </w:tcPr>
                <w:p w14:paraId="59D6D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298" w:type="pct"/>
                  <w:shd w:val="clear" w:color="auto" w:fill="auto"/>
                  <w:vAlign w:val="center"/>
                </w:tcPr>
                <w:p w14:paraId="1D8896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464" w:type="pct"/>
                  <w:shd w:val="clear" w:color="auto" w:fill="auto"/>
                  <w:vAlign w:val="center"/>
                </w:tcPr>
                <w:p w14:paraId="7A599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-8.90</w:t>
                  </w:r>
                </w:p>
              </w:tc>
            </w:tr>
          </w:tbl>
          <w:p w14:paraId="6C0A6503">
            <w:pPr>
              <w:pStyle w:val="70"/>
              <w:rPr>
                <w:rFonts w:hint="default" w:ascii="Times New Roman" w:hAnsi="Times New Roman" w:eastAsia="宋体" w:cs="Times New Roman"/>
                <w:color w:val="C00000"/>
                <w:sz w:val="21"/>
                <w:szCs w:val="21"/>
              </w:rPr>
            </w:pPr>
          </w:p>
          <w:p w14:paraId="2FC2B592">
            <w:pPr>
              <w:autoSpaceDE w:val="0"/>
              <w:autoSpaceDN w:val="0"/>
              <w:snapToGrid w:val="0"/>
              <w:spacing w:before="120" w:beforeLines="50" w:line="360" w:lineRule="auto"/>
              <w:ind w:firstLine="480" w:firstLineChars="200"/>
              <w:rPr>
                <w:rFonts w:ascii="Times New Roman" w:hAnsi="Times New Roman"/>
                <w:color w:val="auto"/>
                <w:szCs w:val="21"/>
              </w:rPr>
            </w:pPr>
            <w:r>
              <w:rPr>
                <w:rFonts w:ascii="Times New Roman" w:hAnsi="Times New Roman"/>
                <w:color w:val="auto"/>
                <w:szCs w:val="21"/>
              </w:rPr>
              <w:t>据表4-</w:t>
            </w:r>
            <w:r>
              <w:rPr>
                <w:rFonts w:hint="eastAsia"/>
                <w:color w:val="auto"/>
                <w:szCs w:val="21"/>
                <w:lang w:val="en-US" w:eastAsia="zh-CN"/>
              </w:rPr>
              <w:t>5</w:t>
            </w:r>
            <w:r>
              <w:rPr>
                <w:rFonts w:ascii="Times New Roman" w:hAnsi="Times New Roman"/>
                <w:color w:val="auto"/>
                <w:szCs w:val="21"/>
              </w:rPr>
              <w:t>预测结果可知，项目运营期通过合理布局主要产噪设备的位置、采取安装减震垫等，部分设备设置设备间等措施后，经过厂房墙体隔声、距离衰减后至厂界时，噪声能达《工业企业厂界环境噪声排放标准》（GB12348-2008）</w:t>
            </w:r>
            <w:r>
              <w:rPr>
                <w:rFonts w:hint="eastAsia"/>
                <w:color w:val="auto"/>
                <w:szCs w:val="21"/>
                <w:lang w:val="en-US" w:eastAsia="zh-CN"/>
              </w:rPr>
              <w:t>3</w:t>
            </w:r>
            <w:r>
              <w:rPr>
                <w:rFonts w:ascii="Times New Roman" w:hAnsi="Times New Roman"/>
                <w:color w:val="auto"/>
                <w:szCs w:val="21"/>
              </w:rPr>
              <w:t>类标准，对周围环境影响小。</w:t>
            </w:r>
          </w:p>
          <w:p w14:paraId="5C67F2C2">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此外，经现场调查，项目区周边50m范围内无声环境敏感点，为了确保项目生产时噪声排放稳定达标，本次环评提出以下噪声污染防治措施：</w:t>
            </w:r>
          </w:p>
          <w:p w14:paraId="3939A409">
            <w:pPr>
              <w:adjustRightInd w:val="0"/>
              <w:snapToGrid w:val="0"/>
              <w:spacing w:line="360" w:lineRule="auto"/>
              <w:ind w:firstLine="480" w:firstLineChars="200"/>
              <w:rPr>
                <w:rFonts w:ascii="Times New Roman" w:hAnsi="Times New Roman"/>
                <w:color w:val="auto"/>
              </w:rPr>
            </w:pPr>
            <w:r>
              <w:rPr>
                <w:rFonts w:hint="eastAsia" w:ascii="宋体" w:hAnsi="宋体" w:cs="宋体"/>
                <w:color w:val="auto"/>
              </w:rPr>
              <w:t>①</w:t>
            </w:r>
            <w:r>
              <w:rPr>
                <w:rFonts w:ascii="Times New Roman" w:hAnsi="Times New Roman"/>
                <w:color w:val="auto"/>
              </w:rPr>
              <w:t>选择合格技术成熟的生产设备，从源头降低噪声源强。</w:t>
            </w:r>
          </w:p>
          <w:p w14:paraId="238C86B7">
            <w:pPr>
              <w:adjustRightInd w:val="0"/>
              <w:snapToGrid w:val="0"/>
              <w:spacing w:line="360" w:lineRule="auto"/>
              <w:ind w:firstLine="480" w:firstLineChars="200"/>
              <w:rPr>
                <w:rFonts w:ascii="Times New Roman" w:hAnsi="Times New Roman"/>
                <w:color w:val="auto"/>
              </w:rPr>
            </w:pPr>
            <w:r>
              <w:rPr>
                <w:rFonts w:hint="eastAsia" w:ascii="宋体" w:hAnsi="宋体" w:cs="宋体"/>
                <w:color w:val="auto"/>
              </w:rPr>
              <w:t>②</w:t>
            </w:r>
            <w:r>
              <w:rPr>
                <w:rFonts w:ascii="Times New Roman" w:hAnsi="Times New Roman"/>
                <w:color w:val="auto"/>
              </w:rPr>
              <w:t>合理布置厂房内各高噪声机械设备，尽可能布置于厂区中部。</w:t>
            </w:r>
          </w:p>
          <w:p w14:paraId="05A18B3B">
            <w:pPr>
              <w:adjustRightInd w:val="0"/>
              <w:snapToGrid w:val="0"/>
              <w:spacing w:line="360" w:lineRule="auto"/>
              <w:ind w:firstLine="480" w:firstLineChars="200"/>
              <w:rPr>
                <w:rFonts w:ascii="Times New Roman" w:hAnsi="Times New Roman"/>
                <w:color w:val="auto"/>
              </w:rPr>
            </w:pPr>
            <w:r>
              <w:rPr>
                <w:rFonts w:hint="eastAsia" w:ascii="宋体" w:hAnsi="宋体" w:cs="宋体"/>
                <w:color w:val="auto"/>
              </w:rPr>
              <w:t>③</w:t>
            </w:r>
            <w:r>
              <w:rPr>
                <w:rFonts w:ascii="Times New Roman" w:hAnsi="Times New Roman"/>
                <w:color w:val="auto"/>
              </w:rPr>
              <w:t>生产设备采取减振降噪措施。水泵、风机设置于设备房内。</w:t>
            </w:r>
          </w:p>
          <w:p w14:paraId="762F944D">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经采取以上各项降噪措施后，可确保厂界噪声达标，</w:t>
            </w:r>
            <w:r>
              <w:rPr>
                <w:rFonts w:hint="eastAsia"/>
                <w:color w:val="auto"/>
                <w:lang w:val="en-US" w:eastAsia="zh-CN"/>
              </w:rPr>
              <w:t>项目夜间不生产，</w:t>
            </w:r>
            <w:r>
              <w:rPr>
                <w:rFonts w:ascii="Times New Roman" w:hAnsi="Times New Roman"/>
                <w:color w:val="auto"/>
              </w:rPr>
              <w:t>对周围环境影响小，因此，项目噪声防治措施是可行的。</w:t>
            </w:r>
          </w:p>
          <w:p w14:paraId="52A9DE5A">
            <w:pPr>
              <w:adjustRightInd w:val="0"/>
              <w:snapToGrid w:val="0"/>
              <w:spacing w:line="360" w:lineRule="auto"/>
              <w:ind w:firstLine="482" w:firstLineChars="200"/>
              <w:rPr>
                <w:rFonts w:ascii="Times New Roman" w:hAnsi="Times New Roman"/>
                <w:b/>
                <w:color w:val="auto"/>
              </w:rPr>
            </w:pPr>
            <w:r>
              <w:rPr>
                <w:rFonts w:ascii="Times New Roman" w:hAnsi="Times New Roman"/>
                <w:b/>
                <w:color w:val="auto"/>
              </w:rPr>
              <w:t>（3）车辆行驶噪声</w:t>
            </w:r>
          </w:p>
          <w:p w14:paraId="06298FC6">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项目运输车辆车噪声源强为70～80dB(A)，为流动性噪声源，为了减轻该部分噪声对外环境的影响，评价要求企业采取以下措施：</w:t>
            </w:r>
          </w:p>
          <w:p w14:paraId="57DA074A">
            <w:pPr>
              <w:adjustRightInd w:val="0"/>
              <w:snapToGrid w:val="0"/>
              <w:spacing w:line="360" w:lineRule="auto"/>
              <w:ind w:firstLine="480" w:firstLineChars="200"/>
              <w:rPr>
                <w:rFonts w:ascii="Times New Roman" w:hAnsi="Times New Roman"/>
                <w:color w:val="auto"/>
              </w:rPr>
            </w:pPr>
            <w:r>
              <w:rPr>
                <w:rFonts w:hint="eastAsia" w:ascii="宋体" w:hAnsi="宋体" w:cs="宋体"/>
                <w:color w:val="auto"/>
              </w:rPr>
              <w:t>①</w:t>
            </w:r>
            <w:r>
              <w:rPr>
                <w:rFonts w:ascii="Times New Roman" w:hAnsi="Times New Roman"/>
                <w:color w:val="auto"/>
              </w:rPr>
              <w:t>根据调查，当车辆在平滑路面行驶时其噪声值较坑洼路面行驶时的噪声值要低15dB（A），因此要求企业规划好运输路线，尽量选择大路，这样可大大减轻车辆在启动及行驶过程发动机轰鸣噪声。</w:t>
            </w:r>
          </w:p>
          <w:p w14:paraId="0BCA28DE">
            <w:pPr>
              <w:adjustRightInd w:val="0"/>
              <w:snapToGrid w:val="0"/>
              <w:spacing w:line="360" w:lineRule="auto"/>
              <w:ind w:firstLine="480" w:firstLineChars="200"/>
              <w:rPr>
                <w:rFonts w:ascii="Times New Roman" w:hAnsi="Times New Roman"/>
                <w:color w:val="auto"/>
              </w:rPr>
            </w:pPr>
            <w:r>
              <w:rPr>
                <w:rFonts w:hint="eastAsia" w:ascii="宋体" w:hAnsi="宋体" w:cs="宋体"/>
                <w:color w:val="auto"/>
              </w:rPr>
              <w:t>②</w:t>
            </w:r>
            <w:r>
              <w:rPr>
                <w:rFonts w:ascii="Times New Roman" w:hAnsi="Times New Roman"/>
                <w:color w:val="auto"/>
              </w:rPr>
              <w:t>强化行车管理制度，在运输过程中低速行驶，最大限度减少流动噪声源。</w:t>
            </w:r>
          </w:p>
          <w:p w14:paraId="6D4177F0">
            <w:pPr>
              <w:adjustRightInd w:val="0"/>
              <w:snapToGrid w:val="0"/>
              <w:spacing w:line="360" w:lineRule="auto"/>
              <w:ind w:firstLine="480" w:firstLineChars="200"/>
              <w:rPr>
                <w:rFonts w:ascii="Times New Roman" w:hAnsi="Times New Roman"/>
                <w:color w:val="auto"/>
              </w:rPr>
            </w:pPr>
            <w:r>
              <w:rPr>
                <w:rFonts w:hint="eastAsia" w:ascii="宋体" w:hAnsi="宋体" w:cs="宋体"/>
                <w:color w:val="auto"/>
              </w:rPr>
              <w:t>③</w:t>
            </w:r>
            <w:r>
              <w:rPr>
                <w:rFonts w:ascii="Times New Roman" w:hAnsi="Times New Roman"/>
                <w:color w:val="auto"/>
              </w:rPr>
              <w:t>优化运输车辆选型，对其进行定期维护，以防止车辆故障形成的非正常噪声。</w:t>
            </w:r>
          </w:p>
          <w:p w14:paraId="5BD1F57D">
            <w:pPr>
              <w:adjustRightInd w:val="0"/>
              <w:snapToGrid w:val="0"/>
              <w:spacing w:line="360" w:lineRule="auto"/>
              <w:ind w:firstLine="480" w:firstLineChars="200"/>
              <w:rPr>
                <w:rFonts w:ascii="Times New Roman" w:hAnsi="Times New Roman"/>
                <w:color w:val="auto"/>
              </w:rPr>
            </w:pPr>
            <w:r>
              <w:rPr>
                <w:rFonts w:hint="eastAsia" w:ascii="宋体" w:hAnsi="宋体" w:cs="宋体"/>
                <w:color w:val="auto"/>
              </w:rPr>
              <w:t>④</w:t>
            </w:r>
            <w:r>
              <w:rPr>
                <w:rFonts w:ascii="Times New Roman" w:hAnsi="Times New Roman"/>
                <w:color w:val="auto"/>
              </w:rPr>
              <w:t>厂区内设置减速慢行，禁止鸣笛等标识。</w:t>
            </w:r>
          </w:p>
          <w:p w14:paraId="51E321E7">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通过采取以上措施，车辆运输噪声可削减15～20dB(A)，同时企业应合理安排成品运输路线和时间。</w:t>
            </w:r>
          </w:p>
          <w:p w14:paraId="10115663">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综上所述，项目交通运输噪声对外环境影响不大。</w:t>
            </w:r>
          </w:p>
          <w:p w14:paraId="469BFCFB">
            <w:pPr>
              <w:adjustRightInd w:val="0"/>
              <w:snapToGrid w:val="0"/>
              <w:spacing w:line="360" w:lineRule="auto"/>
              <w:ind w:firstLine="482" w:firstLineChars="200"/>
              <w:rPr>
                <w:rFonts w:ascii="Times New Roman" w:hAnsi="Times New Roman"/>
                <w:b/>
                <w:bCs/>
                <w:color w:val="auto"/>
              </w:rPr>
            </w:pPr>
            <w:r>
              <w:rPr>
                <w:rFonts w:ascii="Times New Roman" w:hAnsi="Times New Roman"/>
                <w:b/>
                <w:bCs/>
                <w:color w:val="auto"/>
              </w:rPr>
              <w:t>（4）监测计划</w:t>
            </w:r>
          </w:p>
          <w:p w14:paraId="6714045B">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项目运营期噪声监测计划见表4-</w:t>
            </w:r>
            <w:r>
              <w:rPr>
                <w:rFonts w:hint="eastAsia"/>
                <w:color w:val="auto"/>
                <w:lang w:val="en-US" w:eastAsia="zh-CN"/>
              </w:rPr>
              <w:t>6</w:t>
            </w:r>
            <w:r>
              <w:rPr>
                <w:rFonts w:ascii="Times New Roman" w:hAnsi="Times New Roman"/>
                <w:color w:val="auto"/>
              </w:rPr>
              <w:t>。</w:t>
            </w:r>
          </w:p>
          <w:p w14:paraId="6C3E4BB4">
            <w:pPr>
              <w:pStyle w:val="7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项目运营期</w:t>
            </w:r>
            <w:r>
              <w:rPr>
                <w:rFonts w:hint="eastAsia" w:ascii="Times New Roman" w:hAnsi="Times New Roman" w:cs="Times New Roman"/>
                <w:b/>
                <w:color w:val="auto"/>
                <w:sz w:val="21"/>
                <w:szCs w:val="21"/>
                <w:lang w:val="en-US" w:eastAsia="zh-CN"/>
              </w:rPr>
              <w:t>的</w:t>
            </w:r>
            <w:r>
              <w:rPr>
                <w:rFonts w:hint="default" w:ascii="Times New Roman" w:hAnsi="Times New Roman" w:eastAsia="宋体" w:cs="Times New Roman"/>
                <w:b/>
                <w:color w:val="auto"/>
                <w:sz w:val="21"/>
                <w:szCs w:val="21"/>
              </w:rPr>
              <w:t>噪声监测计划一览表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085"/>
              <w:gridCol w:w="1043"/>
              <w:gridCol w:w="840"/>
              <w:gridCol w:w="1877"/>
              <w:gridCol w:w="2042"/>
            </w:tblGrid>
            <w:tr w14:paraId="6B50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noWrap w:val="0"/>
                  <w:vAlign w:val="center"/>
                </w:tcPr>
                <w:p w14:paraId="0488D1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环境要素</w:t>
                  </w:r>
                </w:p>
              </w:tc>
              <w:tc>
                <w:tcPr>
                  <w:tcW w:w="713" w:type="pct"/>
                  <w:noWrap w:val="0"/>
                  <w:vAlign w:val="center"/>
                </w:tcPr>
                <w:p w14:paraId="6CA02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监测点位</w:t>
                  </w:r>
                </w:p>
              </w:tc>
              <w:tc>
                <w:tcPr>
                  <w:tcW w:w="685" w:type="pct"/>
                  <w:noWrap w:val="0"/>
                  <w:vAlign w:val="center"/>
                </w:tcPr>
                <w:p w14:paraId="29DC62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监测指标</w:t>
                  </w:r>
                </w:p>
              </w:tc>
              <w:tc>
                <w:tcPr>
                  <w:tcW w:w="552" w:type="pct"/>
                  <w:noWrap w:val="0"/>
                  <w:vAlign w:val="center"/>
                </w:tcPr>
                <w:p w14:paraId="444CB0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监测频次</w:t>
                  </w:r>
                </w:p>
              </w:tc>
              <w:tc>
                <w:tcPr>
                  <w:tcW w:w="1233" w:type="pct"/>
                  <w:noWrap w:val="0"/>
                  <w:vAlign w:val="center"/>
                </w:tcPr>
                <w:p w14:paraId="279D22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监测频次要求来源</w:t>
                  </w:r>
                </w:p>
              </w:tc>
              <w:tc>
                <w:tcPr>
                  <w:tcW w:w="1342" w:type="pct"/>
                  <w:noWrap w:val="0"/>
                  <w:vAlign w:val="center"/>
                </w:tcPr>
                <w:p w14:paraId="184F33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rPr>
                    <w:t>执行排放标准</w:t>
                  </w:r>
                </w:p>
              </w:tc>
            </w:tr>
            <w:tr w14:paraId="3A46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472" w:type="pct"/>
                  <w:noWrap w:val="0"/>
                  <w:vAlign w:val="center"/>
                </w:tcPr>
                <w:p w14:paraId="54D3C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噪声</w:t>
                  </w:r>
                </w:p>
              </w:tc>
              <w:tc>
                <w:tcPr>
                  <w:tcW w:w="713" w:type="pct"/>
                  <w:noWrap w:val="0"/>
                  <w:vAlign w:val="center"/>
                </w:tcPr>
                <w:p w14:paraId="7BDE0C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项目东、南、西、北厂界外1m</w:t>
                  </w:r>
                </w:p>
              </w:tc>
              <w:tc>
                <w:tcPr>
                  <w:tcW w:w="685" w:type="pct"/>
                  <w:noWrap w:val="0"/>
                  <w:vAlign w:val="center"/>
                </w:tcPr>
                <w:p w14:paraId="2259C9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等效连续A声级Leq(A)</w:t>
                  </w:r>
                </w:p>
              </w:tc>
              <w:tc>
                <w:tcPr>
                  <w:tcW w:w="552" w:type="pct"/>
                  <w:noWrap w:val="0"/>
                  <w:vAlign w:val="center"/>
                </w:tcPr>
                <w:p w14:paraId="7FEF7E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1次/季度</w:t>
                  </w:r>
                </w:p>
              </w:tc>
              <w:tc>
                <w:tcPr>
                  <w:tcW w:w="1233" w:type="pct"/>
                  <w:noWrap w:val="0"/>
                  <w:vAlign w:val="center"/>
                </w:tcPr>
                <w:p w14:paraId="6ED84D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《排污单位自行监测技术指南 总则》（HJ819-2017）</w:t>
                  </w:r>
                </w:p>
              </w:tc>
              <w:tc>
                <w:tcPr>
                  <w:tcW w:w="1342" w:type="pct"/>
                  <w:noWrap w:val="0"/>
                  <w:vAlign w:val="center"/>
                </w:tcPr>
                <w:p w14:paraId="22A31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达《工业企业厂界环境噪声排放标准》（GB12348-2008）</w:t>
                  </w:r>
                  <w:r>
                    <w:rPr>
                      <w:rFonts w:hint="eastAsia"/>
                      <w:color w:val="auto"/>
                      <w:sz w:val="21"/>
                      <w:szCs w:val="21"/>
                      <w:lang w:val="en-US" w:eastAsia="zh-CN"/>
                    </w:rPr>
                    <w:t>3</w:t>
                  </w:r>
                  <w:r>
                    <w:rPr>
                      <w:rFonts w:ascii="Times New Roman" w:hAnsi="Times New Roman"/>
                      <w:color w:val="auto"/>
                      <w:sz w:val="21"/>
                      <w:szCs w:val="21"/>
                    </w:rPr>
                    <w:t>类标准</w:t>
                  </w:r>
                </w:p>
              </w:tc>
            </w:tr>
          </w:tbl>
          <w:p w14:paraId="236F2626">
            <w:pPr>
              <w:adjustRightInd w:val="0"/>
              <w:snapToGrid w:val="0"/>
              <w:spacing w:before="240" w:beforeLines="100" w:line="360" w:lineRule="auto"/>
              <w:ind w:firstLine="482" w:firstLineChars="200"/>
              <w:rPr>
                <w:rFonts w:ascii="Times New Roman" w:hAnsi="Times New Roman"/>
                <w:color w:val="auto"/>
              </w:rPr>
            </w:pPr>
            <w:r>
              <w:rPr>
                <w:rFonts w:ascii="Times New Roman" w:hAnsi="Times New Roman"/>
                <w:b/>
                <w:bCs/>
                <w:color w:val="auto"/>
              </w:rPr>
              <w:t>4、固体废物</w:t>
            </w:r>
          </w:p>
          <w:p w14:paraId="0EDE1A2C">
            <w:pPr>
              <w:adjustRightInd w:val="0"/>
              <w:snapToGrid w:val="0"/>
              <w:spacing w:line="360" w:lineRule="auto"/>
              <w:ind w:firstLine="480" w:firstLineChars="200"/>
              <w:rPr>
                <w:rFonts w:ascii="Times New Roman" w:hAnsi="Times New Roman"/>
                <w:color w:val="auto"/>
                <w:szCs w:val="21"/>
              </w:rPr>
            </w:pPr>
            <w:r>
              <w:rPr>
                <w:rFonts w:hint="default" w:ascii="Times New Roman" w:hAnsi="Times New Roman" w:cs="Times New Roman"/>
                <w:color w:val="auto"/>
                <w:sz w:val="24"/>
              </w:rPr>
              <w:t>项目运营期固体废物主要有布袋除尘器的收尘灰和生产废料、</w:t>
            </w:r>
            <w:r>
              <w:rPr>
                <w:rFonts w:hint="eastAsia" w:ascii="Times New Roman" w:hAnsi="Times New Roman" w:cs="Times New Roman"/>
                <w:color w:val="auto"/>
                <w:sz w:val="24"/>
                <w:lang w:val="en-US" w:eastAsia="zh-CN" w:bidi="ar"/>
              </w:rPr>
              <w:t>隔油池</w:t>
            </w:r>
            <w:r>
              <w:rPr>
                <w:rFonts w:hint="default" w:ascii="Times New Roman" w:hAnsi="Times New Roman" w:cs="Times New Roman"/>
                <w:color w:val="auto"/>
                <w:sz w:val="24"/>
                <w:lang w:bidi="ar"/>
              </w:rPr>
              <w:t>废油、</w:t>
            </w:r>
            <w:r>
              <w:rPr>
                <w:rFonts w:hint="eastAsia" w:cs="Times New Roman"/>
                <w:color w:val="auto"/>
                <w:sz w:val="24"/>
                <w:lang w:eastAsia="zh-CN" w:bidi="ar"/>
              </w:rPr>
              <w:t>化粪池及污水站污泥、</w:t>
            </w:r>
            <w:r>
              <w:rPr>
                <w:rFonts w:hint="default" w:ascii="Times New Roman" w:hAnsi="Times New Roman" w:cs="Times New Roman"/>
                <w:color w:val="auto"/>
                <w:sz w:val="24"/>
                <w:lang w:bidi="ar"/>
              </w:rPr>
              <w:t>生活垃圾、厨余垃圾</w:t>
            </w:r>
            <w:r>
              <w:rPr>
                <w:rFonts w:hint="eastAsia" w:cs="Times New Roman"/>
                <w:color w:val="auto"/>
                <w:sz w:val="24"/>
                <w:lang w:eastAsia="zh-CN" w:bidi="ar"/>
              </w:rPr>
              <w:t>、</w:t>
            </w:r>
            <w:r>
              <w:rPr>
                <w:rFonts w:hint="eastAsia" w:cs="Times New Roman"/>
                <w:color w:val="auto"/>
                <w:sz w:val="24"/>
                <w:lang w:val="en-US" w:eastAsia="zh-CN" w:bidi="ar"/>
              </w:rPr>
              <w:t>含油抹布</w:t>
            </w:r>
            <w:r>
              <w:rPr>
                <w:rFonts w:hint="default" w:ascii="Times New Roman" w:hAnsi="Times New Roman" w:cs="Times New Roman"/>
                <w:color w:val="auto"/>
                <w:sz w:val="24"/>
                <w:lang w:bidi="ar"/>
              </w:rPr>
              <w:t>等</w:t>
            </w:r>
            <w:r>
              <w:rPr>
                <w:rFonts w:hint="default" w:ascii="Times New Roman" w:hAnsi="Times New Roman" w:cs="Times New Roman"/>
                <w:color w:val="auto"/>
                <w:sz w:val="24"/>
              </w:rPr>
              <w:t>。</w:t>
            </w:r>
            <w:r>
              <w:rPr>
                <w:rFonts w:ascii="Times New Roman" w:hAnsi="Times New Roman"/>
                <w:color w:val="auto"/>
                <w:sz w:val="24"/>
                <w:szCs w:val="24"/>
              </w:rPr>
              <w:t>危险废物有</w:t>
            </w:r>
            <w:r>
              <w:rPr>
                <w:rFonts w:hint="eastAsia"/>
                <w:color w:val="auto"/>
                <w:sz w:val="24"/>
                <w:szCs w:val="24"/>
                <w:lang w:val="en-US" w:eastAsia="zh-CN"/>
              </w:rPr>
              <w:t>三级隔油</w:t>
            </w:r>
            <w:r>
              <w:rPr>
                <w:rFonts w:hint="default" w:ascii="Times New Roman" w:hAnsi="Times New Roman" w:cs="Times New Roman"/>
                <w:color w:val="auto"/>
                <w:sz w:val="24"/>
              </w:rPr>
              <w:t>沉淀池</w:t>
            </w:r>
            <w:r>
              <w:rPr>
                <w:rFonts w:hint="default" w:ascii="Times New Roman" w:hAnsi="Times New Roman" w:cs="Times New Roman"/>
                <w:color w:val="auto"/>
                <w:sz w:val="24"/>
                <w:lang w:bidi="ar"/>
              </w:rPr>
              <w:t>污泥、</w:t>
            </w:r>
            <w:r>
              <w:rPr>
                <w:rFonts w:ascii="Times New Roman" w:hAnsi="Times New Roman"/>
                <w:color w:val="auto"/>
                <w:szCs w:val="21"/>
              </w:rPr>
              <w:t>废活性炭、</w:t>
            </w:r>
            <w:r>
              <w:rPr>
                <w:rFonts w:hint="eastAsia"/>
                <w:color w:val="auto"/>
                <w:szCs w:val="21"/>
                <w:lang w:val="en-US" w:eastAsia="zh-CN"/>
              </w:rPr>
              <w:t>含油抹布、</w:t>
            </w:r>
            <w:r>
              <w:rPr>
                <w:rFonts w:ascii="Times New Roman" w:hAnsi="Times New Roman"/>
                <w:color w:val="auto"/>
                <w:szCs w:val="21"/>
              </w:rPr>
              <w:t>废机油</w:t>
            </w:r>
            <w:r>
              <w:rPr>
                <w:rFonts w:hint="eastAsia"/>
                <w:color w:val="auto"/>
                <w:szCs w:val="21"/>
                <w:lang w:val="en-US" w:eastAsia="zh-CN"/>
              </w:rPr>
              <w:t>及</w:t>
            </w:r>
            <w:r>
              <w:rPr>
                <w:rFonts w:ascii="Times New Roman" w:hAnsi="Times New Roman"/>
                <w:color w:val="auto"/>
                <w:szCs w:val="21"/>
              </w:rPr>
              <w:t>废润滑油。</w:t>
            </w:r>
          </w:p>
          <w:p w14:paraId="3C4BABBD">
            <w:pPr>
              <w:adjustRightInd w:val="0"/>
              <w:snapToGrid w:val="0"/>
              <w:spacing w:line="360" w:lineRule="auto"/>
              <w:ind w:firstLine="482" w:firstLineChars="200"/>
              <w:rPr>
                <w:rFonts w:ascii="Times New Roman" w:hAnsi="Times New Roman"/>
                <w:b/>
                <w:bCs/>
                <w:color w:val="auto"/>
                <w:szCs w:val="21"/>
              </w:rPr>
            </w:pPr>
            <w:r>
              <w:rPr>
                <w:rFonts w:ascii="Times New Roman" w:hAnsi="Times New Roman"/>
                <w:b/>
                <w:bCs/>
                <w:color w:val="auto"/>
                <w:szCs w:val="21"/>
              </w:rPr>
              <w:t>（一）一般固废</w:t>
            </w:r>
          </w:p>
          <w:p w14:paraId="29085243">
            <w:pPr>
              <w:numPr>
                <w:ilvl w:val="0"/>
                <w:numId w:val="6"/>
              </w:numPr>
              <w:tabs>
                <w:tab w:val="left" w:pos="2160"/>
              </w:tabs>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收尘灰</w:t>
            </w:r>
          </w:p>
          <w:p w14:paraId="6F781EE4">
            <w:pPr>
              <w:pStyle w:val="60"/>
              <w:spacing w:before="0" w:beforeLines="0" w:after="0" w:afterLines="0" w:line="360" w:lineRule="auto"/>
              <w:ind w:firstLine="480" w:firstLineChars="200"/>
              <w:rPr>
                <w:rFonts w:hint="default" w:ascii="Times New Roman" w:hAnsi="Times New Roman" w:eastAsia="宋体" w:cs="Times New Roman"/>
                <w:color w:val="auto"/>
                <w:spacing w:val="0"/>
                <w:kern w:val="2"/>
                <w:sz w:val="24"/>
                <w:szCs w:val="22"/>
                <w:lang w:val="en-US" w:eastAsia="zh-CN" w:bidi="ar-SA"/>
              </w:rPr>
            </w:pPr>
            <w:r>
              <w:rPr>
                <w:rFonts w:hint="default" w:ascii="Times New Roman" w:hAnsi="Times New Roman" w:eastAsia="宋体" w:cs="Times New Roman"/>
                <w:color w:val="auto"/>
                <w:spacing w:val="0"/>
                <w:kern w:val="2"/>
                <w:sz w:val="24"/>
                <w:szCs w:val="22"/>
                <w:lang w:val="en-US" w:eastAsia="zh-CN" w:bidi="ar-SA"/>
              </w:rPr>
              <w:t>根据上文计算，沥青混凝土生产线废气进入布袋除尘器进行处理，产生收尘灰</w:t>
            </w:r>
            <w:r>
              <w:rPr>
                <w:rFonts w:hint="eastAsia" w:ascii="Times New Roman" w:hAnsi="Times New Roman" w:eastAsia="宋体" w:cs="Times New Roman"/>
                <w:color w:val="auto"/>
                <w:spacing w:val="0"/>
                <w:kern w:val="2"/>
                <w:sz w:val="24"/>
                <w:szCs w:val="22"/>
                <w:lang w:val="en-US" w:eastAsia="zh-CN" w:bidi="ar-SA"/>
              </w:rPr>
              <w:t>323.742</w:t>
            </w:r>
            <w:r>
              <w:rPr>
                <w:rFonts w:hint="default" w:ascii="Times New Roman" w:hAnsi="Times New Roman" w:eastAsia="宋体" w:cs="Times New Roman"/>
                <w:color w:val="auto"/>
                <w:spacing w:val="0"/>
                <w:kern w:val="2"/>
                <w:sz w:val="24"/>
                <w:szCs w:val="22"/>
                <w:lang w:val="en-US" w:eastAsia="zh-CN" w:bidi="ar-SA"/>
              </w:rPr>
              <w:t>t/a，主要成分为砂石粉尘，回用于搅拌生产线作为原料，综合利用。</w:t>
            </w:r>
          </w:p>
          <w:p w14:paraId="6098B209">
            <w:pPr>
              <w:pStyle w:val="60"/>
              <w:spacing w:before="0" w:beforeLines="0" w:after="0" w:afterLines="0" w:line="360" w:lineRule="auto"/>
              <w:ind w:firstLine="496" w:firstLineChars="200"/>
              <w:rPr>
                <w:rFonts w:hint="default" w:ascii="Times New Roman" w:hAnsi="Times New Roman" w:cs="Times New Roman"/>
                <w:color w:val="auto"/>
                <w:lang w:val="en-US" w:eastAsia="zh-CN" w:bidi="ar"/>
              </w:rPr>
            </w:pPr>
            <w:r>
              <w:rPr>
                <w:rFonts w:hint="eastAsia" w:ascii="Times New Roman" w:hAnsi="Times New Roman" w:cs="Times New Roman"/>
                <w:color w:val="auto"/>
                <w:lang w:eastAsia="zh-CN" w:bidi="ar"/>
              </w:rPr>
              <w:t>（</w:t>
            </w:r>
            <w:r>
              <w:rPr>
                <w:rFonts w:hint="eastAsia" w:ascii="Times New Roman" w:hAnsi="Times New Roman" w:cs="Times New Roman"/>
                <w:color w:val="auto"/>
                <w:lang w:val="en-US" w:eastAsia="zh-CN" w:bidi="ar"/>
              </w:rPr>
              <w:t>2</w:t>
            </w:r>
            <w:r>
              <w:rPr>
                <w:rFonts w:hint="eastAsia" w:ascii="Times New Roman" w:hAnsi="Times New Roman" w:cs="Times New Roman"/>
                <w:color w:val="auto"/>
                <w:lang w:eastAsia="zh-CN" w:bidi="ar"/>
              </w:rPr>
              <w:t>）</w:t>
            </w:r>
            <w:r>
              <w:rPr>
                <w:rFonts w:hint="eastAsia" w:ascii="Times New Roman" w:hAnsi="Times New Roman" w:cs="Times New Roman"/>
                <w:color w:val="auto"/>
                <w:lang w:val="en-US" w:eastAsia="zh-CN" w:bidi="ar"/>
              </w:rPr>
              <w:t>生产废料</w:t>
            </w:r>
          </w:p>
          <w:p w14:paraId="797F465C">
            <w:pPr>
              <w:pStyle w:val="60"/>
              <w:spacing w:before="0" w:beforeLines="0" w:after="0" w:afterLines="0" w:line="360" w:lineRule="auto"/>
              <w:ind w:firstLine="496" w:firstLineChars="200"/>
              <w:rPr>
                <w:rFonts w:hint="default" w:ascii="Times New Roman" w:hAnsi="Times New Roman" w:cs="Times New Roman"/>
                <w:color w:val="auto"/>
              </w:rPr>
            </w:pPr>
            <w:r>
              <w:rPr>
                <w:rFonts w:hint="default" w:ascii="Times New Roman" w:hAnsi="Times New Roman" w:cs="Times New Roman"/>
                <w:color w:val="auto"/>
                <w:lang w:bidi="ar"/>
              </w:rPr>
              <w:t>生产废料产生量占沥青</w:t>
            </w:r>
            <w:r>
              <w:rPr>
                <w:rFonts w:hint="eastAsia" w:cs="Times New Roman"/>
                <w:color w:val="auto"/>
                <w:lang w:eastAsia="zh-CN" w:bidi="ar"/>
              </w:rPr>
              <w:t>混凝土</w:t>
            </w:r>
            <w:r>
              <w:rPr>
                <w:rFonts w:hint="default" w:ascii="Times New Roman" w:hAnsi="Times New Roman" w:cs="Times New Roman"/>
                <w:color w:val="auto"/>
                <w:lang w:bidi="ar"/>
              </w:rPr>
              <w:t>产量的0.1%，约</w:t>
            </w:r>
            <w:r>
              <w:rPr>
                <w:rFonts w:hint="eastAsia" w:cs="Times New Roman"/>
                <w:color w:val="auto"/>
                <w:lang w:val="en-US" w:eastAsia="zh-CN" w:bidi="ar"/>
              </w:rPr>
              <w:t>480</w:t>
            </w:r>
            <w:r>
              <w:rPr>
                <w:rFonts w:hint="default" w:ascii="Times New Roman" w:hAnsi="Times New Roman" w:cs="Times New Roman"/>
                <w:color w:val="auto"/>
                <w:lang w:bidi="ar"/>
              </w:rPr>
              <w:t>t/a，返回生产线作为原料综合利用。</w:t>
            </w:r>
          </w:p>
          <w:p w14:paraId="322D72E4">
            <w:pPr>
              <w:tabs>
                <w:tab w:val="left" w:pos="21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）生活垃圾、厨余垃圾</w:t>
            </w:r>
          </w:p>
          <w:p w14:paraId="5F2D5996">
            <w:pPr>
              <w:tabs>
                <w:tab w:val="left" w:pos="21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项目劳动定员</w:t>
            </w:r>
            <w:r>
              <w:rPr>
                <w:rFonts w:hint="eastAsia" w:cs="Times New Roman"/>
                <w:color w:val="auto"/>
                <w:sz w:val="24"/>
                <w:lang w:val="en-US" w:eastAsia="zh-CN"/>
              </w:rPr>
              <w:t>3</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rPr>
              <w:t>人，按每人每天产生垃圾0.5kg计，则生活垃圾产生量均为</w:t>
            </w:r>
            <w:r>
              <w:rPr>
                <w:rFonts w:hint="eastAsia" w:cs="Times New Roman"/>
                <w:color w:val="auto"/>
                <w:sz w:val="24"/>
                <w:lang w:val="en-US" w:eastAsia="zh-CN"/>
              </w:rPr>
              <w:t>1</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kg/d，</w:t>
            </w:r>
            <w:r>
              <w:rPr>
                <w:rFonts w:hint="eastAsia" w:cs="Times New Roman"/>
                <w:color w:val="auto"/>
                <w:sz w:val="24"/>
                <w:lang w:val="en-US" w:eastAsia="zh-CN"/>
              </w:rPr>
              <w:t>3</w:t>
            </w:r>
            <w:r>
              <w:rPr>
                <w:rFonts w:hint="default" w:ascii="Times New Roman" w:hAnsi="Times New Roman" w:cs="Times New Roman"/>
                <w:color w:val="auto"/>
                <w:sz w:val="24"/>
              </w:rPr>
              <w:t>t/a。生活垃圾统一收集于垃圾桶，定期运至垃圾集中收集点处置。</w:t>
            </w:r>
          </w:p>
          <w:p w14:paraId="095F6A12">
            <w:pPr>
              <w:tabs>
                <w:tab w:val="left" w:pos="21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w:t>
            </w:r>
            <w:r>
              <w:rPr>
                <w:rFonts w:hint="eastAsia" w:cs="Times New Roman"/>
                <w:color w:val="auto"/>
                <w:sz w:val="24"/>
                <w:lang w:val="en-US" w:eastAsia="zh-CN"/>
              </w:rPr>
              <w:t>30</w:t>
            </w:r>
            <w:r>
              <w:rPr>
                <w:rFonts w:hint="default" w:ascii="Times New Roman" w:hAnsi="Times New Roman" w:cs="Times New Roman"/>
                <w:color w:val="auto"/>
                <w:sz w:val="24"/>
              </w:rPr>
              <w:t>人在项目区食宿，食堂厨余垃圾产生量按0.2kg/（人•d）计，则厨余垃圾产生量为</w:t>
            </w:r>
            <w:r>
              <w:rPr>
                <w:rFonts w:hint="eastAsia" w:cs="Times New Roman"/>
                <w:color w:val="auto"/>
                <w:sz w:val="24"/>
                <w:lang w:val="en-US" w:eastAsia="zh-CN"/>
              </w:rPr>
              <w:t>6</w:t>
            </w:r>
            <w:r>
              <w:rPr>
                <w:rFonts w:hint="default" w:ascii="Times New Roman" w:hAnsi="Times New Roman" w:cs="Times New Roman"/>
                <w:color w:val="auto"/>
                <w:sz w:val="24"/>
              </w:rPr>
              <w:t>kg/d，即</w:t>
            </w:r>
            <w:r>
              <w:rPr>
                <w:rFonts w:hint="eastAsia" w:cs="Times New Roman"/>
                <w:color w:val="auto"/>
                <w:sz w:val="24"/>
                <w:lang w:val="en-US" w:eastAsia="zh-CN"/>
              </w:rPr>
              <w:t>1.2</w:t>
            </w:r>
            <w:r>
              <w:rPr>
                <w:rFonts w:hint="default" w:ascii="Times New Roman" w:hAnsi="Times New Roman" w:cs="Times New Roman"/>
                <w:color w:val="auto"/>
                <w:sz w:val="24"/>
              </w:rPr>
              <w:t>t/a。厨余垃圾</w:t>
            </w:r>
            <w:r>
              <w:rPr>
                <w:rFonts w:hint="eastAsia" w:cs="Times New Roman"/>
                <w:color w:val="auto"/>
                <w:sz w:val="24"/>
                <w:lang w:val="en-US" w:eastAsia="zh-CN"/>
              </w:rPr>
              <w:t>同</w:t>
            </w:r>
            <w:r>
              <w:rPr>
                <w:rFonts w:hint="default" w:ascii="Times New Roman" w:hAnsi="Times New Roman" w:cs="Times New Roman"/>
                <w:color w:val="auto"/>
                <w:sz w:val="24"/>
              </w:rPr>
              <w:t>生活垃圾</w:t>
            </w:r>
            <w:r>
              <w:rPr>
                <w:rFonts w:hint="eastAsia" w:ascii="Times New Roman" w:hAnsi="Times New Roman" w:cs="Times New Roman"/>
                <w:color w:val="auto"/>
                <w:sz w:val="24"/>
                <w:lang w:val="en-US" w:eastAsia="zh-CN"/>
              </w:rPr>
              <w:t>一同处置</w:t>
            </w:r>
            <w:r>
              <w:rPr>
                <w:rFonts w:hint="default" w:ascii="Times New Roman" w:hAnsi="Times New Roman" w:cs="Times New Roman"/>
                <w:color w:val="auto"/>
                <w:sz w:val="24"/>
              </w:rPr>
              <w:t>，定期运至垃圾集中收集点处置。</w:t>
            </w:r>
          </w:p>
          <w:p w14:paraId="5849BCF1">
            <w:pPr>
              <w:tabs>
                <w:tab w:val="left" w:pos="21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隔油池</w:t>
            </w:r>
            <w:r>
              <w:rPr>
                <w:rFonts w:hint="default" w:ascii="Times New Roman" w:hAnsi="Times New Roman" w:cs="Times New Roman"/>
                <w:color w:val="auto"/>
                <w:sz w:val="24"/>
              </w:rPr>
              <w:t>废油</w:t>
            </w:r>
          </w:p>
          <w:p w14:paraId="36A5DCA8">
            <w:pPr>
              <w:tabs>
                <w:tab w:val="left" w:pos="2160"/>
              </w:tabs>
              <w:spacing w:line="360" w:lineRule="auto"/>
              <w:ind w:firstLine="480" w:firstLineChars="200"/>
              <w:rPr>
                <w:rFonts w:hint="default" w:ascii="Times New Roman" w:hAnsi="Times New Roman" w:cs="Times New Roman"/>
                <w:color w:val="auto"/>
                <w:sz w:val="24"/>
              </w:rPr>
            </w:pPr>
            <w:r>
              <w:rPr>
                <w:rFonts w:hint="eastAsia" w:cs="Times New Roman"/>
                <w:bCs/>
                <w:color w:val="auto"/>
                <w:szCs w:val="28"/>
                <w:lang w:eastAsia="zh-CN" w:bidi="ar"/>
              </w:rPr>
              <w:t>根据上文计算，隔油池</w:t>
            </w:r>
            <w:r>
              <w:rPr>
                <w:rFonts w:hint="default" w:ascii="Times New Roman" w:hAnsi="Times New Roman" w:cs="Times New Roman"/>
                <w:color w:val="auto"/>
                <w:kern w:val="0"/>
                <w:sz w:val="24"/>
              </w:rPr>
              <w:t>对动植物油的去除效率为50%</w:t>
            </w:r>
            <w:r>
              <w:rPr>
                <w:rFonts w:hint="eastAsia" w:ascii="Times New Roman" w:hAnsi="Times New Roman" w:cs="Times New Roman"/>
                <w:color w:val="auto"/>
                <w:kern w:val="0"/>
                <w:sz w:val="24"/>
                <w:lang w:eastAsia="zh-CN"/>
              </w:rPr>
              <w:t>，则</w:t>
            </w:r>
            <w:r>
              <w:rPr>
                <w:rFonts w:hint="default" w:ascii="Times New Roman" w:hAnsi="Times New Roman" w:cs="Times New Roman"/>
                <w:bCs/>
                <w:color w:val="auto"/>
                <w:szCs w:val="28"/>
                <w:lang w:bidi="ar"/>
              </w:rPr>
              <w:t>食堂</w:t>
            </w:r>
            <w:r>
              <w:rPr>
                <w:rFonts w:hint="eastAsia" w:ascii="Times New Roman" w:hAnsi="Times New Roman" w:cs="Times New Roman"/>
                <w:color w:val="auto"/>
                <w:lang w:val="en-US" w:eastAsia="zh-CN"/>
              </w:rPr>
              <w:t>隔油池废油</w:t>
            </w:r>
            <w:r>
              <w:rPr>
                <w:rFonts w:hint="default" w:ascii="Times New Roman" w:hAnsi="Times New Roman" w:cs="Times New Roman"/>
                <w:bCs/>
                <w:color w:val="auto"/>
                <w:szCs w:val="28"/>
                <w:lang w:bidi="ar"/>
              </w:rPr>
              <w:t>产生量为</w:t>
            </w:r>
            <w:r>
              <w:rPr>
                <w:rFonts w:ascii="Times New Roman" w:hAnsi="Times New Roman"/>
                <w:bCs/>
                <w:color w:val="auto"/>
              </w:rPr>
              <w:t>0.0</w:t>
            </w:r>
            <w:r>
              <w:rPr>
                <w:rFonts w:hint="eastAsia"/>
                <w:bCs/>
                <w:color w:val="auto"/>
                <w:lang w:val="en-US" w:eastAsia="zh-CN"/>
              </w:rPr>
              <w:t>01</w:t>
            </w:r>
            <w:r>
              <w:rPr>
                <w:rFonts w:ascii="Times New Roman" w:hAnsi="Times New Roman"/>
                <w:bCs/>
                <w:color w:val="auto"/>
              </w:rPr>
              <w:t>kg/d，0.0</w:t>
            </w:r>
            <w:r>
              <w:rPr>
                <w:rFonts w:hint="eastAsia"/>
                <w:bCs/>
                <w:color w:val="auto"/>
                <w:lang w:val="en-US" w:eastAsia="zh-CN"/>
              </w:rPr>
              <w:t>019</w:t>
            </w:r>
            <w:r>
              <w:rPr>
                <w:rFonts w:ascii="Times New Roman" w:hAnsi="Times New Roman"/>
                <w:bCs/>
                <w:color w:val="auto"/>
              </w:rPr>
              <w:t>t/a</w:t>
            </w:r>
            <w:r>
              <w:rPr>
                <w:rFonts w:hint="default" w:ascii="Times New Roman" w:hAnsi="Times New Roman" w:cs="Times New Roman"/>
                <w:bCs/>
                <w:color w:val="auto"/>
                <w:szCs w:val="28"/>
                <w:lang w:bidi="ar"/>
              </w:rPr>
              <w:t>，</w:t>
            </w:r>
            <w:r>
              <w:rPr>
                <w:rFonts w:ascii="Times New Roman" w:hAnsi="Times New Roman"/>
                <w:bCs/>
                <w:color w:val="auto"/>
              </w:rPr>
              <w:t>经密闭容器收集后，</w:t>
            </w:r>
            <w:r>
              <w:rPr>
                <w:rFonts w:hint="eastAsia" w:cs="Times New Roman"/>
                <w:color w:val="auto"/>
                <w:sz w:val="24"/>
                <w:lang w:val="en-US" w:eastAsia="zh-CN"/>
              </w:rPr>
              <w:t>同</w:t>
            </w:r>
            <w:r>
              <w:rPr>
                <w:rFonts w:hint="default" w:ascii="Times New Roman" w:hAnsi="Times New Roman" w:cs="Times New Roman"/>
                <w:color w:val="auto"/>
                <w:sz w:val="24"/>
              </w:rPr>
              <w:t>生活垃圾</w:t>
            </w:r>
            <w:r>
              <w:rPr>
                <w:rFonts w:hint="eastAsia" w:ascii="Times New Roman" w:hAnsi="Times New Roman" w:cs="Times New Roman"/>
                <w:color w:val="auto"/>
                <w:sz w:val="24"/>
                <w:lang w:val="en-US" w:eastAsia="zh-CN"/>
              </w:rPr>
              <w:t>一同处置</w:t>
            </w:r>
            <w:r>
              <w:rPr>
                <w:rFonts w:hint="default" w:ascii="Times New Roman" w:hAnsi="Times New Roman" w:cs="Times New Roman"/>
                <w:color w:val="auto"/>
                <w:sz w:val="24"/>
              </w:rPr>
              <w:t>，定期运至垃圾集中收集点处置。</w:t>
            </w:r>
          </w:p>
          <w:p w14:paraId="57FD597B">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（5）化粪池及污水站</w:t>
            </w:r>
            <w:r>
              <w:rPr>
                <w:rFonts w:hint="default" w:ascii="Times New Roman" w:hAnsi="Times New Roman" w:eastAsia="宋体" w:cs="Times New Roman"/>
                <w:color w:val="auto"/>
                <w:sz w:val="24"/>
                <w:szCs w:val="24"/>
                <w:lang w:val="en-US" w:eastAsia="zh-CN"/>
              </w:rPr>
              <w:t>污泥</w:t>
            </w:r>
          </w:p>
          <w:p w14:paraId="7BF5536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bCs/>
                <w:color w:val="auto"/>
                <w:szCs w:val="28"/>
                <w:lang w:eastAsia="zh-CN" w:bidi="ar"/>
              </w:rPr>
              <w:t>根据上文计算，</w:t>
            </w:r>
            <w:r>
              <w:rPr>
                <w:rFonts w:hint="eastAsia" w:ascii="Times New Roman" w:hAnsi="Times New Roman" w:eastAsia="宋体" w:cs="Times New Roman"/>
                <w:color w:val="auto"/>
                <w:sz w:val="24"/>
                <w:szCs w:val="24"/>
                <w:lang w:val="en-US" w:eastAsia="zh-CN"/>
              </w:rPr>
              <w:t>化粪池及污水站</w:t>
            </w:r>
            <w:r>
              <w:rPr>
                <w:rFonts w:hint="default" w:ascii="Times New Roman" w:hAnsi="Times New Roman" w:cs="Times New Roman"/>
                <w:color w:val="auto"/>
                <w:kern w:val="0"/>
                <w:sz w:val="24"/>
              </w:rPr>
              <w:t>对</w:t>
            </w:r>
            <w:r>
              <w:rPr>
                <w:rFonts w:hint="eastAsia" w:ascii="Times New Roman" w:hAnsi="Times New Roman" w:cs="Times New Roman"/>
                <w:color w:val="auto"/>
                <w:kern w:val="0"/>
                <w:sz w:val="24"/>
                <w:lang w:eastAsia="zh-CN"/>
              </w:rPr>
              <w:t>悬浮物</w:t>
            </w:r>
            <w:r>
              <w:rPr>
                <w:rFonts w:hint="default" w:ascii="Times New Roman" w:hAnsi="Times New Roman" w:cs="Times New Roman"/>
                <w:color w:val="auto"/>
                <w:kern w:val="0"/>
                <w:sz w:val="24"/>
              </w:rPr>
              <w:t>的去除效率为</w:t>
            </w:r>
            <w:r>
              <w:rPr>
                <w:rFonts w:hint="eastAsia" w:ascii="Times New Roman" w:hAnsi="Times New Roman" w:cs="Times New Roman"/>
                <w:color w:val="auto"/>
                <w:kern w:val="0"/>
                <w:sz w:val="24"/>
                <w:lang w:val="en-US" w:eastAsia="zh-CN"/>
              </w:rPr>
              <w:t>96.5</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，则</w:t>
            </w:r>
            <w:r>
              <w:rPr>
                <w:rFonts w:hint="default" w:ascii="Times New Roman" w:hAnsi="Times New Roman" w:eastAsia="宋体" w:cs="Times New Roman"/>
                <w:color w:val="auto"/>
                <w:sz w:val="24"/>
                <w:szCs w:val="24"/>
                <w:lang w:val="en-US" w:eastAsia="zh-CN"/>
              </w:rPr>
              <w:t>项目化粪池污泥产生量约为0.</w:t>
            </w:r>
            <w:r>
              <w:rPr>
                <w:rFonts w:hint="eastAsia" w:ascii="Times New Roman" w:hAnsi="Times New Roman" w:eastAsia="宋体" w:cs="Times New Roman"/>
                <w:color w:val="auto"/>
                <w:sz w:val="24"/>
                <w:szCs w:val="24"/>
                <w:lang w:val="en-US" w:eastAsia="zh-CN"/>
              </w:rPr>
              <w:t>495</w:t>
            </w:r>
            <w:r>
              <w:rPr>
                <w:rFonts w:hint="default" w:ascii="Times New Roman" w:hAnsi="Times New Roman" w:eastAsia="宋体" w:cs="Times New Roman"/>
                <w:color w:val="auto"/>
                <w:sz w:val="24"/>
                <w:szCs w:val="24"/>
                <w:lang w:val="en-US" w:eastAsia="zh-CN"/>
              </w:rPr>
              <w:t>kg/d、0.</w:t>
            </w:r>
            <w:r>
              <w:rPr>
                <w:rFonts w:hint="eastAsia" w:ascii="Times New Roman" w:hAnsi="Times New Roman" w:eastAsia="宋体" w:cs="Times New Roman"/>
                <w:color w:val="auto"/>
                <w:sz w:val="24"/>
                <w:szCs w:val="24"/>
                <w:lang w:val="en-US" w:eastAsia="zh-CN"/>
              </w:rPr>
              <w:t>099</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eastAsia="zh-CN" w:bidi="ar"/>
              </w:rPr>
              <w:t>化粪池及污水站污泥定期清掏用于周边农户农田施肥。</w:t>
            </w:r>
          </w:p>
          <w:p w14:paraId="2551F23B">
            <w:pPr>
              <w:adjustRightInd w:val="0"/>
              <w:snapToGrid w:val="0"/>
              <w:spacing w:line="360" w:lineRule="auto"/>
              <w:ind w:firstLine="482" w:firstLineChars="200"/>
              <w:rPr>
                <w:rFonts w:ascii="Times New Roman" w:hAnsi="Times New Roman"/>
                <w:b/>
                <w:color w:val="auto"/>
              </w:rPr>
            </w:pPr>
            <w:r>
              <w:rPr>
                <w:rFonts w:ascii="Times New Roman" w:hAnsi="Times New Roman"/>
                <w:b/>
                <w:color w:val="auto"/>
              </w:rPr>
              <w:t>（二）危险废物</w:t>
            </w:r>
          </w:p>
          <w:p w14:paraId="629C13A2">
            <w:pPr>
              <w:tabs>
                <w:tab w:val="left" w:pos="216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rPr>
              <w:t>（</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三级隔油</w:t>
            </w:r>
            <w:r>
              <w:rPr>
                <w:rFonts w:hint="default" w:ascii="Times New Roman" w:hAnsi="Times New Roman" w:cs="Times New Roman"/>
                <w:color w:val="auto"/>
                <w:sz w:val="24"/>
              </w:rPr>
              <w:t>沉淀池污泥</w:t>
            </w:r>
          </w:p>
          <w:p w14:paraId="278D8270">
            <w:pPr>
              <w:adjustRightInd w:val="0"/>
              <w:snapToGrid w:val="0"/>
              <w:spacing w:line="360" w:lineRule="auto"/>
              <w:ind w:firstLine="480" w:firstLineChars="200"/>
              <w:rPr>
                <w:rFonts w:ascii="Times New Roman" w:hAnsi="Times New Roman"/>
                <w:color w:val="auto"/>
                <w:szCs w:val="21"/>
                <w:lang w:bidi="ar"/>
              </w:rPr>
            </w:pPr>
            <w:r>
              <w:rPr>
                <w:rFonts w:hint="default" w:ascii="Times New Roman" w:hAnsi="Times New Roman" w:cs="Times New Roman"/>
                <w:color w:val="auto"/>
                <w:sz w:val="24"/>
              </w:rPr>
              <w:t>根据项目含砂质量及业主提供的经验值，本项目砂石含泥量约为废水量的0.</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rPr>
              <w:t>1%，进入三级隔油沉淀池污水量为</w:t>
            </w:r>
            <w:r>
              <w:rPr>
                <w:rFonts w:hint="eastAsia" w:cs="Times New Roman"/>
                <w:color w:val="auto"/>
                <w:sz w:val="24"/>
                <w:lang w:val="en-US" w:eastAsia="zh-CN"/>
              </w:rPr>
              <w:t>3733.4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，则该项目三级隔油沉淀池</w:t>
            </w:r>
            <w:r>
              <w:rPr>
                <w:rFonts w:hint="eastAsia" w:ascii="Times New Roman" w:hAnsi="Times New Roman" w:cs="Times New Roman"/>
                <w:color w:val="auto"/>
                <w:sz w:val="24"/>
                <w:lang w:val="en-US" w:eastAsia="zh-CN"/>
              </w:rPr>
              <w:t>含油</w:t>
            </w:r>
            <w:r>
              <w:rPr>
                <w:rFonts w:hint="default" w:ascii="Times New Roman" w:hAnsi="Times New Roman" w:eastAsia="宋体" w:cs="Times New Roman"/>
                <w:color w:val="auto"/>
              </w:rPr>
              <w:t>污泥产生量约为</w:t>
            </w:r>
            <w:r>
              <w:rPr>
                <w:rFonts w:hint="eastAsia" w:ascii="Times New Roman" w:hAnsi="Times New Roman" w:eastAsia="宋体" w:cs="Times New Roman"/>
                <w:color w:val="auto"/>
                <w:lang w:val="en-US" w:eastAsia="zh-CN"/>
              </w:rPr>
              <w:t>0.</w:t>
            </w:r>
            <w:r>
              <w:rPr>
                <w:rFonts w:hint="eastAsia" w:cs="Times New Roman"/>
                <w:color w:val="auto"/>
                <w:lang w:val="en-US" w:eastAsia="zh-CN"/>
              </w:rPr>
              <w:t>373</w:t>
            </w:r>
            <w:r>
              <w:rPr>
                <w:rFonts w:hint="default" w:ascii="Times New Roman" w:hAnsi="Times New Roman" w:eastAsia="宋体" w:cs="Times New Roman"/>
                <w:color w:val="auto"/>
              </w:rPr>
              <w:t>t/a。</w:t>
            </w:r>
            <w:r>
              <w:rPr>
                <w:rFonts w:hint="default" w:ascii="Times New Roman" w:hAnsi="Times New Roman" w:eastAsia="宋体" w:cs="Times New Roman"/>
                <w:color w:val="auto"/>
                <w:sz w:val="24"/>
              </w:rPr>
              <w:t>根据《国家危险废物名录》（2021年版），</w:t>
            </w:r>
            <w:r>
              <w:rPr>
                <w:rFonts w:hint="eastAsia" w:ascii="Times New Roman" w:hAnsi="Times New Roman" w:cs="Times New Roman"/>
                <w:color w:val="auto"/>
                <w:sz w:val="24"/>
                <w:lang w:val="en-US" w:eastAsia="zh-CN"/>
              </w:rPr>
              <w:t>三级隔油</w:t>
            </w:r>
            <w:r>
              <w:rPr>
                <w:rFonts w:hint="default" w:ascii="Times New Roman" w:hAnsi="Times New Roman" w:cs="Times New Roman"/>
                <w:color w:val="auto"/>
                <w:sz w:val="24"/>
              </w:rPr>
              <w:t>沉淀池污泥</w:t>
            </w:r>
            <w:r>
              <w:rPr>
                <w:rFonts w:hint="default" w:ascii="Times New Roman" w:hAnsi="Times New Roman" w:eastAsia="宋体" w:cs="Times New Roman"/>
                <w:color w:val="auto"/>
                <w:sz w:val="24"/>
              </w:rPr>
              <w:t>属于“HW08废矿物油与含矿物油废物，代码900-21</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-08，</w:t>
            </w:r>
            <w:r>
              <w:rPr>
                <w:rFonts w:hint="eastAsia" w:ascii="Times New Roman" w:hAnsi="Times New Roman" w:eastAsia="宋体" w:cs="Times New Roman"/>
                <w:color w:val="auto"/>
                <w:sz w:val="24"/>
                <w:lang w:val="en-US" w:eastAsia="zh-CN"/>
              </w:rPr>
              <w:t xml:space="preserve">含油废水处理中隔油、气浮、沉淀等处理过程中产生的浮油、浮渣和污泥（不包括废水生化处理污泥） </w:t>
            </w:r>
            <w:r>
              <w:rPr>
                <w:rFonts w:hint="default" w:ascii="Times New Roman" w:hAnsi="Times New Roman" w:eastAsia="宋体" w:cs="Times New Roman"/>
                <w:color w:val="auto"/>
                <w:sz w:val="24"/>
              </w:rPr>
              <w:t>”，危险特性为T。</w:t>
            </w:r>
            <w:r>
              <w:rPr>
                <w:rFonts w:hint="eastAsia" w:ascii="Times New Roman" w:hAnsi="Times New Roman" w:eastAsia="宋体" w:cs="Times New Roman"/>
                <w:color w:val="auto"/>
                <w:sz w:val="24"/>
                <w:lang w:val="en-US" w:eastAsia="zh-CN"/>
              </w:rPr>
              <w:t>定期清掏</w:t>
            </w:r>
            <w:r>
              <w:rPr>
                <w:rFonts w:hint="eastAsia" w:ascii="Times New Roman" w:hAnsi="Times New Roman"/>
                <w:color w:val="auto"/>
                <w:szCs w:val="21"/>
                <w:lang w:val="en-US" w:eastAsia="zh-CN"/>
              </w:rPr>
              <w:t>后</w:t>
            </w:r>
            <w:r>
              <w:rPr>
                <w:rFonts w:ascii="Times New Roman" w:hAnsi="Times New Roman"/>
                <w:color w:val="auto"/>
                <w:szCs w:val="21"/>
              </w:rPr>
              <w:t>采用专用容器收集，暂存在危废暂存间，定期交由相关危废处理资质单位处置。</w:t>
            </w:r>
          </w:p>
          <w:p w14:paraId="534A09F3">
            <w:pPr>
              <w:adjustRightInd w:val="0"/>
              <w:snapToGrid w:val="0"/>
              <w:spacing w:line="360" w:lineRule="auto"/>
              <w:ind w:firstLine="480" w:firstLineChars="200"/>
              <w:rPr>
                <w:rFonts w:ascii="Times New Roman" w:hAnsi="Times New Roman"/>
                <w:b w:val="0"/>
                <w:bCs/>
                <w:color w:val="auto"/>
                <w:szCs w:val="21"/>
                <w:lang w:bidi="ar"/>
              </w:rPr>
            </w:pPr>
            <w:r>
              <w:rPr>
                <w:rFonts w:ascii="Times New Roman" w:hAnsi="Times New Roman"/>
                <w:b w:val="0"/>
                <w:bCs/>
                <w:color w:val="auto"/>
                <w:szCs w:val="21"/>
                <w:lang w:bidi="ar"/>
              </w:rPr>
              <w:t>（</w:t>
            </w:r>
            <w:r>
              <w:rPr>
                <w:rFonts w:hint="eastAsia"/>
                <w:b w:val="0"/>
                <w:bCs/>
                <w:color w:val="auto"/>
                <w:szCs w:val="21"/>
                <w:lang w:val="en-US" w:eastAsia="zh-CN" w:bidi="ar"/>
              </w:rPr>
              <w:t>2</w:t>
            </w:r>
            <w:r>
              <w:rPr>
                <w:rFonts w:ascii="Times New Roman" w:hAnsi="Times New Roman"/>
                <w:b w:val="0"/>
                <w:bCs/>
                <w:color w:val="auto"/>
                <w:szCs w:val="21"/>
                <w:lang w:bidi="ar"/>
              </w:rPr>
              <w:t>）废活性炭</w:t>
            </w:r>
          </w:p>
          <w:p w14:paraId="5B54B74C">
            <w:pPr>
              <w:adjustRightInd w:val="0"/>
              <w:snapToGrid w:val="0"/>
              <w:spacing w:line="360" w:lineRule="auto"/>
              <w:ind w:firstLine="480" w:firstLineChars="200"/>
              <w:rPr>
                <w:rFonts w:ascii="Times New Roman" w:hAnsi="Times New Roman"/>
                <w:color w:val="auto"/>
                <w:szCs w:val="21"/>
              </w:rPr>
            </w:pPr>
            <w:r>
              <w:rPr>
                <w:rFonts w:ascii="Times New Roman" w:hAnsi="Times New Roman"/>
                <w:color w:val="auto"/>
                <w:szCs w:val="21"/>
              </w:rPr>
              <w:t>本项目产生沥青烟、</w:t>
            </w:r>
            <w:r>
              <w:rPr>
                <w:rFonts w:ascii="Times New Roman" w:hAnsi="Times New Roman"/>
                <w:bCs/>
                <w:color w:val="auto"/>
                <w:szCs w:val="21"/>
              </w:rPr>
              <w:t>苯并[a]芘采用“</w:t>
            </w:r>
            <w:r>
              <w:rPr>
                <w:rFonts w:hint="eastAsia"/>
                <w:bCs/>
                <w:color w:val="auto"/>
                <w:sz w:val="24"/>
                <w:lang w:eastAsia="zh-CN"/>
              </w:rPr>
              <w:t>布袋除尘器</w:t>
            </w:r>
            <w:r>
              <w:rPr>
                <w:rFonts w:ascii="Times New Roman" w:hAnsi="Times New Roman"/>
                <w:bCs/>
                <w:color w:val="auto"/>
                <w:szCs w:val="21"/>
              </w:rPr>
              <w:t>+</w:t>
            </w:r>
            <w:r>
              <w:rPr>
                <w:rFonts w:hint="eastAsia"/>
                <w:bCs/>
                <w:color w:val="auto"/>
                <w:szCs w:val="21"/>
                <w:lang w:val="en-US" w:eastAsia="zh-CN"/>
              </w:rPr>
              <w:t>二级</w:t>
            </w:r>
            <w:r>
              <w:rPr>
                <w:rFonts w:ascii="Times New Roman" w:hAnsi="Times New Roman"/>
                <w:bCs/>
                <w:color w:val="auto"/>
                <w:szCs w:val="21"/>
              </w:rPr>
              <w:t>活性炭吸附”</w:t>
            </w:r>
            <w:r>
              <w:rPr>
                <w:rFonts w:ascii="Times New Roman" w:hAnsi="Times New Roman"/>
                <w:color w:val="auto"/>
                <w:szCs w:val="21"/>
              </w:rPr>
              <w:t>处理，活性炭吸附装置内活性炭需要定期进行更换，在此过程中会产生废活性炭。活性炭箱约</w:t>
            </w:r>
            <w:r>
              <w:rPr>
                <w:rFonts w:hint="eastAsia"/>
                <w:color w:val="auto"/>
                <w:szCs w:val="21"/>
                <w:lang w:val="en-US" w:eastAsia="zh-CN"/>
              </w:rPr>
              <w:t>1.0</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（可装0.</w:t>
            </w:r>
            <w:r>
              <w:rPr>
                <w:rFonts w:hint="eastAsia"/>
                <w:color w:val="auto"/>
                <w:szCs w:val="21"/>
                <w:lang w:val="en-US" w:eastAsia="zh-CN"/>
              </w:rPr>
              <w:t>8</w:t>
            </w:r>
            <w:r>
              <w:rPr>
                <w:rFonts w:ascii="Times New Roman" w:hAnsi="Times New Roman"/>
                <w:color w:val="auto"/>
                <w:szCs w:val="21"/>
              </w:rPr>
              <w:t>kg活性炭）。活性炭约2个月更换一次，则每次产生量为0.000</w:t>
            </w:r>
            <w:r>
              <w:rPr>
                <w:rFonts w:hint="eastAsia"/>
                <w:color w:val="auto"/>
                <w:szCs w:val="21"/>
                <w:lang w:val="en-US" w:eastAsia="zh-CN"/>
              </w:rPr>
              <w:t>8</w:t>
            </w:r>
            <w:r>
              <w:rPr>
                <w:rFonts w:ascii="Times New Roman" w:hAnsi="Times New Roman"/>
                <w:color w:val="auto"/>
                <w:szCs w:val="21"/>
              </w:rPr>
              <w:t>t（约</w:t>
            </w:r>
            <w:r>
              <w:rPr>
                <w:rFonts w:hint="eastAsia"/>
                <w:color w:val="auto"/>
                <w:szCs w:val="21"/>
                <w:lang w:val="en-US" w:eastAsia="zh-CN"/>
              </w:rPr>
              <w:t>1</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），年产生量为0.00</w:t>
            </w:r>
            <w:r>
              <w:rPr>
                <w:rFonts w:hint="eastAsia"/>
                <w:color w:val="auto"/>
                <w:szCs w:val="21"/>
                <w:lang w:val="en-US" w:eastAsia="zh-CN"/>
              </w:rPr>
              <w:t>48</w:t>
            </w:r>
            <w:r>
              <w:rPr>
                <w:rFonts w:ascii="Times New Roman" w:hAnsi="Times New Roman"/>
                <w:color w:val="auto"/>
                <w:szCs w:val="21"/>
              </w:rPr>
              <w:t>t。</w:t>
            </w:r>
          </w:p>
          <w:p w14:paraId="56088FFE">
            <w:pPr>
              <w:adjustRightInd w:val="0"/>
              <w:snapToGrid w:val="0"/>
              <w:spacing w:line="360" w:lineRule="auto"/>
              <w:ind w:firstLine="480" w:firstLineChars="200"/>
              <w:rPr>
                <w:rFonts w:ascii="Times New Roman" w:hAnsi="Times New Roman"/>
                <w:color w:val="auto"/>
                <w:szCs w:val="21"/>
                <w:lang w:bidi="ar"/>
              </w:rPr>
            </w:pPr>
            <w:r>
              <w:rPr>
                <w:rFonts w:ascii="Times New Roman" w:hAnsi="Times New Roman"/>
                <w:color w:val="auto"/>
                <w:szCs w:val="21"/>
              </w:rPr>
              <w:t>根据《国家危险废物名录》（2021年版），废活性炭属于“HW49其他废物，废物代码为900-039-49，VOCs治理过程产生的废活性炭”，危险特性为T。采用专用容器密闭收集，暂存在危废暂存间，定期交由相关危废处理资质单位处置。</w:t>
            </w:r>
          </w:p>
          <w:p w14:paraId="16EE21E5">
            <w:pPr>
              <w:adjustRightInd w:val="0"/>
              <w:snapToGrid w:val="0"/>
              <w:spacing w:line="360" w:lineRule="auto"/>
              <w:ind w:firstLine="480" w:firstLineChars="200"/>
              <w:rPr>
                <w:rFonts w:ascii="Times New Roman" w:hAnsi="Times New Roman"/>
                <w:b w:val="0"/>
                <w:bCs/>
                <w:color w:val="auto"/>
                <w:szCs w:val="21"/>
                <w:lang w:bidi="ar"/>
              </w:rPr>
            </w:pPr>
            <w:r>
              <w:rPr>
                <w:rFonts w:ascii="Times New Roman" w:hAnsi="Times New Roman"/>
                <w:b w:val="0"/>
                <w:bCs/>
                <w:color w:val="auto"/>
                <w:szCs w:val="21"/>
                <w:lang w:bidi="ar"/>
              </w:rPr>
              <w:t>（</w:t>
            </w:r>
            <w:r>
              <w:rPr>
                <w:rFonts w:hint="eastAsia"/>
                <w:b w:val="0"/>
                <w:bCs/>
                <w:color w:val="auto"/>
                <w:szCs w:val="21"/>
                <w:lang w:val="en-US" w:eastAsia="zh-CN" w:bidi="ar"/>
              </w:rPr>
              <w:t>3</w:t>
            </w:r>
            <w:r>
              <w:rPr>
                <w:rFonts w:ascii="Times New Roman" w:hAnsi="Times New Roman"/>
                <w:b w:val="0"/>
                <w:bCs/>
                <w:color w:val="auto"/>
                <w:szCs w:val="21"/>
                <w:lang w:bidi="ar"/>
              </w:rPr>
              <w:t>）废机油、废润滑油</w:t>
            </w:r>
          </w:p>
          <w:p w14:paraId="760EC7C8">
            <w:pPr>
              <w:adjustRightInd w:val="0"/>
              <w:snapToGrid w:val="0"/>
              <w:spacing w:line="360" w:lineRule="auto"/>
              <w:ind w:firstLine="480" w:firstLineChars="200"/>
              <w:rPr>
                <w:rFonts w:ascii="Times New Roman" w:hAnsi="Times New Roman"/>
                <w:color w:val="auto"/>
                <w:szCs w:val="21"/>
                <w:lang w:bidi="ar"/>
              </w:rPr>
            </w:pPr>
            <w:r>
              <w:rPr>
                <w:rFonts w:ascii="Times New Roman" w:hAnsi="Times New Roman"/>
                <w:color w:val="auto"/>
                <w:szCs w:val="21"/>
                <w:lang w:bidi="ar"/>
              </w:rPr>
              <w:t>本项目设备的大中维修均依靠相关单位维修力量，在项目区主要对设备进行小修及日常维护，根据建设方提供的资料，本项目在生产运营中设备零部件维护中，废机油产生量约0.</w:t>
            </w:r>
            <w:r>
              <w:rPr>
                <w:rFonts w:hint="eastAsia"/>
                <w:color w:val="auto"/>
                <w:szCs w:val="21"/>
                <w:lang w:val="en-US" w:eastAsia="zh-CN" w:bidi="ar"/>
              </w:rPr>
              <w:t>5</w:t>
            </w:r>
            <w:r>
              <w:rPr>
                <w:rFonts w:ascii="Times New Roman" w:hAnsi="Times New Roman"/>
                <w:color w:val="auto"/>
                <w:szCs w:val="21"/>
                <w:lang w:bidi="ar"/>
              </w:rPr>
              <w:t>t/a。废机油属于《国家危险废物名录》（2021年版）规定的“HW08废矿物油与含矿物油废物，代码900-214-08，车辆、轮船及其他机械维修过程中产生的废发动机油、制动器油、自动变速器油、齿轮油等废润滑油”，危险特性T，I。设专用密闭容器收集后委托相关资质单位处置。</w:t>
            </w:r>
          </w:p>
          <w:p w14:paraId="0923B3B7">
            <w:pPr>
              <w:tabs>
                <w:tab w:val="left" w:pos="2160"/>
              </w:tabs>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bidi="ar"/>
              </w:rPr>
              <w:t>含油抹布</w:t>
            </w:r>
          </w:p>
          <w:p w14:paraId="15D9B6B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heme="minorBidi"/>
                <w:color w:val="auto"/>
                <w:kern w:val="0"/>
                <w:sz w:val="24"/>
                <w:szCs w:val="24"/>
                <w:highlight w:val="none"/>
                <w:lang w:val="en-US" w:eastAsia="zh-CN" w:bidi="ar-SA"/>
              </w:rPr>
            </w:pPr>
            <w:r>
              <w:rPr>
                <w:rFonts w:hint="eastAsia" w:ascii="Times New Roman" w:hAnsi="Times New Roman" w:eastAsia="宋体" w:cstheme="minorBidi"/>
                <w:color w:val="auto"/>
                <w:kern w:val="0"/>
                <w:sz w:val="24"/>
                <w:szCs w:val="24"/>
                <w:highlight w:val="none"/>
                <w:lang w:val="en-US" w:eastAsia="zh-CN" w:bidi="ar-SA"/>
              </w:rPr>
              <w:t>项目在机械维修保养过程中会产生一定量含油抹布，类比同类项目，该项目运营过程中含油抹布产生量约为0.01t/a。</w:t>
            </w:r>
          </w:p>
          <w:p w14:paraId="027E7E35">
            <w:pPr>
              <w:adjustRightInd w:val="0"/>
              <w:snapToGrid w:val="0"/>
              <w:spacing w:line="360" w:lineRule="auto"/>
              <w:ind w:firstLine="480" w:firstLineChars="200"/>
              <w:rPr>
                <w:rFonts w:ascii="Times New Roman" w:hAnsi="Times New Roman"/>
                <w:b/>
                <w:color w:val="auto"/>
                <w:szCs w:val="21"/>
                <w:lang w:bidi="ar"/>
              </w:rPr>
            </w:pPr>
            <w:r>
              <w:rPr>
                <w:rFonts w:hint="eastAsia" w:ascii="Times New Roman" w:hAnsi="Times New Roman" w:eastAsia="宋体" w:cs="Times New Roman"/>
                <w:color w:val="auto"/>
                <w:sz w:val="24"/>
                <w:highlight w:val="none"/>
              </w:rPr>
              <w:t>根据《国家危险废物名录》（2021年本），</w:t>
            </w:r>
            <w:r>
              <w:rPr>
                <w:rFonts w:ascii="Times New Roman" w:hAnsi="Times New Roman" w:eastAsia="宋体" w:cs="Times New Roman"/>
                <w:color w:val="auto"/>
                <w:sz w:val="24"/>
                <w:highlight w:val="none"/>
              </w:rPr>
              <w:t>含油</w:t>
            </w:r>
            <w:r>
              <w:rPr>
                <w:rFonts w:hint="eastAsia" w:ascii="Times New Roman" w:hAnsi="Times New Roman" w:eastAsia="宋体" w:cs="Times New Roman"/>
                <w:color w:val="auto"/>
                <w:sz w:val="24"/>
                <w:highlight w:val="none"/>
                <w:lang w:val="en-US" w:eastAsia="zh-CN"/>
              </w:rPr>
              <w:t>抹布</w:t>
            </w:r>
            <w:r>
              <w:rPr>
                <w:rFonts w:ascii="Times New Roman" w:hAnsi="Times New Roman" w:eastAsia="宋体" w:cs="Times New Roman"/>
                <w:color w:val="auto"/>
                <w:sz w:val="24"/>
                <w:highlight w:val="none"/>
              </w:rPr>
              <w:t>等属于</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危险废物豁免管理清单</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中代码为</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900-041-49</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的</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废弃的含油抹布、劳保用品</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由于</w:t>
            </w:r>
            <w:r>
              <w:rPr>
                <w:rFonts w:hint="eastAsia" w:ascii="Times New Roman" w:hAnsi="Times New Roman" w:eastAsia="宋体" w:cs="Times New Roman"/>
                <w:color w:val="auto"/>
                <w:sz w:val="24"/>
                <w:highlight w:val="none"/>
              </w:rPr>
              <w:t>废含油抹布</w:t>
            </w:r>
            <w:r>
              <w:rPr>
                <w:rFonts w:hint="eastAsia" w:ascii="Times New Roman" w:hAnsi="Times New Roman" w:eastAsia="宋体" w:cs="Times New Roman"/>
                <w:color w:val="auto"/>
                <w:sz w:val="24"/>
                <w:highlight w:val="none"/>
                <w:lang w:val="en-US" w:eastAsia="zh-CN"/>
              </w:rPr>
              <w:t>可做到单独收集，因此</w:t>
            </w:r>
            <w:r>
              <w:rPr>
                <w:rFonts w:hint="eastAsia" w:ascii="Times New Roman" w:hAnsi="Times New Roman" w:eastAsia="宋体" w:cs="Times New Roman"/>
                <w:color w:val="auto"/>
                <w:sz w:val="24"/>
                <w:highlight w:val="none"/>
              </w:rPr>
              <w:t>按照危险废物</w:t>
            </w:r>
            <w:r>
              <w:rPr>
                <w:rFonts w:ascii="Times New Roman" w:hAnsi="Times New Roman"/>
                <w:color w:val="auto"/>
                <w:szCs w:val="21"/>
              </w:rPr>
              <w:t>暂存在危废暂存间，定期交由相关危废处理资质</w:t>
            </w:r>
            <w:r>
              <w:rPr>
                <w:rFonts w:hint="eastAsia" w:ascii="Times New Roman" w:hAnsi="Times New Roman"/>
                <w:color w:val="auto"/>
                <w:szCs w:val="21"/>
                <w:lang w:val="en-US" w:eastAsia="zh-CN"/>
              </w:rPr>
              <w:t>的</w:t>
            </w:r>
            <w:r>
              <w:rPr>
                <w:rFonts w:ascii="Times New Roman" w:hAnsi="Times New Roman"/>
                <w:color w:val="auto"/>
                <w:szCs w:val="21"/>
              </w:rPr>
              <w:t>单位处置。</w:t>
            </w:r>
          </w:p>
          <w:p w14:paraId="44733FBC">
            <w:pPr>
              <w:adjustRightInd w:val="0"/>
              <w:snapToGrid w:val="0"/>
              <w:spacing w:line="360" w:lineRule="auto"/>
              <w:ind w:firstLine="480" w:firstLineChars="200"/>
              <w:rPr>
                <w:rFonts w:ascii="Times New Roman" w:hAnsi="Times New Roman"/>
                <w:b w:val="0"/>
                <w:bCs/>
                <w:color w:val="auto"/>
                <w:szCs w:val="21"/>
                <w:lang w:bidi="ar"/>
              </w:rPr>
            </w:pPr>
            <w:r>
              <w:rPr>
                <w:rFonts w:ascii="Times New Roman" w:hAnsi="Times New Roman"/>
                <w:b w:val="0"/>
                <w:bCs/>
                <w:color w:val="auto"/>
                <w:szCs w:val="21"/>
                <w:lang w:bidi="ar"/>
              </w:rPr>
              <w:t>（</w:t>
            </w:r>
            <w:r>
              <w:rPr>
                <w:rFonts w:hint="eastAsia"/>
                <w:b w:val="0"/>
                <w:bCs/>
                <w:color w:val="auto"/>
                <w:szCs w:val="21"/>
                <w:lang w:val="en-US" w:eastAsia="zh-CN" w:bidi="ar"/>
              </w:rPr>
              <w:t>5</w:t>
            </w:r>
            <w:r>
              <w:rPr>
                <w:rFonts w:ascii="Times New Roman" w:hAnsi="Times New Roman"/>
                <w:b w:val="0"/>
                <w:bCs/>
                <w:color w:val="auto"/>
                <w:szCs w:val="21"/>
                <w:lang w:bidi="ar"/>
              </w:rPr>
              <w:t>）废导热油</w:t>
            </w:r>
          </w:p>
          <w:p w14:paraId="64E87204">
            <w:pPr>
              <w:adjustRightInd w:val="0"/>
              <w:snapToGrid w:val="0"/>
              <w:spacing w:line="360" w:lineRule="auto"/>
              <w:ind w:firstLine="480" w:firstLineChars="200"/>
              <w:rPr>
                <w:rFonts w:ascii="Times New Roman" w:hAnsi="Times New Roman"/>
                <w:color w:val="auto"/>
                <w:szCs w:val="21"/>
                <w:lang w:bidi="ar"/>
              </w:rPr>
            </w:pPr>
            <w:r>
              <w:rPr>
                <w:rFonts w:ascii="Times New Roman" w:hAnsi="Times New Roman"/>
                <w:color w:val="auto"/>
                <w:szCs w:val="21"/>
                <w:lang w:bidi="ar"/>
              </w:rPr>
              <w:t>项目导热油约两年更换一次，更换量</w:t>
            </w:r>
            <w:r>
              <w:rPr>
                <w:rFonts w:hint="eastAsia"/>
                <w:color w:val="auto"/>
                <w:szCs w:val="21"/>
                <w:lang w:val="en-US" w:eastAsia="zh-CN" w:bidi="ar"/>
              </w:rPr>
              <w:t>18</w:t>
            </w:r>
            <w:r>
              <w:rPr>
                <w:rFonts w:ascii="Times New Roman" w:hAnsi="Times New Roman"/>
                <w:color w:val="auto"/>
                <w:szCs w:val="21"/>
                <w:lang w:bidi="ar"/>
              </w:rPr>
              <w:t>t，导热油属于《国家危险废物名录》（2021年版）规定的“HW08废矿物油与含矿物油废物，代码900-249-08，其他生产、销售、使用过程中产生的废矿物油及沾染矿物油的</w:t>
            </w:r>
            <w:r>
              <w:rPr>
                <w:rFonts w:hint="eastAsia"/>
                <w:color w:val="auto"/>
                <w:szCs w:val="21"/>
                <w:lang w:val="en-US" w:eastAsia="zh-CN" w:bidi="ar"/>
              </w:rPr>
              <w:t>废弃</w:t>
            </w:r>
            <w:r>
              <w:rPr>
                <w:rFonts w:ascii="Times New Roman" w:hAnsi="Times New Roman"/>
                <w:color w:val="auto"/>
                <w:szCs w:val="21"/>
                <w:lang w:bidi="ar"/>
              </w:rPr>
              <w:t>包装物”，危险特性T，I。废导热油由相关资质单位的厂家进行更换，更换后采用专用密闭容器由更换单位回收处置。</w:t>
            </w:r>
          </w:p>
          <w:p w14:paraId="71DF3E7D">
            <w:pPr>
              <w:adjustRightInd w:val="0"/>
              <w:snapToGrid w:val="0"/>
              <w:spacing w:line="360" w:lineRule="auto"/>
              <w:ind w:firstLine="480" w:firstLineChars="200"/>
              <w:rPr>
                <w:rFonts w:ascii="Times New Roman" w:hAnsi="Times New Roman"/>
                <w:color w:val="auto"/>
              </w:rPr>
            </w:pPr>
            <w:r>
              <w:rPr>
                <w:rFonts w:ascii="Times New Roman" w:hAnsi="Times New Roman"/>
                <w:color w:val="auto"/>
              </w:rPr>
              <w:t>综上，项目运营期固体废物产生及处置情况见下表4-</w:t>
            </w:r>
            <w:r>
              <w:rPr>
                <w:rFonts w:hint="eastAsia"/>
                <w:color w:val="auto"/>
                <w:lang w:val="en-US" w:eastAsia="zh-CN"/>
              </w:rPr>
              <w:t>7</w:t>
            </w:r>
            <w:r>
              <w:rPr>
                <w:rFonts w:ascii="Times New Roman" w:hAnsi="Times New Roman"/>
                <w:color w:val="auto"/>
              </w:rPr>
              <w:t>。</w:t>
            </w:r>
          </w:p>
          <w:p w14:paraId="34B35CE2">
            <w:pPr>
              <w:adjustRightInd w:val="0"/>
              <w:jc w:val="center"/>
              <w:rPr>
                <w:rFonts w:ascii="Times New Roman" w:hAnsi="Times New Roman"/>
                <w:b/>
                <w:color w:val="auto"/>
                <w:sz w:val="21"/>
                <w:szCs w:val="21"/>
              </w:rPr>
            </w:pPr>
            <w:r>
              <w:rPr>
                <w:rFonts w:ascii="Times New Roman" w:hAnsi="Times New Roman"/>
                <w:b/>
                <w:color w:val="auto"/>
                <w:sz w:val="21"/>
                <w:szCs w:val="21"/>
                <w:lang w:bidi="ar"/>
              </w:rPr>
              <w:t>表4-</w:t>
            </w:r>
            <w:r>
              <w:rPr>
                <w:rFonts w:hint="eastAsia"/>
                <w:b/>
                <w:color w:val="auto"/>
                <w:sz w:val="21"/>
                <w:szCs w:val="21"/>
                <w:lang w:val="en-US" w:eastAsia="zh-CN" w:bidi="ar"/>
              </w:rPr>
              <w:t>7</w:t>
            </w:r>
            <w:r>
              <w:rPr>
                <w:rFonts w:ascii="Times New Roman" w:hAnsi="Times New Roman"/>
                <w:b/>
                <w:color w:val="auto"/>
                <w:sz w:val="21"/>
                <w:szCs w:val="21"/>
                <w:lang w:bidi="ar"/>
              </w:rPr>
              <w:t xml:space="preserve">  项目固体废弃物处置情况</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1114"/>
              <w:gridCol w:w="855"/>
              <w:gridCol w:w="696"/>
              <w:gridCol w:w="463"/>
              <w:gridCol w:w="551"/>
              <w:gridCol w:w="696"/>
              <w:gridCol w:w="720"/>
              <w:gridCol w:w="962"/>
              <w:gridCol w:w="684"/>
              <w:gridCol w:w="489"/>
            </w:tblGrid>
            <w:tr w14:paraId="4387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9" w:type="pct"/>
                  <w:tcBorders>
                    <w:top w:val="single" w:color="auto" w:sz="4" w:space="0"/>
                    <w:left w:val="single" w:color="auto" w:sz="4" w:space="0"/>
                    <w:bottom w:val="single" w:color="auto" w:sz="4" w:space="0"/>
                    <w:right w:val="single" w:color="auto" w:sz="4" w:space="0"/>
                  </w:tcBorders>
                  <w:noWrap w:val="0"/>
                  <w:vAlign w:val="center"/>
                </w:tcPr>
                <w:p w14:paraId="66E37ED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z w:val="21"/>
                      <w:szCs w:val="21"/>
                      <w:lang w:bidi="ar"/>
                    </w:rPr>
                  </w:pPr>
                  <w:r>
                    <w:rPr>
                      <w:rFonts w:ascii="Times New Roman" w:hAnsi="Times New Roman"/>
                      <w:b/>
                      <w:color w:val="auto"/>
                      <w:sz w:val="21"/>
                      <w:szCs w:val="21"/>
                      <w:lang w:bidi="ar"/>
                    </w:rPr>
                    <w:t>属性</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583967D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lang w:bidi="ar"/>
                    </w:rPr>
                    <w:t>污染物</w:t>
                  </w:r>
                </w:p>
                <w:p w14:paraId="620A281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lang w:bidi="ar"/>
                    </w:rPr>
                    <w:t>名称</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3778A9E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z w:val="21"/>
                      <w:szCs w:val="21"/>
                      <w:lang w:bidi="ar"/>
                    </w:rPr>
                    <w:t>产污环节</w:t>
                  </w:r>
                </w:p>
              </w:tc>
              <w:tc>
                <w:tcPr>
                  <w:tcW w:w="457" w:type="pct"/>
                  <w:tcBorders>
                    <w:top w:val="single" w:color="auto" w:sz="4" w:space="0"/>
                    <w:left w:val="single" w:color="auto" w:sz="4" w:space="0"/>
                    <w:bottom w:val="single" w:color="auto" w:sz="4" w:space="0"/>
                    <w:right w:val="single" w:color="auto" w:sz="4" w:space="0"/>
                  </w:tcBorders>
                  <w:noWrap w:val="0"/>
                  <w:vAlign w:val="center"/>
                </w:tcPr>
                <w:p w14:paraId="4815E3E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pacing w:val="-10"/>
                      <w:sz w:val="21"/>
                      <w:szCs w:val="21"/>
                    </w:rPr>
                  </w:pPr>
                  <w:r>
                    <w:rPr>
                      <w:rFonts w:ascii="Times New Roman" w:hAnsi="Times New Roman"/>
                      <w:b/>
                      <w:color w:val="auto"/>
                      <w:spacing w:val="-10"/>
                      <w:sz w:val="21"/>
                      <w:szCs w:val="21"/>
                      <w:lang w:bidi="ar"/>
                    </w:rPr>
                    <w:t>有毒有害物质名称</w:t>
                  </w:r>
                </w:p>
              </w:tc>
              <w:tc>
                <w:tcPr>
                  <w:tcW w:w="304" w:type="pct"/>
                  <w:tcBorders>
                    <w:top w:val="single" w:color="auto" w:sz="4" w:space="0"/>
                    <w:left w:val="single" w:color="auto" w:sz="4" w:space="0"/>
                    <w:bottom w:val="single" w:color="auto" w:sz="4" w:space="0"/>
                    <w:right w:val="single" w:color="auto" w:sz="4" w:space="0"/>
                  </w:tcBorders>
                  <w:noWrap w:val="0"/>
                  <w:vAlign w:val="center"/>
                </w:tcPr>
                <w:p w14:paraId="372BDF5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pacing w:val="-10"/>
                      <w:sz w:val="21"/>
                      <w:szCs w:val="21"/>
                    </w:rPr>
                  </w:pPr>
                  <w:r>
                    <w:rPr>
                      <w:rFonts w:ascii="Times New Roman" w:hAnsi="Times New Roman"/>
                      <w:b/>
                      <w:color w:val="auto"/>
                      <w:spacing w:val="-10"/>
                      <w:sz w:val="21"/>
                      <w:szCs w:val="21"/>
                      <w:lang w:bidi="ar"/>
                    </w:rPr>
                    <w:t>物理</w:t>
                  </w:r>
                </w:p>
                <w:p w14:paraId="6A40DFD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pacing w:val="-10"/>
                      <w:sz w:val="21"/>
                      <w:szCs w:val="21"/>
                      <w:lang w:bidi="ar"/>
                    </w:rPr>
                    <w:t>性状</w:t>
                  </w:r>
                </w:p>
              </w:tc>
              <w:tc>
                <w:tcPr>
                  <w:tcW w:w="362" w:type="pct"/>
                  <w:tcBorders>
                    <w:top w:val="single" w:color="auto" w:sz="4" w:space="0"/>
                    <w:left w:val="single" w:color="auto" w:sz="4" w:space="0"/>
                    <w:bottom w:val="single" w:color="auto" w:sz="4" w:space="0"/>
                    <w:right w:val="single" w:color="auto" w:sz="4" w:space="0"/>
                  </w:tcBorders>
                  <w:noWrap w:val="0"/>
                  <w:vAlign w:val="center"/>
                </w:tcPr>
                <w:p w14:paraId="18F3F49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pacing w:val="-10"/>
                      <w:sz w:val="21"/>
                      <w:szCs w:val="21"/>
                    </w:rPr>
                  </w:pPr>
                  <w:r>
                    <w:rPr>
                      <w:rFonts w:ascii="Times New Roman" w:hAnsi="Times New Roman"/>
                      <w:b/>
                      <w:color w:val="auto"/>
                      <w:spacing w:val="-10"/>
                      <w:sz w:val="21"/>
                      <w:szCs w:val="21"/>
                      <w:lang w:bidi="ar"/>
                    </w:rPr>
                    <w:t>危</w:t>
                  </w:r>
                </w:p>
                <w:p w14:paraId="2859F2C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z w:val="21"/>
                      <w:szCs w:val="21"/>
                    </w:rPr>
                  </w:pPr>
                  <w:r>
                    <w:rPr>
                      <w:rFonts w:ascii="Times New Roman" w:hAnsi="Times New Roman"/>
                      <w:b/>
                      <w:color w:val="auto"/>
                      <w:spacing w:val="-10"/>
                      <w:sz w:val="21"/>
                      <w:szCs w:val="21"/>
                      <w:lang w:bidi="ar"/>
                    </w:rPr>
                    <w:t>险特性</w:t>
                  </w:r>
                </w:p>
              </w:tc>
              <w:tc>
                <w:tcPr>
                  <w:tcW w:w="457" w:type="pct"/>
                  <w:tcBorders>
                    <w:top w:val="single" w:color="auto" w:sz="4" w:space="0"/>
                    <w:left w:val="single" w:color="auto" w:sz="4" w:space="0"/>
                    <w:bottom w:val="single" w:color="auto" w:sz="4" w:space="0"/>
                    <w:right w:val="single" w:color="auto" w:sz="4" w:space="0"/>
                  </w:tcBorders>
                  <w:noWrap w:val="0"/>
                  <w:vAlign w:val="center"/>
                </w:tcPr>
                <w:p w14:paraId="0BD63CF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pacing w:val="-10"/>
                      <w:sz w:val="21"/>
                      <w:szCs w:val="21"/>
                    </w:rPr>
                  </w:pPr>
                  <w:r>
                    <w:rPr>
                      <w:rFonts w:ascii="Times New Roman" w:hAnsi="Times New Roman"/>
                      <w:b/>
                      <w:color w:val="auto"/>
                      <w:spacing w:val="-10"/>
                      <w:sz w:val="21"/>
                      <w:szCs w:val="21"/>
                      <w:lang w:bidi="ar"/>
                    </w:rPr>
                    <w:t>年产生量（t/a）</w:t>
                  </w:r>
                </w:p>
              </w:tc>
              <w:tc>
                <w:tcPr>
                  <w:tcW w:w="473" w:type="pct"/>
                  <w:tcBorders>
                    <w:top w:val="single" w:color="auto" w:sz="4" w:space="0"/>
                    <w:left w:val="single" w:color="auto" w:sz="4" w:space="0"/>
                    <w:bottom w:val="single" w:color="auto" w:sz="4" w:space="0"/>
                    <w:right w:val="single" w:color="auto" w:sz="4" w:space="0"/>
                  </w:tcBorders>
                  <w:noWrap w:val="0"/>
                  <w:vAlign w:val="center"/>
                </w:tcPr>
                <w:p w14:paraId="5452964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pacing w:val="-10"/>
                      <w:sz w:val="21"/>
                      <w:szCs w:val="21"/>
                    </w:rPr>
                  </w:pPr>
                  <w:r>
                    <w:rPr>
                      <w:rFonts w:ascii="Times New Roman" w:hAnsi="Times New Roman"/>
                      <w:b/>
                      <w:color w:val="auto"/>
                      <w:spacing w:val="-10"/>
                      <w:sz w:val="21"/>
                      <w:szCs w:val="21"/>
                      <w:lang w:bidi="ar"/>
                    </w:rPr>
                    <w:t>贮存</w:t>
                  </w:r>
                </w:p>
                <w:p w14:paraId="2A7871A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pacing w:val="-10"/>
                      <w:sz w:val="21"/>
                      <w:szCs w:val="21"/>
                    </w:rPr>
                  </w:pPr>
                  <w:r>
                    <w:rPr>
                      <w:rFonts w:ascii="Times New Roman" w:hAnsi="Times New Roman"/>
                      <w:b/>
                      <w:color w:val="auto"/>
                      <w:spacing w:val="-10"/>
                      <w:sz w:val="21"/>
                      <w:szCs w:val="21"/>
                      <w:lang w:bidi="ar"/>
                    </w:rPr>
                    <w:t>方式</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3B225F7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pacing w:val="-10"/>
                      <w:sz w:val="21"/>
                      <w:szCs w:val="21"/>
                    </w:rPr>
                  </w:pPr>
                  <w:r>
                    <w:rPr>
                      <w:rFonts w:ascii="Times New Roman" w:hAnsi="Times New Roman"/>
                      <w:b/>
                      <w:color w:val="auto"/>
                      <w:spacing w:val="-10"/>
                      <w:sz w:val="21"/>
                      <w:szCs w:val="21"/>
                      <w:lang w:bidi="ar"/>
                    </w:rPr>
                    <w:t>利用处置方式和去向</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586560F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pacing w:val="-10"/>
                      <w:sz w:val="21"/>
                      <w:szCs w:val="21"/>
                    </w:rPr>
                  </w:pPr>
                  <w:r>
                    <w:rPr>
                      <w:rFonts w:ascii="Times New Roman" w:hAnsi="Times New Roman"/>
                      <w:b/>
                      <w:color w:val="auto"/>
                      <w:spacing w:val="-10"/>
                      <w:sz w:val="21"/>
                      <w:szCs w:val="21"/>
                      <w:lang w:bidi="ar"/>
                    </w:rPr>
                    <w:t>利用或处置量（t/a）</w:t>
                  </w:r>
                </w:p>
              </w:tc>
              <w:tc>
                <w:tcPr>
                  <w:tcW w:w="321" w:type="pct"/>
                  <w:tcBorders>
                    <w:top w:val="single" w:color="auto" w:sz="4" w:space="0"/>
                    <w:left w:val="single" w:color="auto" w:sz="4" w:space="0"/>
                    <w:bottom w:val="single" w:color="auto" w:sz="4" w:space="0"/>
                    <w:right w:val="single" w:color="auto" w:sz="4" w:space="0"/>
                  </w:tcBorders>
                  <w:noWrap w:val="0"/>
                  <w:vAlign w:val="center"/>
                </w:tcPr>
                <w:p w14:paraId="26BBC26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pacing w:val="-10"/>
                      <w:sz w:val="21"/>
                      <w:szCs w:val="21"/>
                    </w:rPr>
                  </w:pPr>
                  <w:r>
                    <w:rPr>
                      <w:rFonts w:ascii="Times New Roman" w:hAnsi="Times New Roman"/>
                      <w:b/>
                      <w:color w:val="auto"/>
                      <w:spacing w:val="-10"/>
                      <w:sz w:val="21"/>
                      <w:szCs w:val="21"/>
                      <w:lang w:bidi="ar"/>
                    </w:rPr>
                    <w:t>管</w:t>
                  </w:r>
                </w:p>
                <w:p w14:paraId="6772AB0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
                      <w:color w:val="auto"/>
                      <w:spacing w:val="-10"/>
                      <w:sz w:val="21"/>
                      <w:szCs w:val="21"/>
                    </w:rPr>
                  </w:pPr>
                  <w:r>
                    <w:rPr>
                      <w:rFonts w:ascii="Times New Roman" w:hAnsi="Times New Roman"/>
                      <w:b/>
                      <w:color w:val="auto"/>
                      <w:spacing w:val="-10"/>
                      <w:sz w:val="21"/>
                      <w:szCs w:val="21"/>
                      <w:lang w:bidi="ar"/>
                    </w:rPr>
                    <w:t>理要求</w:t>
                  </w:r>
                </w:p>
              </w:tc>
            </w:tr>
            <w:tr w14:paraId="0792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9" w:type="pct"/>
                  <w:vMerge w:val="restart"/>
                  <w:tcBorders>
                    <w:left w:val="single" w:color="auto" w:sz="4" w:space="0"/>
                    <w:right w:val="single" w:color="auto" w:sz="4" w:space="0"/>
                  </w:tcBorders>
                  <w:noWrap w:val="0"/>
                  <w:vAlign w:val="center"/>
                </w:tcPr>
                <w:p w14:paraId="7434592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一般固废</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46F6C78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除尘器</w:t>
                  </w:r>
                  <w:r>
                    <w:rPr>
                      <w:rFonts w:hint="eastAsia"/>
                      <w:color w:val="auto"/>
                      <w:sz w:val="21"/>
                      <w:szCs w:val="21"/>
                      <w:lang w:val="en-US" w:eastAsia="zh-CN"/>
                    </w:rPr>
                    <w:t>收尘灰</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B6B5A0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布袋除尘器</w:t>
                  </w:r>
                </w:p>
              </w:tc>
              <w:tc>
                <w:tcPr>
                  <w:tcW w:w="457" w:type="pct"/>
                  <w:tcBorders>
                    <w:top w:val="single" w:color="auto" w:sz="4" w:space="0"/>
                    <w:left w:val="single" w:color="auto" w:sz="4" w:space="0"/>
                    <w:bottom w:val="single" w:color="auto" w:sz="4" w:space="0"/>
                    <w:right w:val="single" w:color="auto" w:sz="4" w:space="0"/>
                  </w:tcBorders>
                  <w:noWrap w:val="0"/>
                  <w:vAlign w:val="center"/>
                </w:tcPr>
                <w:p w14:paraId="25BF41DD">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lang w:bidi="ar"/>
                    </w:rPr>
                    <w:t>/</w:t>
                  </w:r>
                </w:p>
              </w:tc>
              <w:tc>
                <w:tcPr>
                  <w:tcW w:w="304" w:type="pct"/>
                  <w:tcBorders>
                    <w:top w:val="single" w:color="auto" w:sz="4" w:space="0"/>
                    <w:left w:val="single" w:color="auto" w:sz="4" w:space="0"/>
                    <w:bottom w:val="single" w:color="auto" w:sz="4" w:space="0"/>
                    <w:right w:val="single" w:color="auto" w:sz="4" w:space="0"/>
                  </w:tcBorders>
                  <w:noWrap w:val="0"/>
                  <w:vAlign w:val="center"/>
                </w:tcPr>
                <w:p w14:paraId="7981F46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lang w:bidi="ar"/>
                    </w:rPr>
                    <w:t>固态</w:t>
                  </w:r>
                </w:p>
              </w:tc>
              <w:tc>
                <w:tcPr>
                  <w:tcW w:w="362" w:type="pct"/>
                  <w:tcBorders>
                    <w:top w:val="single" w:color="auto" w:sz="4" w:space="0"/>
                    <w:left w:val="single" w:color="auto" w:sz="4" w:space="0"/>
                    <w:bottom w:val="single" w:color="auto" w:sz="4" w:space="0"/>
                    <w:right w:val="single" w:color="auto" w:sz="4" w:space="0"/>
                  </w:tcBorders>
                  <w:noWrap w:val="0"/>
                  <w:vAlign w:val="center"/>
                </w:tcPr>
                <w:p w14:paraId="0E34CCF0">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lang w:bidi="ar"/>
                    </w:rPr>
                    <w:t>/</w:t>
                  </w:r>
                </w:p>
              </w:tc>
              <w:tc>
                <w:tcPr>
                  <w:tcW w:w="457" w:type="pct"/>
                  <w:tcBorders>
                    <w:top w:val="single" w:color="auto" w:sz="4" w:space="0"/>
                    <w:left w:val="single" w:color="auto" w:sz="4" w:space="0"/>
                    <w:bottom w:val="single" w:color="auto" w:sz="4" w:space="0"/>
                    <w:right w:val="single" w:color="auto" w:sz="4" w:space="0"/>
                  </w:tcBorders>
                  <w:noWrap w:val="0"/>
                  <w:vAlign w:val="center"/>
                </w:tcPr>
                <w:p w14:paraId="58FAD1F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323.742</w:t>
                  </w:r>
                </w:p>
              </w:tc>
              <w:tc>
                <w:tcPr>
                  <w:tcW w:w="473" w:type="pct"/>
                  <w:tcBorders>
                    <w:left w:val="single" w:color="auto" w:sz="4" w:space="0"/>
                    <w:right w:val="single" w:color="auto" w:sz="4" w:space="0"/>
                  </w:tcBorders>
                  <w:noWrap w:val="0"/>
                  <w:vAlign w:val="center"/>
                </w:tcPr>
                <w:p w14:paraId="11A25859">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矿粉仓</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7B1A136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返回沥青混凝土产生线</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097B011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323.742</w:t>
                  </w:r>
                </w:p>
              </w:tc>
              <w:tc>
                <w:tcPr>
                  <w:tcW w:w="321" w:type="pct"/>
                  <w:vMerge w:val="restart"/>
                  <w:tcBorders>
                    <w:top w:val="single" w:color="auto" w:sz="4" w:space="0"/>
                    <w:left w:val="single" w:color="auto" w:sz="4" w:space="0"/>
                    <w:right w:val="single" w:color="auto" w:sz="4" w:space="0"/>
                  </w:tcBorders>
                  <w:noWrap w:val="0"/>
                  <w:vAlign w:val="center"/>
                </w:tcPr>
                <w:p w14:paraId="399DE780">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bCs/>
                      <w:color w:val="auto"/>
                      <w:spacing w:val="-10"/>
                      <w:sz w:val="21"/>
                      <w:szCs w:val="21"/>
                      <w:lang w:val="en-US" w:eastAsia="zh-CN" w:bidi="ar"/>
                    </w:rPr>
                    <w:t>1</w:t>
                  </w:r>
                  <w:r>
                    <w:rPr>
                      <w:rFonts w:ascii="Times New Roman" w:hAnsi="Times New Roman"/>
                      <w:bCs/>
                      <w:color w:val="auto"/>
                      <w:spacing w:val="-10"/>
                      <w:sz w:val="21"/>
                      <w:szCs w:val="21"/>
                      <w:lang w:bidi="ar"/>
                    </w:rPr>
                    <w:t>00%处置</w:t>
                  </w:r>
                </w:p>
              </w:tc>
            </w:tr>
            <w:tr w14:paraId="21BD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49" w:type="pct"/>
                  <w:vMerge w:val="continue"/>
                  <w:tcBorders>
                    <w:left w:val="single" w:color="auto" w:sz="4" w:space="0"/>
                    <w:right w:val="single" w:color="auto" w:sz="4" w:space="0"/>
                  </w:tcBorders>
                  <w:noWrap w:val="0"/>
                  <w:vAlign w:val="center"/>
                </w:tcPr>
                <w:p w14:paraId="6C7B480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p>
              </w:tc>
              <w:tc>
                <w:tcPr>
                  <w:tcW w:w="732" w:type="pct"/>
                  <w:tcBorders>
                    <w:top w:val="single" w:color="auto" w:sz="4" w:space="0"/>
                    <w:left w:val="single" w:color="auto" w:sz="4" w:space="0"/>
                    <w:right w:val="single" w:color="auto" w:sz="4" w:space="0"/>
                  </w:tcBorders>
                  <w:noWrap w:val="0"/>
                  <w:vAlign w:val="center"/>
                </w:tcPr>
                <w:p w14:paraId="11A8318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z w:val="21"/>
                      <w:szCs w:val="21"/>
                      <w:lang w:bidi="ar"/>
                    </w:rPr>
                    <w:t>生活垃圾</w:t>
                  </w:r>
                </w:p>
              </w:tc>
              <w:tc>
                <w:tcPr>
                  <w:tcW w:w="561" w:type="pct"/>
                  <w:tcBorders>
                    <w:top w:val="single" w:color="auto" w:sz="4" w:space="0"/>
                    <w:left w:val="single" w:color="auto" w:sz="4" w:space="0"/>
                    <w:right w:val="single" w:color="auto" w:sz="4" w:space="0"/>
                  </w:tcBorders>
                  <w:noWrap w:val="0"/>
                  <w:vAlign w:val="center"/>
                </w:tcPr>
                <w:p w14:paraId="36F45CF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lang w:bidi="ar"/>
                    </w:rPr>
                    <w:t>办公生活</w:t>
                  </w:r>
                </w:p>
              </w:tc>
              <w:tc>
                <w:tcPr>
                  <w:tcW w:w="457" w:type="pct"/>
                  <w:tcBorders>
                    <w:top w:val="single" w:color="auto" w:sz="4" w:space="0"/>
                    <w:left w:val="single" w:color="auto" w:sz="4" w:space="0"/>
                    <w:right w:val="single" w:color="auto" w:sz="4" w:space="0"/>
                  </w:tcBorders>
                  <w:noWrap w:val="0"/>
                  <w:vAlign w:val="center"/>
                </w:tcPr>
                <w:p w14:paraId="1E3A1A02">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lang w:bidi="ar"/>
                    </w:rPr>
                    <w:t>/</w:t>
                  </w:r>
                </w:p>
              </w:tc>
              <w:tc>
                <w:tcPr>
                  <w:tcW w:w="304" w:type="pct"/>
                  <w:tcBorders>
                    <w:top w:val="single" w:color="auto" w:sz="4" w:space="0"/>
                    <w:left w:val="single" w:color="auto" w:sz="4" w:space="0"/>
                    <w:right w:val="single" w:color="auto" w:sz="4" w:space="0"/>
                  </w:tcBorders>
                  <w:noWrap w:val="0"/>
                  <w:vAlign w:val="center"/>
                </w:tcPr>
                <w:p w14:paraId="736B1BC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lang w:bidi="ar"/>
                    </w:rPr>
                    <w:t>固态</w:t>
                  </w:r>
                </w:p>
              </w:tc>
              <w:tc>
                <w:tcPr>
                  <w:tcW w:w="362" w:type="pct"/>
                  <w:tcBorders>
                    <w:top w:val="single" w:color="auto" w:sz="4" w:space="0"/>
                    <w:left w:val="single" w:color="auto" w:sz="4" w:space="0"/>
                    <w:right w:val="single" w:color="auto" w:sz="4" w:space="0"/>
                  </w:tcBorders>
                  <w:noWrap w:val="0"/>
                  <w:vAlign w:val="center"/>
                </w:tcPr>
                <w:p w14:paraId="16072F99">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lang w:bidi="ar"/>
                    </w:rPr>
                    <w:t>/</w:t>
                  </w:r>
                </w:p>
              </w:tc>
              <w:tc>
                <w:tcPr>
                  <w:tcW w:w="457" w:type="pct"/>
                  <w:tcBorders>
                    <w:top w:val="single" w:color="auto" w:sz="4" w:space="0"/>
                    <w:left w:val="single" w:color="auto" w:sz="4" w:space="0"/>
                    <w:right w:val="single" w:color="auto" w:sz="4" w:space="0"/>
                  </w:tcBorders>
                  <w:noWrap w:val="0"/>
                  <w:vAlign w:val="center"/>
                </w:tcPr>
                <w:p w14:paraId="170D44C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val="en-US" w:eastAsia="zh-CN"/>
                    </w:rPr>
                    <w:t>3</w:t>
                  </w:r>
                </w:p>
              </w:tc>
              <w:tc>
                <w:tcPr>
                  <w:tcW w:w="473" w:type="pct"/>
                  <w:tcBorders>
                    <w:left w:val="single" w:color="auto" w:sz="4" w:space="0"/>
                    <w:right w:val="single" w:color="auto" w:sz="4" w:space="0"/>
                  </w:tcBorders>
                  <w:noWrap w:val="0"/>
                  <w:vAlign w:val="center"/>
                </w:tcPr>
                <w:p w14:paraId="61DB160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lang w:bidi="ar"/>
                    </w:rPr>
                    <w:t>垃圾桶</w:t>
                  </w:r>
                </w:p>
              </w:tc>
              <w:tc>
                <w:tcPr>
                  <w:tcW w:w="632" w:type="pct"/>
                  <w:vMerge w:val="restart"/>
                  <w:tcBorders>
                    <w:top w:val="single" w:color="auto" w:sz="4" w:space="0"/>
                    <w:left w:val="single" w:color="auto" w:sz="4" w:space="0"/>
                    <w:right w:val="single" w:color="auto" w:sz="4" w:space="0"/>
                  </w:tcBorders>
                  <w:noWrap w:val="0"/>
                  <w:vAlign w:val="center"/>
                </w:tcPr>
                <w:p w14:paraId="08C399F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r>
                    <w:rPr>
                      <w:rFonts w:ascii="Times New Roman" w:hAnsi="Times New Roman"/>
                      <w:color w:val="auto"/>
                      <w:sz w:val="21"/>
                      <w:szCs w:val="21"/>
                    </w:rPr>
                    <w:t>由环卫部门统一清运处置</w:t>
                  </w:r>
                </w:p>
              </w:tc>
              <w:tc>
                <w:tcPr>
                  <w:tcW w:w="449" w:type="pct"/>
                  <w:tcBorders>
                    <w:top w:val="single" w:color="auto" w:sz="4" w:space="0"/>
                    <w:left w:val="single" w:color="auto" w:sz="4" w:space="0"/>
                    <w:right w:val="single" w:color="auto" w:sz="4" w:space="0"/>
                  </w:tcBorders>
                  <w:noWrap w:val="0"/>
                  <w:vAlign w:val="center"/>
                </w:tcPr>
                <w:p w14:paraId="191FD95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val="en-US" w:eastAsia="zh-CN"/>
                    </w:rPr>
                    <w:t>3</w:t>
                  </w:r>
                </w:p>
              </w:tc>
              <w:tc>
                <w:tcPr>
                  <w:tcW w:w="321" w:type="pct"/>
                  <w:vMerge w:val="continue"/>
                  <w:tcBorders>
                    <w:left w:val="single" w:color="auto" w:sz="4" w:space="0"/>
                    <w:right w:val="single" w:color="auto" w:sz="4" w:space="0"/>
                  </w:tcBorders>
                  <w:noWrap w:val="0"/>
                  <w:vAlign w:val="center"/>
                </w:tcPr>
                <w:p w14:paraId="6E08DD48">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p>
              </w:tc>
            </w:tr>
            <w:tr w14:paraId="6E5A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49" w:type="pct"/>
                  <w:vMerge w:val="continue"/>
                  <w:tcBorders>
                    <w:left w:val="single" w:color="auto" w:sz="4" w:space="0"/>
                    <w:right w:val="single" w:color="auto" w:sz="4" w:space="0"/>
                  </w:tcBorders>
                  <w:noWrap w:val="0"/>
                  <w:vAlign w:val="center"/>
                </w:tcPr>
                <w:p w14:paraId="702378C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p>
              </w:tc>
              <w:tc>
                <w:tcPr>
                  <w:tcW w:w="732" w:type="pct"/>
                  <w:tcBorders>
                    <w:top w:val="single" w:color="auto" w:sz="4" w:space="0"/>
                    <w:left w:val="single" w:color="auto" w:sz="4" w:space="0"/>
                    <w:right w:val="single" w:color="auto" w:sz="4" w:space="0"/>
                  </w:tcBorders>
                  <w:noWrap w:val="0"/>
                  <w:vAlign w:val="center"/>
                </w:tcPr>
                <w:p w14:paraId="7D14739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bidi="ar"/>
                    </w:rPr>
                  </w:pPr>
                  <w:r>
                    <w:rPr>
                      <w:rFonts w:hint="eastAsia" w:ascii="Times New Roman" w:hAnsi="Times New Roman"/>
                      <w:color w:val="auto"/>
                      <w:sz w:val="21"/>
                      <w:szCs w:val="21"/>
                      <w:lang w:val="en-US" w:eastAsia="zh-CN" w:bidi="ar"/>
                    </w:rPr>
                    <w:t>厨余垃圾</w:t>
                  </w:r>
                </w:p>
              </w:tc>
              <w:tc>
                <w:tcPr>
                  <w:tcW w:w="561" w:type="pct"/>
                  <w:tcBorders>
                    <w:top w:val="single" w:color="auto" w:sz="4" w:space="0"/>
                    <w:left w:val="single" w:color="auto" w:sz="4" w:space="0"/>
                    <w:right w:val="single" w:color="auto" w:sz="4" w:space="0"/>
                  </w:tcBorders>
                  <w:noWrap w:val="0"/>
                  <w:vAlign w:val="center"/>
                </w:tcPr>
                <w:p w14:paraId="6654D75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办公生活</w:t>
                  </w:r>
                </w:p>
              </w:tc>
              <w:tc>
                <w:tcPr>
                  <w:tcW w:w="457" w:type="pct"/>
                  <w:tcBorders>
                    <w:top w:val="single" w:color="auto" w:sz="4" w:space="0"/>
                    <w:left w:val="single" w:color="auto" w:sz="4" w:space="0"/>
                    <w:right w:val="single" w:color="auto" w:sz="4" w:space="0"/>
                  </w:tcBorders>
                  <w:noWrap w:val="0"/>
                  <w:vAlign w:val="center"/>
                </w:tcPr>
                <w:p w14:paraId="43A5FE76">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w:t>
                  </w:r>
                </w:p>
              </w:tc>
              <w:tc>
                <w:tcPr>
                  <w:tcW w:w="304" w:type="pct"/>
                  <w:tcBorders>
                    <w:top w:val="single" w:color="auto" w:sz="4" w:space="0"/>
                    <w:left w:val="single" w:color="auto" w:sz="4" w:space="0"/>
                    <w:right w:val="single" w:color="auto" w:sz="4" w:space="0"/>
                  </w:tcBorders>
                  <w:noWrap w:val="0"/>
                  <w:vAlign w:val="center"/>
                </w:tcPr>
                <w:p w14:paraId="1039810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固态</w:t>
                  </w:r>
                </w:p>
              </w:tc>
              <w:tc>
                <w:tcPr>
                  <w:tcW w:w="362" w:type="pct"/>
                  <w:tcBorders>
                    <w:top w:val="single" w:color="auto" w:sz="4" w:space="0"/>
                    <w:left w:val="single" w:color="auto" w:sz="4" w:space="0"/>
                    <w:right w:val="single" w:color="auto" w:sz="4" w:space="0"/>
                  </w:tcBorders>
                  <w:noWrap w:val="0"/>
                  <w:vAlign w:val="center"/>
                </w:tcPr>
                <w:p w14:paraId="3754EA79">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w:t>
                  </w:r>
                </w:p>
              </w:tc>
              <w:tc>
                <w:tcPr>
                  <w:tcW w:w="457" w:type="pct"/>
                  <w:tcBorders>
                    <w:top w:val="single" w:color="auto" w:sz="4" w:space="0"/>
                    <w:left w:val="single" w:color="auto" w:sz="4" w:space="0"/>
                    <w:right w:val="single" w:color="auto" w:sz="4" w:space="0"/>
                  </w:tcBorders>
                  <w:noWrap w:val="0"/>
                  <w:vAlign w:val="center"/>
                </w:tcPr>
                <w:p w14:paraId="570F939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1.2</w:t>
                  </w:r>
                </w:p>
              </w:tc>
              <w:tc>
                <w:tcPr>
                  <w:tcW w:w="473" w:type="pct"/>
                  <w:tcBorders>
                    <w:left w:val="single" w:color="auto" w:sz="4" w:space="0"/>
                    <w:right w:val="single" w:color="auto" w:sz="4" w:space="0"/>
                  </w:tcBorders>
                  <w:noWrap w:val="0"/>
                  <w:vAlign w:val="center"/>
                </w:tcPr>
                <w:p w14:paraId="053DD4B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泔水桶</w:t>
                  </w:r>
                </w:p>
              </w:tc>
              <w:tc>
                <w:tcPr>
                  <w:tcW w:w="632" w:type="pct"/>
                  <w:vMerge w:val="continue"/>
                  <w:tcBorders>
                    <w:left w:val="single" w:color="auto" w:sz="4" w:space="0"/>
                    <w:right w:val="single" w:color="auto" w:sz="4" w:space="0"/>
                  </w:tcBorders>
                  <w:noWrap w:val="0"/>
                  <w:vAlign w:val="center"/>
                </w:tcPr>
                <w:p w14:paraId="30AB2E5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p>
              </w:tc>
              <w:tc>
                <w:tcPr>
                  <w:tcW w:w="449" w:type="pct"/>
                  <w:tcBorders>
                    <w:top w:val="single" w:color="auto" w:sz="4" w:space="0"/>
                    <w:left w:val="single" w:color="auto" w:sz="4" w:space="0"/>
                    <w:right w:val="single" w:color="auto" w:sz="4" w:space="0"/>
                  </w:tcBorders>
                  <w:noWrap w:val="0"/>
                  <w:vAlign w:val="center"/>
                </w:tcPr>
                <w:p w14:paraId="0B345FC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1.2</w:t>
                  </w:r>
                </w:p>
              </w:tc>
              <w:tc>
                <w:tcPr>
                  <w:tcW w:w="321" w:type="pct"/>
                  <w:vMerge w:val="continue"/>
                  <w:tcBorders>
                    <w:left w:val="single" w:color="auto" w:sz="4" w:space="0"/>
                    <w:right w:val="single" w:color="auto" w:sz="4" w:space="0"/>
                  </w:tcBorders>
                  <w:noWrap w:val="0"/>
                  <w:vAlign w:val="center"/>
                </w:tcPr>
                <w:p w14:paraId="4E1FB6D9">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p>
              </w:tc>
            </w:tr>
            <w:tr w14:paraId="19F9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49" w:type="pct"/>
                  <w:vMerge w:val="continue"/>
                  <w:tcBorders>
                    <w:left w:val="single" w:color="auto" w:sz="4" w:space="0"/>
                    <w:right w:val="single" w:color="auto" w:sz="4" w:space="0"/>
                  </w:tcBorders>
                  <w:noWrap w:val="0"/>
                  <w:vAlign w:val="center"/>
                </w:tcPr>
                <w:p w14:paraId="2D0238C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p>
              </w:tc>
              <w:tc>
                <w:tcPr>
                  <w:tcW w:w="732" w:type="pct"/>
                  <w:tcBorders>
                    <w:top w:val="single" w:color="auto" w:sz="4" w:space="0"/>
                    <w:left w:val="single" w:color="auto" w:sz="4" w:space="0"/>
                    <w:right w:val="single" w:color="auto" w:sz="4" w:space="0"/>
                  </w:tcBorders>
                  <w:noWrap w:val="0"/>
                  <w:vAlign w:val="center"/>
                </w:tcPr>
                <w:p w14:paraId="2C734F9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隔油池废油</w:t>
                  </w:r>
                </w:p>
              </w:tc>
              <w:tc>
                <w:tcPr>
                  <w:tcW w:w="561" w:type="pct"/>
                  <w:tcBorders>
                    <w:top w:val="single" w:color="auto" w:sz="4" w:space="0"/>
                    <w:left w:val="single" w:color="auto" w:sz="4" w:space="0"/>
                    <w:right w:val="single" w:color="auto" w:sz="4" w:space="0"/>
                  </w:tcBorders>
                  <w:noWrap w:val="0"/>
                  <w:vAlign w:val="center"/>
                </w:tcPr>
                <w:p w14:paraId="24621C3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隔油池</w:t>
                  </w:r>
                </w:p>
              </w:tc>
              <w:tc>
                <w:tcPr>
                  <w:tcW w:w="457" w:type="pct"/>
                  <w:tcBorders>
                    <w:top w:val="single" w:color="auto" w:sz="4" w:space="0"/>
                    <w:left w:val="single" w:color="auto" w:sz="4" w:space="0"/>
                    <w:right w:val="single" w:color="auto" w:sz="4" w:space="0"/>
                  </w:tcBorders>
                  <w:noWrap w:val="0"/>
                  <w:vAlign w:val="center"/>
                </w:tcPr>
                <w:p w14:paraId="1BB7F969">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w:t>
                  </w:r>
                </w:p>
              </w:tc>
              <w:tc>
                <w:tcPr>
                  <w:tcW w:w="304" w:type="pct"/>
                  <w:tcBorders>
                    <w:top w:val="single" w:color="auto" w:sz="4" w:space="0"/>
                    <w:left w:val="single" w:color="auto" w:sz="4" w:space="0"/>
                    <w:right w:val="single" w:color="auto" w:sz="4" w:space="0"/>
                  </w:tcBorders>
                  <w:noWrap w:val="0"/>
                  <w:vAlign w:val="center"/>
                </w:tcPr>
                <w:p w14:paraId="61AC758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液态</w:t>
                  </w:r>
                </w:p>
              </w:tc>
              <w:tc>
                <w:tcPr>
                  <w:tcW w:w="362" w:type="pct"/>
                  <w:tcBorders>
                    <w:top w:val="single" w:color="auto" w:sz="4" w:space="0"/>
                    <w:left w:val="single" w:color="auto" w:sz="4" w:space="0"/>
                    <w:right w:val="single" w:color="auto" w:sz="4" w:space="0"/>
                  </w:tcBorders>
                  <w:noWrap w:val="0"/>
                  <w:vAlign w:val="center"/>
                </w:tcPr>
                <w:p w14:paraId="7AF16CA9">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w:t>
                  </w:r>
                </w:p>
              </w:tc>
              <w:tc>
                <w:tcPr>
                  <w:tcW w:w="457" w:type="pct"/>
                  <w:tcBorders>
                    <w:top w:val="single" w:color="auto" w:sz="4" w:space="0"/>
                    <w:left w:val="single" w:color="auto" w:sz="4" w:space="0"/>
                    <w:right w:val="single" w:color="auto" w:sz="4" w:space="0"/>
                  </w:tcBorders>
                  <w:noWrap w:val="0"/>
                  <w:vAlign w:val="center"/>
                </w:tcPr>
                <w:p w14:paraId="41DFEF2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z w:val="21"/>
                      <w:szCs w:val="21"/>
                    </w:rPr>
                    <w:t>0.0</w:t>
                  </w:r>
                  <w:r>
                    <w:rPr>
                      <w:rFonts w:hint="eastAsia"/>
                      <w:color w:val="auto"/>
                      <w:sz w:val="21"/>
                      <w:szCs w:val="21"/>
                      <w:lang w:val="en-US" w:eastAsia="zh-CN"/>
                    </w:rPr>
                    <w:t>019</w:t>
                  </w:r>
                </w:p>
              </w:tc>
              <w:tc>
                <w:tcPr>
                  <w:tcW w:w="473" w:type="pct"/>
                  <w:tcBorders>
                    <w:left w:val="single" w:color="auto" w:sz="4" w:space="0"/>
                    <w:right w:val="single" w:color="auto" w:sz="4" w:space="0"/>
                  </w:tcBorders>
                  <w:noWrap w:val="0"/>
                  <w:vAlign w:val="center"/>
                </w:tcPr>
                <w:p w14:paraId="2F2D3B9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密闭容器</w:t>
                  </w:r>
                </w:p>
              </w:tc>
              <w:tc>
                <w:tcPr>
                  <w:tcW w:w="632" w:type="pct"/>
                  <w:vMerge w:val="continue"/>
                  <w:tcBorders>
                    <w:left w:val="single" w:color="auto" w:sz="4" w:space="0"/>
                    <w:right w:val="single" w:color="auto" w:sz="4" w:space="0"/>
                  </w:tcBorders>
                  <w:noWrap w:val="0"/>
                  <w:vAlign w:val="center"/>
                </w:tcPr>
                <w:p w14:paraId="3D08F5A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p>
              </w:tc>
              <w:tc>
                <w:tcPr>
                  <w:tcW w:w="449" w:type="pct"/>
                  <w:tcBorders>
                    <w:top w:val="single" w:color="auto" w:sz="4" w:space="0"/>
                    <w:left w:val="single" w:color="auto" w:sz="4" w:space="0"/>
                    <w:right w:val="single" w:color="auto" w:sz="4" w:space="0"/>
                  </w:tcBorders>
                  <w:noWrap w:val="0"/>
                  <w:vAlign w:val="center"/>
                </w:tcPr>
                <w:p w14:paraId="7107F3C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z w:val="21"/>
                      <w:szCs w:val="21"/>
                    </w:rPr>
                    <w:t>0.0</w:t>
                  </w:r>
                  <w:r>
                    <w:rPr>
                      <w:rFonts w:hint="eastAsia"/>
                      <w:color w:val="auto"/>
                      <w:sz w:val="21"/>
                      <w:szCs w:val="21"/>
                      <w:lang w:val="en-US" w:eastAsia="zh-CN"/>
                    </w:rPr>
                    <w:t>019</w:t>
                  </w:r>
                </w:p>
              </w:tc>
              <w:tc>
                <w:tcPr>
                  <w:tcW w:w="321" w:type="pct"/>
                  <w:vMerge w:val="continue"/>
                  <w:tcBorders>
                    <w:left w:val="single" w:color="auto" w:sz="4" w:space="0"/>
                    <w:right w:val="single" w:color="auto" w:sz="4" w:space="0"/>
                  </w:tcBorders>
                  <w:noWrap w:val="0"/>
                  <w:vAlign w:val="center"/>
                </w:tcPr>
                <w:p w14:paraId="69B5E5F7">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p>
              </w:tc>
            </w:tr>
            <w:tr w14:paraId="466C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49" w:type="pct"/>
                  <w:vMerge w:val="continue"/>
                  <w:tcBorders>
                    <w:left w:val="single" w:color="auto" w:sz="4" w:space="0"/>
                    <w:right w:val="single" w:color="auto" w:sz="4" w:space="0"/>
                  </w:tcBorders>
                  <w:noWrap w:val="0"/>
                  <w:vAlign w:val="center"/>
                </w:tcPr>
                <w:p w14:paraId="50C3BD9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p>
              </w:tc>
              <w:tc>
                <w:tcPr>
                  <w:tcW w:w="732" w:type="pct"/>
                  <w:tcBorders>
                    <w:top w:val="single" w:color="auto" w:sz="4" w:space="0"/>
                    <w:left w:val="single" w:color="auto" w:sz="4" w:space="0"/>
                    <w:right w:val="single" w:color="auto" w:sz="4" w:space="0"/>
                  </w:tcBorders>
                  <w:noWrap w:val="0"/>
                  <w:vAlign w:val="center"/>
                </w:tcPr>
                <w:p w14:paraId="4086C8C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val="en-US" w:eastAsia="zh-CN" w:bidi="ar"/>
                    </w:rPr>
                    <w:t>化粪池及污水站</w:t>
                  </w:r>
                  <w:r>
                    <w:rPr>
                      <w:rFonts w:hint="default" w:ascii="Times New Roman" w:hAnsi="Times New Roman" w:eastAsia="宋体" w:cs="Times New Roman"/>
                      <w:color w:val="auto"/>
                      <w:sz w:val="21"/>
                      <w:szCs w:val="21"/>
                      <w:lang w:val="en-US" w:eastAsia="zh-CN" w:bidi="ar"/>
                    </w:rPr>
                    <w:t>污泥</w:t>
                  </w:r>
                </w:p>
              </w:tc>
              <w:tc>
                <w:tcPr>
                  <w:tcW w:w="561" w:type="pct"/>
                  <w:tcBorders>
                    <w:top w:val="single" w:color="auto" w:sz="4" w:space="0"/>
                    <w:left w:val="single" w:color="auto" w:sz="4" w:space="0"/>
                    <w:right w:val="single" w:color="auto" w:sz="4" w:space="0"/>
                  </w:tcBorders>
                  <w:noWrap w:val="0"/>
                  <w:vAlign w:val="center"/>
                </w:tcPr>
                <w:p w14:paraId="63F8D35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val="en-US" w:eastAsia="zh-CN" w:bidi="ar"/>
                    </w:rPr>
                    <w:t>化粪池及污水站</w:t>
                  </w:r>
                </w:p>
              </w:tc>
              <w:tc>
                <w:tcPr>
                  <w:tcW w:w="457" w:type="pct"/>
                  <w:tcBorders>
                    <w:top w:val="single" w:color="auto" w:sz="4" w:space="0"/>
                    <w:left w:val="single" w:color="auto" w:sz="4" w:space="0"/>
                    <w:right w:val="single" w:color="auto" w:sz="4" w:space="0"/>
                  </w:tcBorders>
                  <w:noWrap w:val="0"/>
                  <w:vAlign w:val="center"/>
                </w:tcPr>
                <w:p w14:paraId="31AE7FF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304" w:type="pct"/>
                  <w:tcBorders>
                    <w:top w:val="single" w:color="auto" w:sz="4" w:space="0"/>
                    <w:left w:val="single" w:color="auto" w:sz="4" w:space="0"/>
                    <w:right w:val="single" w:color="auto" w:sz="4" w:space="0"/>
                  </w:tcBorders>
                  <w:noWrap w:val="0"/>
                  <w:vAlign w:val="center"/>
                </w:tcPr>
                <w:p w14:paraId="5033A23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固态</w:t>
                  </w:r>
                </w:p>
              </w:tc>
              <w:tc>
                <w:tcPr>
                  <w:tcW w:w="362" w:type="pct"/>
                  <w:tcBorders>
                    <w:top w:val="single" w:color="auto" w:sz="4" w:space="0"/>
                    <w:left w:val="single" w:color="auto" w:sz="4" w:space="0"/>
                    <w:right w:val="single" w:color="auto" w:sz="4" w:space="0"/>
                  </w:tcBorders>
                  <w:noWrap w:val="0"/>
                  <w:vAlign w:val="center"/>
                </w:tcPr>
                <w:p w14:paraId="1C1EE5BF">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olor w:val="auto"/>
                      <w:sz w:val="21"/>
                      <w:szCs w:val="21"/>
                      <w:lang w:val="en-US" w:eastAsia="zh-CN" w:bidi="ar"/>
                    </w:rPr>
                  </w:pPr>
                  <w:r>
                    <w:rPr>
                      <w:rFonts w:hint="eastAsia"/>
                      <w:color w:val="auto"/>
                      <w:sz w:val="21"/>
                      <w:szCs w:val="21"/>
                      <w:lang w:val="en-US" w:eastAsia="zh-CN" w:bidi="ar"/>
                    </w:rPr>
                    <w:t>/</w:t>
                  </w:r>
                </w:p>
              </w:tc>
              <w:tc>
                <w:tcPr>
                  <w:tcW w:w="457" w:type="pct"/>
                  <w:tcBorders>
                    <w:top w:val="single" w:color="auto" w:sz="4" w:space="0"/>
                    <w:left w:val="single" w:color="auto" w:sz="4" w:space="0"/>
                    <w:right w:val="single" w:color="auto" w:sz="4" w:space="0"/>
                  </w:tcBorders>
                  <w:noWrap w:val="0"/>
                  <w:vAlign w:val="center"/>
                </w:tcPr>
                <w:p w14:paraId="1578335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0.099</w:t>
                  </w:r>
                </w:p>
              </w:tc>
              <w:tc>
                <w:tcPr>
                  <w:tcW w:w="473" w:type="pct"/>
                  <w:tcBorders>
                    <w:left w:val="single" w:color="auto" w:sz="4" w:space="0"/>
                    <w:right w:val="single" w:color="auto" w:sz="4" w:space="0"/>
                  </w:tcBorders>
                  <w:noWrap w:val="0"/>
                  <w:vAlign w:val="center"/>
                </w:tcPr>
                <w:p w14:paraId="3935DDB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hint="eastAsia" w:ascii="Times New Roman" w:hAnsi="Times New Roman" w:eastAsia="宋体" w:cs="Times New Roman"/>
                      <w:color w:val="auto"/>
                      <w:sz w:val="21"/>
                      <w:szCs w:val="21"/>
                      <w:lang w:val="en-US" w:eastAsia="zh-CN" w:bidi="ar"/>
                    </w:rPr>
                    <w:t>化粪池及污水站</w:t>
                  </w:r>
                </w:p>
              </w:tc>
              <w:tc>
                <w:tcPr>
                  <w:tcW w:w="632" w:type="pct"/>
                  <w:tcBorders>
                    <w:top w:val="single" w:color="auto" w:sz="4" w:space="0"/>
                    <w:left w:val="single" w:color="auto" w:sz="4" w:space="0"/>
                    <w:right w:val="single" w:color="auto" w:sz="4" w:space="0"/>
                  </w:tcBorders>
                  <w:noWrap w:val="0"/>
                  <w:vAlign w:val="center"/>
                </w:tcPr>
                <w:p w14:paraId="30CDF99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r>
                    <w:rPr>
                      <w:rFonts w:hint="eastAsia" w:cs="Times New Roman"/>
                      <w:color w:val="auto"/>
                      <w:sz w:val="21"/>
                      <w:szCs w:val="21"/>
                      <w:lang w:eastAsia="zh-CN" w:bidi="ar"/>
                    </w:rPr>
                    <w:t>定期清掏用于周边农户农田施肥</w:t>
                  </w:r>
                </w:p>
              </w:tc>
              <w:tc>
                <w:tcPr>
                  <w:tcW w:w="449" w:type="pct"/>
                  <w:tcBorders>
                    <w:top w:val="single" w:color="auto" w:sz="4" w:space="0"/>
                    <w:left w:val="single" w:color="auto" w:sz="4" w:space="0"/>
                    <w:right w:val="single" w:color="auto" w:sz="4" w:space="0"/>
                  </w:tcBorders>
                  <w:noWrap w:val="0"/>
                  <w:vAlign w:val="center"/>
                </w:tcPr>
                <w:p w14:paraId="7BD1A50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0.099</w:t>
                  </w:r>
                </w:p>
              </w:tc>
              <w:tc>
                <w:tcPr>
                  <w:tcW w:w="321" w:type="pct"/>
                  <w:vMerge w:val="continue"/>
                  <w:tcBorders>
                    <w:left w:val="single" w:color="auto" w:sz="4" w:space="0"/>
                    <w:right w:val="single" w:color="auto" w:sz="4" w:space="0"/>
                  </w:tcBorders>
                  <w:noWrap w:val="0"/>
                  <w:vAlign w:val="center"/>
                </w:tcPr>
                <w:p w14:paraId="67FEE4F1">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p>
              </w:tc>
            </w:tr>
            <w:tr w14:paraId="66FC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249" w:type="pct"/>
                  <w:vMerge w:val="restart"/>
                  <w:tcBorders>
                    <w:top w:val="single" w:color="auto" w:sz="4" w:space="0"/>
                    <w:left w:val="single" w:color="auto" w:sz="4" w:space="0"/>
                    <w:right w:val="single" w:color="auto" w:sz="4" w:space="0"/>
                  </w:tcBorders>
                  <w:noWrap w:val="0"/>
                  <w:vAlign w:val="center"/>
                </w:tcPr>
                <w:p w14:paraId="377EEE8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lang w:bidi="ar"/>
                    </w:rPr>
                  </w:pPr>
                  <w:r>
                    <w:rPr>
                      <w:rFonts w:ascii="Times New Roman" w:hAnsi="Times New Roman"/>
                      <w:bCs/>
                      <w:color w:val="auto"/>
                      <w:sz w:val="21"/>
                      <w:szCs w:val="21"/>
                      <w:lang w:bidi="ar"/>
                    </w:rPr>
                    <w:t>危险废物</w:t>
                  </w:r>
                </w:p>
              </w:tc>
              <w:tc>
                <w:tcPr>
                  <w:tcW w:w="732" w:type="pct"/>
                  <w:tcBorders>
                    <w:top w:val="single" w:color="auto" w:sz="4" w:space="0"/>
                    <w:left w:val="single" w:color="auto" w:sz="4" w:space="0"/>
                    <w:right w:val="single" w:color="auto" w:sz="4" w:space="0"/>
                  </w:tcBorders>
                  <w:noWrap w:val="0"/>
                  <w:vAlign w:val="center"/>
                </w:tcPr>
                <w:p w14:paraId="1289E00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r>
                    <w:rPr>
                      <w:rFonts w:hint="eastAsia" w:ascii="Times New Roman" w:hAnsi="Times New Roman"/>
                      <w:color w:val="auto"/>
                      <w:sz w:val="21"/>
                      <w:szCs w:val="21"/>
                      <w:lang w:val="en-US" w:eastAsia="zh-CN"/>
                    </w:rPr>
                    <w:t>含油</w:t>
                  </w:r>
                  <w:r>
                    <w:rPr>
                      <w:rFonts w:ascii="Times New Roman" w:hAnsi="Times New Roman"/>
                      <w:color w:val="auto"/>
                      <w:sz w:val="21"/>
                      <w:szCs w:val="21"/>
                    </w:rPr>
                    <w:t>污泥</w:t>
                  </w:r>
                  <w:r>
                    <w:rPr>
                      <w:rFonts w:ascii="Times New Roman" w:hAnsi="Times New Roman"/>
                      <w:bCs/>
                      <w:color w:val="auto"/>
                      <w:sz w:val="21"/>
                      <w:szCs w:val="21"/>
                      <w:lang w:bidi="ar"/>
                    </w:rPr>
                    <w:t>（900-21</w:t>
                  </w:r>
                  <w:r>
                    <w:rPr>
                      <w:rFonts w:hint="eastAsia" w:ascii="Times New Roman" w:hAnsi="Times New Roman"/>
                      <w:bCs/>
                      <w:color w:val="auto"/>
                      <w:sz w:val="21"/>
                      <w:szCs w:val="21"/>
                      <w:lang w:val="en-US" w:eastAsia="zh-CN" w:bidi="ar"/>
                    </w:rPr>
                    <w:t>0</w:t>
                  </w:r>
                  <w:r>
                    <w:rPr>
                      <w:rFonts w:ascii="Times New Roman" w:hAnsi="Times New Roman"/>
                      <w:bCs/>
                      <w:color w:val="auto"/>
                      <w:sz w:val="21"/>
                      <w:szCs w:val="21"/>
                      <w:lang w:bidi="ar"/>
                    </w:rPr>
                    <w:t>-08）</w:t>
                  </w:r>
                </w:p>
              </w:tc>
              <w:tc>
                <w:tcPr>
                  <w:tcW w:w="561" w:type="pct"/>
                  <w:tcBorders>
                    <w:top w:val="single" w:color="auto" w:sz="4" w:space="0"/>
                    <w:left w:val="single" w:color="auto" w:sz="4" w:space="0"/>
                    <w:right w:val="single" w:color="auto" w:sz="4" w:space="0"/>
                  </w:tcBorders>
                  <w:noWrap w:val="0"/>
                  <w:vAlign w:val="center"/>
                </w:tcPr>
                <w:p w14:paraId="5B31D88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eastAsia"/>
                      <w:color w:val="auto"/>
                      <w:sz w:val="21"/>
                      <w:szCs w:val="21"/>
                      <w:lang w:val="en-US" w:eastAsia="zh-CN"/>
                    </w:rPr>
                    <w:t>三级隔油沉淀池</w:t>
                  </w:r>
                </w:p>
              </w:tc>
              <w:tc>
                <w:tcPr>
                  <w:tcW w:w="457" w:type="pct"/>
                  <w:tcBorders>
                    <w:top w:val="single" w:color="auto" w:sz="4" w:space="0"/>
                    <w:left w:val="single" w:color="auto" w:sz="4" w:space="0"/>
                    <w:right w:val="single" w:color="auto" w:sz="4" w:space="0"/>
                  </w:tcBorders>
                  <w:noWrap w:val="0"/>
                  <w:vAlign w:val="center"/>
                </w:tcPr>
                <w:p w14:paraId="3137B8FE">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rPr>
                    <w:t>含油废物</w:t>
                  </w:r>
                </w:p>
              </w:tc>
              <w:tc>
                <w:tcPr>
                  <w:tcW w:w="304" w:type="pct"/>
                  <w:tcBorders>
                    <w:top w:val="single" w:color="auto" w:sz="4" w:space="0"/>
                    <w:left w:val="single" w:color="auto" w:sz="4" w:space="0"/>
                    <w:right w:val="single" w:color="auto" w:sz="4" w:space="0"/>
                  </w:tcBorders>
                  <w:noWrap w:val="0"/>
                  <w:vAlign w:val="center"/>
                </w:tcPr>
                <w:p w14:paraId="4585304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lang w:bidi="ar"/>
                    </w:rPr>
                    <w:t>固态</w:t>
                  </w:r>
                </w:p>
              </w:tc>
              <w:tc>
                <w:tcPr>
                  <w:tcW w:w="362" w:type="pct"/>
                  <w:tcBorders>
                    <w:top w:val="single" w:color="auto" w:sz="4" w:space="0"/>
                    <w:left w:val="single" w:color="auto" w:sz="4" w:space="0"/>
                    <w:right w:val="single" w:color="auto" w:sz="4" w:space="0"/>
                  </w:tcBorders>
                  <w:noWrap w:val="0"/>
                  <w:vAlign w:val="center"/>
                </w:tcPr>
                <w:p w14:paraId="30BEF7A8">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rPr>
                    <w:t>/</w:t>
                  </w:r>
                </w:p>
              </w:tc>
              <w:tc>
                <w:tcPr>
                  <w:tcW w:w="457" w:type="pct"/>
                  <w:tcBorders>
                    <w:top w:val="single" w:color="auto" w:sz="4" w:space="0"/>
                    <w:left w:val="single" w:color="auto" w:sz="4" w:space="0"/>
                    <w:right w:val="single" w:color="auto" w:sz="4" w:space="0"/>
                  </w:tcBorders>
                  <w:noWrap w:val="0"/>
                  <w:vAlign w:val="center"/>
                </w:tcPr>
                <w:p w14:paraId="4360E4B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olor w:val="auto"/>
                      <w:sz w:val="21"/>
                      <w:szCs w:val="21"/>
                      <w:lang w:val="en-US"/>
                    </w:rPr>
                  </w:pPr>
                  <w:r>
                    <w:rPr>
                      <w:rFonts w:hint="eastAsia"/>
                      <w:color w:val="auto"/>
                      <w:sz w:val="21"/>
                      <w:szCs w:val="21"/>
                      <w:lang w:val="en-US" w:eastAsia="zh-CN"/>
                    </w:rPr>
                    <w:t>0.373</w:t>
                  </w:r>
                </w:p>
              </w:tc>
              <w:tc>
                <w:tcPr>
                  <w:tcW w:w="473" w:type="pct"/>
                  <w:vMerge w:val="restart"/>
                  <w:tcBorders>
                    <w:top w:val="single" w:color="auto" w:sz="4" w:space="0"/>
                    <w:left w:val="single" w:color="auto" w:sz="4" w:space="0"/>
                    <w:right w:val="single" w:color="auto" w:sz="4" w:space="0"/>
                  </w:tcBorders>
                  <w:noWrap w:val="0"/>
                  <w:vAlign w:val="center"/>
                </w:tcPr>
                <w:p w14:paraId="5B609FE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危废暂存间</w:t>
                  </w:r>
                </w:p>
              </w:tc>
              <w:tc>
                <w:tcPr>
                  <w:tcW w:w="632" w:type="pct"/>
                  <w:vMerge w:val="restart"/>
                  <w:tcBorders>
                    <w:top w:val="single" w:color="auto" w:sz="4" w:space="0"/>
                    <w:left w:val="single" w:color="auto" w:sz="4" w:space="0"/>
                    <w:right w:val="single" w:color="auto" w:sz="4" w:space="0"/>
                  </w:tcBorders>
                  <w:noWrap w:val="0"/>
                  <w:vAlign w:val="center"/>
                </w:tcPr>
                <w:p w14:paraId="1269767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委托相关资质单位处置</w:t>
                  </w:r>
                </w:p>
              </w:tc>
              <w:tc>
                <w:tcPr>
                  <w:tcW w:w="449" w:type="pct"/>
                  <w:tcBorders>
                    <w:top w:val="single" w:color="auto" w:sz="4" w:space="0"/>
                    <w:left w:val="single" w:color="auto" w:sz="4" w:space="0"/>
                    <w:right w:val="single" w:color="auto" w:sz="4" w:space="0"/>
                  </w:tcBorders>
                  <w:noWrap w:val="0"/>
                  <w:vAlign w:val="center"/>
                </w:tcPr>
                <w:p w14:paraId="36F2147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olor w:val="auto"/>
                      <w:sz w:val="21"/>
                      <w:szCs w:val="21"/>
                      <w:lang w:val="en-US"/>
                    </w:rPr>
                  </w:pPr>
                  <w:r>
                    <w:rPr>
                      <w:rFonts w:hint="eastAsia"/>
                      <w:color w:val="auto"/>
                      <w:sz w:val="21"/>
                      <w:szCs w:val="21"/>
                      <w:lang w:val="en-US" w:eastAsia="zh-CN"/>
                    </w:rPr>
                    <w:t>0.373</w:t>
                  </w:r>
                </w:p>
              </w:tc>
              <w:tc>
                <w:tcPr>
                  <w:tcW w:w="321" w:type="pct"/>
                  <w:tcBorders>
                    <w:top w:val="single" w:color="auto" w:sz="4" w:space="0"/>
                    <w:left w:val="single" w:color="auto" w:sz="4" w:space="0"/>
                    <w:right w:val="single" w:color="auto" w:sz="4" w:space="0"/>
                  </w:tcBorders>
                  <w:noWrap w:val="0"/>
                  <w:vAlign w:val="center"/>
                </w:tcPr>
                <w:p w14:paraId="4298C38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pacing w:val="-10"/>
                      <w:sz w:val="21"/>
                      <w:szCs w:val="21"/>
                      <w:lang w:bidi="ar"/>
                    </w:rPr>
                  </w:pPr>
                </w:p>
              </w:tc>
            </w:tr>
            <w:tr w14:paraId="1D39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49" w:type="pct"/>
                  <w:vMerge w:val="continue"/>
                  <w:tcBorders>
                    <w:left w:val="single" w:color="auto" w:sz="4" w:space="0"/>
                    <w:right w:val="single" w:color="auto" w:sz="4" w:space="0"/>
                  </w:tcBorders>
                  <w:noWrap w:val="0"/>
                  <w:vAlign w:val="center"/>
                </w:tcPr>
                <w:p w14:paraId="29C7216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lang w:bidi="ar"/>
                    </w:rPr>
                  </w:pPr>
                </w:p>
              </w:tc>
              <w:tc>
                <w:tcPr>
                  <w:tcW w:w="732" w:type="pct"/>
                  <w:tcBorders>
                    <w:top w:val="single" w:color="auto" w:sz="4" w:space="0"/>
                    <w:left w:val="single" w:color="auto" w:sz="4" w:space="0"/>
                    <w:right w:val="single" w:color="auto" w:sz="4" w:space="0"/>
                  </w:tcBorders>
                  <w:noWrap w:val="0"/>
                  <w:vAlign w:val="center"/>
                </w:tcPr>
                <w:p w14:paraId="3D1DF73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废活性炭</w:t>
                  </w:r>
                </w:p>
                <w:p w14:paraId="72C1772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（900-039-49）</w:t>
                  </w:r>
                </w:p>
              </w:tc>
              <w:tc>
                <w:tcPr>
                  <w:tcW w:w="561" w:type="pct"/>
                  <w:tcBorders>
                    <w:top w:val="single" w:color="auto" w:sz="4" w:space="0"/>
                    <w:left w:val="single" w:color="auto" w:sz="4" w:space="0"/>
                    <w:right w:val="single" w:color="auto" w:sz="4" w:space="0"/>
                  </w:tcBorders>
                  <w:noWrap w:val="0"/>
                  <w:vAlign w:val="center"/>
                </w:tcPr>
                <w:p w14:paraId="1EF6E2B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活性炭吸附</w:t>
                  </w:r>
                </w:p>
              </w:tc>
              <w:tc>
                <w:tcPr>
                  <w:tcW w:w="457" w:type="pct"/>
                  <w:tcBorders>
                    <w:top w:val="single" w:color="auto" w:sz="4" w:space="0"/>
                    <w:left w:val="single" w:color="auto" w:sz="4" w:space="0"/>
                    <w:right w:val="single" w:color="auto" w:sz="4" w:space="0"/>
                  </w:tcBorders>
                  <w:noWrap w:val="0"/>
                  <w:vAlign w:val="center"/>
                </w:tcPr>
                <w:p w14:paraId="1EE49F34">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有机废物</w:t>
                  </w:r>
                </w:p>
              </w:tc>
              <w:tc>
                <w:tcPr>
                  <w:tcW w:w="304" w:type="pct"/>
                  <w:tcBorders>
                    <w:top w:val="single" w:color="auto" w:sz="4" w:space="0"/>
                    <w:left w:val="single" w:color="auto" w:sz="4" w:space="0"/>
                    <w:right w:val="single" w:color="auto" w:sz="4" w:space="0"/>
                  </w:tcBorders>
                  <w:noWrap w:val="0"/>
                  <w:vAlign w:val="center"/>
                </w:tcPr>
                <w:p w14:paraId="63EC498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固态</w:t>
                  </w:r>
                </w:p>
              </w:tc>
              <w:tc>
                <w:tcPr>
                  <w:tcW w:w="362" w:type="pct"/>
                  <w:tcBorders>
                    <w:top w:val="single" w:color="auto" w:sz="4" w:space="0"/>
                    <w:left w:val="single" w:color="auto" w:sz="4" w:space="0"/>
                    <w:right w:val="single" w:color="auto" w:sz="4" w:space="0"/>
                  </w:tcBorders>
                  <w:noWrap w:val="0"/>
                  <w:vAlign w:val="center"/>
                </w:tcPr>
                <w:p w14:paraId="7EDF40F7">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lang w:bidi="ar"/>
                    </w:rPr>
                    <w:t>T</w:t>
                  </w:r>
                </w:p>
              </w:tc>
              <w:tc>
                <w:tcPr>
                  <w:tcW w:w="457" w:type="pct"/>
                  <w:tcBorders>
                    <w:top w:val="single" w:color="auto" w:sz="4" w:space="0"/>
                    <w:left w:val="single" w:color="auto" w:sz="4" w:space="0"/>
                    <w:right w:val="single" w:color="auto" w:sz="4" w:space="0"/>
                  </w:tcBorders>
                  <w:noWrap w:val="0"/>
                  <w:vAlign w:val="center"/>
                </w:tcPr>
                <w:p w14:paraId="4203F5B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z w:val="21"/>
                      <w:szCs w:val="21"/>
                    </w:rPr>
                    <w:t>0.00</w:t>
                  </w:r>
                  <w:r>
                    <w:rPr>
                      <w:rFonts w:hint="eastAsia"/>
                      <w:color w:val="auto"/>
                      <w:sz w:val="21"/>
                      <w:szCs w:val="21"/>
                      <w:lang w:val="en-US" w:eastAsia="zh-CN"/>
                    </w:rPr>
                    <w:t>48</w:t>
                  </w:r>
                </w:p>
              </w:tc>
              <w:tc>
                <w:tcPr>
                  <w:tcW w:w="473" w:type="pct"/>
                  <w:vMerge w:val="continue"/>
                  <w:tcBorders>
                    <w:left w:val="single" w:color="auto" w:sz="4" w:space="0"/>
                    <w:right w:val="single" w:color="auto" w:sz="4" w:space="0"/>
                  </w:tcBorders>
                  <w:noWrap w:val="0"/>
                  <w:vAlign w:val="center"/>
                </w:tcPr>
                <w:p w14:paraId="43B81B9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p>
              </w:tc>
              <w:tc>
                <w:tcPr>
                  <w:tcW w:w="632" w:type="pct"/>
                  <w:vMerge w:val="continue"/>
                  <w:tcBorders>
                    <w:left w:val="single" w:color="auto" w:sz="4" w:space="0"/>
                    <w:right w:val="single" w:color="auto" w:sz="4" w:space="0"/>
                  </w:tcBorders>
                  <w:noWrap w:val="0"/>
                  <w:vAlign w:val="center"/>
                </w:tcPr>
                <w:p w14:paraId="1E91CF5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p>
              </w:tc>
              <w:tc>
                <w:tcPr>
                  <w:tcW w:w="449" w:type="pct"/>
                  <w:tcBorders>
                    <w:top w:val="single" w:color="auto" w:sz="4" w:space="0"/>
                    <w:left w:val="single" w:color="auto" w:sz="4" w:space="0"/>
                    <w:right w:val="single" w:color="auto" w:sz="4" w:space="0"/>
                  </w:tcBorders>
                  <w:noWrap w:val="0"/>
                  <w:vAlign w:val="center"/>
                </w:tcPr>
                <w:p w14:paraId="000CA5B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0.00</w:t>
                  </w:r>
                  <w:r>
                    <w:rPr>
                      <w:rFonts w:hint="eastAsia"/>
                      <w:color w:val="auto"/>
                      <w:sz w:val="21"/>
                      <w:szCs w:val="21"/>
                      <w:lang w:val="en-US" w:eastAsia="zh-CN"/>
                    </w:rPr>
                    <w:t>48</w:t>
                  </w:r>
                </w:p>
              </w:tc>
              <w:tc>
                <w:tcPr>
                  <w:tcW w:w="321" w:type="pct"/>
                  <w:vMerge w:val="restart"/>
                  <w:tcBorders>
                    <w:top w:val="single" w:color="auto" w:sz="4" w:space="0"/>
                    <w:left w:val="single" w:color="auto" w:sz="4" w:space="0"/>
                    <w:right w:val="single" w:color="auto" w:sz="4" w:space="0"/>
                  </w:tcBorders>
                  <w:noWrap w:val="0"/>
                  <w:vAlign w:val="center"/>
                </w:tcPr>
                <w:p w14:paraId="33BFF16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pacing w:val="-10"/>
                      <w:sz w:val="21"/>
                      <w:szCs w:val="21"/>
                    </w:rPr>
                  </w:pPr>
                  <w:r>
                    <w:rPr>
                      <w:rFonts w:ascii="Times New Roman" w:hAnsi="Times New Roman"/>
                      <w:bCs/>
                      <w:color w:val="auto"/>
                      <w:spacing w:val="-10"/>
                      <w:sz w:val="21"/>
                      <w:szCs w:val="21"/>
                      <w:lang w:bidi="ar"/>
                    </w:rPr>
                    <w:t>100%处置</w:t>
                  </w:r>
                </w:p>
              </w:tc>
            </w:tr>
            <w:tr w14:paraId="1A36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9" w:type="pct"/>
                  <w:vMerge w:val="continue"/>
                  <w:tcBorders>
                    <w:left w:val="single" w:color="auto" w:sz="4" w:space="0"/>
                    <w:right w:val="single" w:color="auto" w:sz="4" w:space="0"/>
                  </w:tcBorders>
                  <w:noWrap w:val="0"/>
                  <w:vAlign w:val="center"/>
                </w:tcPr>
                <w:p w14:paraId="17E3F71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lang w:bidi="ar"/>
                    </w:rPr>
                  </w:pPr>
                </w:p>
              </w:tc>
              <w:tc>
                <w:tcPr>
                  <w:tcW w:w="732" w:type="pct"/>
                  <w:tcBorders>
                    <w:top w:val="single" w:color="auto" w:sz="4" w:space="0"/>
                    <w:left w:val="single" w:color="auto" w:sz="4" w:space="0"/>
                    <w:bottom w:val="single" w:color="auto" w:sz="4" w:space="0"/>
                    <w:right w:val="single" w:color="auto" w:sz="4" w:space="0"/>
                  </w:tcBorders>
                  <w:noWrap w:val="0"/>
                  <w:vAlign w:val="center"/>
                </w:tcPr>
                <w:p w14:paraId="4B612A6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lang w:bidi="ar"/>
                    </w:rPr>
                  </w:pPr>
                  <w:r>
                    <w:rPr>
                      <w:rFonts w:ascii="Times New Roman" w:hAnsi="Times New Roman"/>
                      <w:bCs/>
                      <w:color w:val="auto"/>
                      <w:sz w:val="21"/>
                      <w:szCs w:val="21"/>
                      <w:lang w:bidi="ar"/>
                    </w:rPr>
                    <w:t>废机油（900-214-08）</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839237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设备保养</w:t>
                  </w:r>
                </w:p>
              </w:tc>
              <w:tc>
                <w:tcPr>
                  <w:tcW w:w="457" w:type="pct"/>
                  <w:tcBorders>
                    <w:top w:val="single" w:color="auto" w:sz="4" w:space="0"/>
                    <w:left w:val="single" w:color="auto" w:sz="4" w:space="0"/>
                    <w:bottom w:val="single" w:color="auto" w:sz="4" w:space="0"/>
                    <w:right w:val="single" w:color="auto" w:sz="4" w:space="0"/>
                  </w:tcBorders>
                  <w:noWrap w:val="0"/>
                  <w:vAlign w:val="center"/>
                </w:tcPr>
                <w:p w14:paraId="274B215F">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机油</w:t>
                  </w:r>
                </w:p>
              </w:tc>
              <w:tc>
                <w:tcPr>
                  <w:tcW w:w="304" w:type="pct"/>
                  <w:tcBorders>
                    <w:top w:val="single" w:color="auto" w:sz="4" w:space="0"/>
                    <w:left w:val="single" w:color="auto" w:sz="4" w:space="0"/>
                    <w:bottom w:val="single" w:color="auto" w:sz="4" w:space="0"/>
                    <w:right w:val="single" w:color="auto" w:sz="4" w:space="0"/>
                  </w:tcBorders>
                  <w:noWrap w:val="0"/>
                  <w:vAlign w:val="center"/>
                </w:tcPr>
                <w:p w14:paraId="7417905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液态</w:t>
                  </w:r>
                </w:p>
              </w:tc>
              <w:tc>
                <w:tcPr>
                  <w:tcW w:w="362" w:type="pct"/>
                  <w:tcBorders>
                    <w:top w:val="single" w:color="auto" w:sz="4" w:space="0"/>
                    <w:left w:val="single" w:color="auto" w:sz="4" w:space="0"/>
                    <w:bottom w:val="single" w:color="auto" w:sz="4" w:space="0"/>
                    <w:right w:val="single" w:color="auto" w:sz="4" w:space="0"/>
                  </w:tcBorders>
                  <w:noWrap w:val="0"/>
                  <w:vAlign w:val="center"/>
                </w:tcPr>
                <w:p w14:paraId="07907B3D">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T、I</w:t>
                  </w:r>
                </w:p>
              </w:tc>
              <w:tc>
                <w:tcPr>
                  <w:tcW w:w="457" w:type="pct"/>
                  <w:tcBorders>
                    <w:top w:val="single" w:color="auto" w:sz="4" w:space="0"/>
                    <w:left w:val="single" w:color="auto" w:sz="4" w:space="0"/>
                    <w:bottom w:val="single" w:color="auto" w:sz="4" w:space="0"/>
                    <w:right w:val="single" w:color="auto" w:sz="4" w:space="0"/>
                  </w:tcBorders>
                  <w:noWrap w:val="0"/>
                  <w:vAlign w:val="center"/>
                </w:tcPr>
                <w:p w14:paraId="44E88E0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lang w:eastAsia="zh-CN" w:bidi="ar"/>
                    </w:rPr>
                  </w:pPr>
                  <w:r>
                    <w:rPr>
                      <w:rFonts w:ascii="Times New Roman" w:hAnsi="Times New Roman"/>
                      <w:color w:val="auto"/>
                      <w:sz w:val="21"/>
                      <w:szCs w:val="21"/>
                      <w:lang w:bidi="ar"/>
                    </w:rPr>
                    <w:t>0.</w:t>
                  </w:r>
                  <w:r>
                    <w:rPr>
                      <w:rFonts w:hint="eastAsia"/>
                      <w:color w:val="auto"/>
                      <w:sz w:val="21"/>
                      <w:szCs w:val="21"/>
                      <w:lang w:val="en-US" w:eastAsia="zh-CN" w:bidi="ar"/>
                    </w:rPr>
                    <w:t>5</w:t>
                  </w:r>
                </w:p>
              </w:tc>
              <w:tc>
                <w:tcPr>
                  <w:tcW w:w="473" w:type="pct"/>
                  <w:vMerge w:val="continue"/>
                  <w:tcBorders>
                    <w:left w:val="single" w:color="auto" w:sz="4" w:space="0"/>
                    <w:right w:val="single" w:color="auto" w:sz="4" w:space="0"/>
                  </w:tcBorders>
                  <w:noWrap w:val="0"/>
                  <w:vAlign w:val="center"/>
                </w:tcPr>
                <w:p w14:paraId="0279419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p>
              </w:tc>
              <w:tc>
                <w:tcPr>
                  <w:tcW w:w="632" w:type="pct"/>
                  <w:vMerge w:val="continue"/>
                  <w:tcBorders>
                    <w:left w:val="single" w:color="auto" w:sz="4" w:space="0"/>
                    <w:right w:val="single" w:color="auto" w:sz="4" w:space="0"/>
                  </w:tcBorders>
                  <w:noWrap w:val="0"/>
                  <w:vAlign w:val="center"/>
                </w:tcPr>
                <w:p w14:paraId="75FA4C1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7952A16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0.</w:t>
                  </w:r>
                  <w:r>
                    <w:rPr>
                      <w:rFonts w:hint="eastAsia"/>
                      <w:color w:val="auto"/>
                      <w:sz w:val="21"/>
                      <w:szCs w:val="21"/>
                      <w:lang w:val="en-US" w:eastAsia="zh-CN" w:bidi="ar"/>
                    </w:rPr>
                    <w:t>5</w:t>
                  </w:r>
                </w:p>
              </w:tc>
              <w:tc>
                <w:tcPr>
                  <w:tcW w:w="321" w:type="pct"/>
                  <w:vMerge w:val="continue"/>
                  <w:tcBorders>
                    <w:left w:val="single" w:color="auto" w:sz="4" w:space="0"/>
                    <w:right w:val="single" w:color="auto" w:sz="4" w:space="0"/>
                  </w:tcBorders>
                  <w:noWrap w:val="0"/>
                  <w:vAlign w:val="center"/>
                </w:tcPr>
                <w:p w14:paraId="6D4741A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pacing w:val="-10"/>
                      <w:sz w:val="21"/>
                      <w:szCs w:val="21"/>
                      <w:lang w:bidi="ar"/>
                    </w:rPr>
                  </w:pPr>
                </w:p>
              </w:tc>
            </w:tr>
            <w:tr w14:paraId="4A69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9" w:type="pct"/>
                  <w:vMerge w:val="continue"/>
                  <w:tcBorders>
                    <w:left w:val="single" w:color="auto" w:sz="4" w:space="0"/>
                    <w:right w:val="single" w:color="auto" w:sz="4" w:space="0"/>
                  </w:tcBorders>
                  <w:noWrap w:val="0"/>
                  <w:vAlign w:val="center"/>
                </w:tcPr>
                <w:p w14:paraId="13852D7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lang w:bidi="ar"/>
                    </w:rPr>
                  </w:pPr>
                </w:p>
              </w:tc>
              <w:tc>
                <w:tcPr>
                  <w:tcW w:w="732" w:type="pct"/>
                  <w:tcBorders>
                    <w:top w:val="single" w:color="auto" w:sz="4" w:space="0"/>
                    <w:left w:val="single" w:color="auto" w:sz="4" w:space="0"/>
                    <w:bottom w:val="single" w:color="auto" w:sz="4" w:space="0"/>
                    <w:right w:val="single" w:color="auto" w:sz="4" w:space="0"/>
                  </w:tcBorders>
                  <w:noWrap w:val="0"/>
                  <w:vAlign w:val="center"/>
                </w:tcPr>
                <w:p w14:paraId="78545C5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lang w:bidi="ar"/>
                    </w:rPr>
                  </w:pPr>
                  <w:r>
                    <w:rPr>
                      <w:rFonts w:hint="eastAsia" w:cs="Times New Roman"/>
                      <w:color w:val="auto"/>
                      <w:sz w:val="21"/>
                      <w:szCs w:val="21"/>
                      <w:lang w:val="en-US" w:eastAsia="zh-CN" w:bidi="ar"/>
                    </w:rPr>
                    <w:t>含油抹布</w:t>
                  </w:r>
                  <w:r>
                    <w:rPr>
                      <w:rFonts w:ascii="Times New Roman" w:hAnsi="Times New Roman" w:eastAsia="宋体" w:cs="Times New Roman"/>
                      <w:color w:val="auto"/>
                      <w:sz w:val="21"/>
                      <w:szCs w:val="21"/>
                      <w:highlight w:val="none"/>
                    </w:rPr>
                    <w:t>900-041-49</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63D14AA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设备保养</w:t>
                  </w:r>
                </w:p>
              </w:tc>
              <w:tc>
                <w:tcPr>
                  <w:tcW w:w="457" w:type="pct"/>
                  <w:tcBorders>
                    <w:top w:val="single" w:color="auto" w:sz="4" w:space="0"/>
                    <w:left w:val="single" w:color="auto" w:sz="4" w:space="0"/>
                    <w:bottom w:val="single" w:color="auto" w:sz="4" w:space="0"/>
                    <w:right w:val="single" w:color="auto" w:sz="4" w:space="0"/>
                  </w:tcBorders>
                  <w:noWrap w:val="0"/>
                  <w:vAlign w:val="center"/>
                </w:tcPr>
                <w:p w14:paraId="06CB5CB9">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lang w:bidi="ar"/>
                    </w:rPr>
                  </w:pPr>
                  <w:r>
                    <w:rPr>
                      <w:rFonts w:hint="eastAsia"/>
                      <w:color w:val="auto"/>
                      <w:sz w:val="21"/>
                      <w:szCs w:val="21"/>
                      <w:lang w:val="en-US" w:eastAsia="zh-CN" w:bidi="ar"/>
                    </w:rPr>
                    <w:t>含油废物</w:t>
                  </w:r>
                </w:p>
              </w:tc>
              <w:tc>
                <w:tcPr>
                  <w:tcW w:w="304" w:type="pct"/>
                  <w:tcBorders>
                    <w:top w:val="single" w:color="auto" w:sz="4" w:space="0"/>
                    <w:left w:val="single" w:color="auto" w:sz="4" w:space="0"/>
                    <w:bottom w:val="single" w:color="auto" w:sz="4" w:space="0"/>
                    <w:right w:val="single" w:color="auto" w:sz="4" w:space="0"/>
                  </w:tcBorders>
                  <w:noWrap w:val="0"/>
                  <w:vAlign w:val="center"/>
                </w:tcPr>
                <w:p w14:paraId="7706559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rPr>
                    <w:t>固态</w:t>
                  </w:r>
                </w:p>
              </w:tc>
              <w:tc>
                <w:tcPr>
                  <w:tcW w:w="362" w:type="pct"/>
                  <w:tcBorders>
                    <w:top w:val="single" w:color="auto" w:sz="4" w:space="0"/>
                    <w:left w:val="single" w:color="auto" w:sz="4" w:space="0"/>
                    <w:bottom w:val="single" w:color="auto" w:sz="4" w:space="0"/>
                    <w:right w:val="single" w:color="auto" w:sz="4" w:space="0"/>
                  </w:tcBorders>
                  <w:noWrap w:val="0"/>
                  <w:vAlign w:val="center"/>
                </w:tcPr>
                <w:p w14:paraId="1C162A5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hint="eastAsia" w:ascii="Times New Roman" w:hAnsi="Times New Roman" w:eastAsia="宋体" w:cs="Times New Roman"/>
                      <w:color w:val="auto"/>
                      <w:sz w:val="21"/>
                      <w:szCs w:val="21"/>
                      <w:lang w:val="en-US" w:eastAsia="zh-CN" w:bidi="ar"/>
                    </w:rPr>
                    <w:t xml:space="preserve">T/In </w:t>
                  </w:r>
                </w:p>
              </w:tc>
              <w:tc>
                <w:tcPr>
                  <w:tcW w:w="457" w:type="pct"/>
                  <w:tcBorders>
                    <w:top w:val="single" w:color="auto" w:sz="4" w:space="0"/>
                    <w:left w:val="single" w:color="auto" w:sz="4" w:space="0"/>
                    <w:bottom w:val="single" w:color="auto" w:sz="4" w:space="0"/>
                    <w:right w:val="single" w:color="auto" w:sz="4" w:space="0"/>
                  </w:tcBorders>
                  <w:noWrap w:val="0"/>
                  <w:vAlign w:val="center"/>
                </w:tcPr>
                <w:p w14:paraId="009C031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0.01</w:t>
                  </w:r>
                </w:p>
              </w:tc>
              <w:tc>
                <w:tcPr>
                  <w:tcW w:w="473" w:type="pct"/>
                  <w:vMerge w:val="continue"/>
                  <w:tcBorders>
                    <w:left w:val="single" w:color="auto" w:sz="4" w:space="0"/>
                    <w:right w:val="single" w:color="auto" w:sz="4" w:space="0"/>
                  </w:tcBorders>
                  <w:noWrap w:val="0"/>
                  <w:vAlign w:val="center"/>
                </w:tcPr>
                <w:p w14:paraId="6973AAF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p>
              </w:tc>
              <w:tc>
                <w:tcPr>
                  <w:tcW w:w="632" w:type="pct"/>
                  <w:vMerge w:val="continue"/>
                  <w:tcBorders>
                    <w:left w:val="single" w:color="auto" w:sz="4" w:space="0"/>
                    <w:right w:val="single" w:color="auto" w:sz="4" w:space="0"/>
                  </w:tcBorders>
                  <w:noWrap w:val="0"/>
                  <w:vAlign w:val="center"/>
                </w:tcPr>
                <w:p w14:paraId="75E6F5D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5B24CA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0.01</w:t>
                  </w:r>
                </w:p>
              </w:tc>
              <w:tc>
                <w:tcPr>
                  <w:tcW w:w="321" w:type="pct"/>
                  <w:vMerge w:val="continue"/>
                  <w:tcBorders>
                    <w:left w:val="single" w:color="auto" w:sz="4" w:space="0"/>
                    <w:right w:val="single" w:color="auto" w:sz="4" w:space="0"/>
                  </w:tcBorders>
                  <w:noWrap w:val="0"/>
                  <w:vAlign w:val="center"/>
                </w:tcPr>
                <w:p w14:paraId="0670BFB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pacing w:val="-10"/>
                      <w:sz w:val="21"/>
                      <w:szCs w:val="21"/>
                      <w:lang w:bidi="ar"/>
                    </w:rPr>
                  </w:pPr>
                </w:p>
              </w:tc>
            </w:tr>
            <w:tr w14:paraId="313C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9" w:type="pct"/>
                  <w:vMerge w:val="continue"/>
                  <w:tcBorders>
                    <w:left w:val="single" w:color="auto" w:sz="4" w:space="0"/>
                    <w:right w:val="single" w:color="auto" w:sz="4" w:space="0"/>
                  </w:tcBorders>
                  <w:noWrap w:val="0"/>
                  <w:vAlign w:val="center"/>
                </w:tcPr>
                <w:p w14:paraId="704740C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lang w:bidi="ar"/>
                    </w:rPr>
                  </w:pPr>
                </w:p>
              </w:tc>
              <w:tc>
                <w:tcPr>
                  <w:tcW w:w="732" w:type="pct"/>
                  <w:tcBorders>
                    <w:top w:val="single" w:color="auto" w:sz="4" w:space="0"/>
                    <w:left w:val="single" w:color="auto" w:sz="4" w:space="0"/>
                    <w:bottom w:val="single" w:color="auto" w:sz="4" w:space="0"/>
                    <w:right w:val="single" w:color="auto" w:sz="4" w:space="0"/>
                  </w:tcBorders>
                  <w:noWrap w:val="0"/>
                  <w:vAlign w:val="center"/>
                </w:tcPr>
                <w:p w14:paraId="31160B5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lang w:bidi="ar"/>
                    </w:rPr>
                  </w:pPr>
                  <w:r>
                    <w:rPr>
                      <w:rFonts w:ascii="Times New Roman" w:hAnsi="Times New Roman"/>
                      <w:bCs/>
                      <w:color w:val="auto"/>
                      <w:sz w:val="21"/>
                      <w:szCs w:val="21"/>
                      <w:lang w:bidi="ar"/>
                    </w:rPr>
                    <w:t>废导热油（900-249-08）</w:t>
                  </w:r>
                </w:p>
              </w:tc>
              <w:tc>
                <w:tcPr>
                  <w:tcW w:w="561" w:type="pct"/>
                  <w:tcBorders>
                    <w:top w:val="single" w:color="auto" w:sz="4" w:space="0"/>
                    <w:left w:val="single" w:color="auto" w:sz="4" w:space="0"/>
                    <w:bottom w:val="single" w:color="auto" w:sz="4" w:space="0"/>
                    <w:right w:val="single" w:color="auto" w:sz="4" w:space="0"/>
                  </w:tcBorders>
                  <w:noWrap w:val="0"/>
                  <w:vAlign w:val="center"/>
                </w:tcPr>
                <w:p w14:paraId="4AAE2F7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导热油更换</w:t>
                  </w:r>
                </w:p>
              </w:tc>
              <w:tc>
                <w:tcPr>
                  <w:tcW w:w="457" w:type="pct"/>
                  <w:tcBorders>
                    <w:top w:val="single" w:color="auto" w:sz="4" w:space="0"/>
                    <w:left w:val="single" w:color="auto" w:sz="4" w:space="0"/>
                    <w:bottom w:val="single" w:color="auto" w:sz="4" w:space="0"/>
                    <w:right w:val="single" w:color="auto" w:sz="4" w:space="0"/>
                  </w:tcBorders>
                  <w:noWrap w:val="0"/>
                  <w:vAlign w:val="center"/>
                </w:tcPr>
                <w:p w14:paraId="1DABEE2F">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导热油</w:t>
                  </w:r>
                </w:p>
              </w:tc>
              <w:tc>
                <w:tcPr>
                  <w:tcW w:w="304" w:type="pct"/>
                  <w:tcBorders>
                    <w:top w:val="single" w:color="auto" w:sz="4" w:space="0"/>
                    <w:left w:val="single" w:color="auto" w:sz="4" w:space="0"/>
                    <w:bottom w:val="single" w:color="auto" w:sz="4" w:space="0"/>
                    <w:right w:val="single" w:color="auto" w:sz="4" w:space="0"/>
                  </w:tcBorders>
                  <w:noWrap w:val="0"/>
                  <w:vAlign w:val="center"/>
                </w:tcPr>
                <w:p w14:paraId="7F5C486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液态</w:t>
                  </w:r>
                </w:p>
              </w:tc>
              <w:tc>
                <w:tcPr>
                  <w:tcW w:w="362" w:type="pct"/>
                  <w:tcBorders>
                    <w:top w:val="single" w:color="auto" w:sz="4" w:space="0"/>
                    <w:left w:val="single" w:color="auto" w:sz="4" w:space="0"/>
                    <w:bottom w:val="single" w:color="auto" w:sz="4" w:space="0"/>
                    <w:right w:val="single" w:color="auto" w:sz="4" w:space="0"/>
                  </w:tcBorders>
                  <w:noWrap w:val="0"/>
                  <w:vAlign w:val="center"/>
                </w:tcPr>
                <w:p w14:paraId="5A152A33">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ascii="Times New Roman" w:hAnsi="Times New Roman"/>
                      <w:color w:val="auto"/>
                      <w:sz w:val="21"/>
                      <w:szCs w:val="21"/>
                      <w:lang w:bidi="ar"/>
                    </w:rPr>
                  </w:pPr>
                  <w:r>
                    <w:rPr>
                      <w:rFonts w:ascii="Times New Roman" w:hAnsi="Times New Roman"/>
                      <w:color w:val="auto"/>
                      <w:sz w:val="21"/>
                      <w:szCs w:val="21"/>
                      <w:lang w:bidi="ar"/>
                    </w:rPr>
                    <w:t>T、I</w:t>
                  </w:r>
                </w:p>
              </w:tc>
              <w:tc>
                <w:tcPr>
                  <w:tcW w:w="457" w:type="pct"/>
                  <w:tcBorders>
                    <w:top w:val="single" w:color="auto" w:sz="4" w:space="0"/>
                    <w:left w:val="single" w:color="auto" w:sz="4" w:space="0"/>
                    <w:bottom w:val="single" w:color="auto" w:sz="4" w:space="0"/>
                    <w:right w:val="single" w:color="auto" w:sz="4" w:space="0"/>
                  </w:tcBorders>
                  <w:noWrap w:val="0"/>
                  <w:vAlign w:val="center"/>
                </w:tcPr>
                <w:p w14:paraId="3467FC3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lang w:eastAsia="zh-CN" w:bidi="ar"/>
                    </w:rPr>
                  </w:pPr>
                  <w:r>
                    <w:rPr>
                      <w:rFonts w:hint="eastAsia"/>
                      <w:color w:val="auto"/>
                      <w:sz w:val="21"/>
                      <w:szCs w:val="21"/>
                      <w:lang w:val="en-US" w:eastAsia="zh-CN" w:bidi="ar"/>
                    </w:rPr>
                    <w:t>9</w:t>
                  </w:r>
                </w:p>
              </w:tc>
              <w:tc>
                <w:tcPr>
                  <w:tcW w:w="473" w:type="pct"/>
                  <w:tcBorders>
                    <w:left w:val="single" w:color="auto" w:sz="4" w:space="0"/>
                    <w:right w:val="single" w:color="auto" w:sz="4" w:space="0"/>
                  </w:tcBorders>
                  <w:noWrap w:val="0"/>
                  <w:vAlign w:val="center"/>
                </w:tcPr>
                <w:p w14:paraId="5B85EC9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密闭容器</w:t>
                  </w:r>
                </w:p>
              </w:tc>
              <w:tc>
                <w:tcPr>
                  <w:tcW w:w="632" w:type="pct"/>
                  <w:tcBorders>
                    <w:left w:val="single" w:color="auto" w:sz="4" w:space="0"/>
                    <w:right w:val="single" w:color="auto" w:sz="4" w:space="0"/>
                  </w:tcBorders>
                  <w:noWrap w:val="0"/>
                  <w:vAlign w:val="center"/>
                </w:tcPr>
                <w:p w14:paraId="76563C1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相关资质的厂家更换后回收处置</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6F76504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olor w:val="auto"/>
                      <w:sz w:val="21"/>
                      <w:szCs w:val="21"/>
                      <w:lang w:eastAsia="zh-CN" w:bidi="ar"/>
                    </w:rPr>
                  </w:pPr>
                  <w:r>
                    <w:rPr>
                      <w:rFonts w:hint="eastAsia"/>
                      <w:color w:val="auto"/>
                      <w:sz w:val="21"/>
                      <w:szCs w:val="21"/>
                      <w:lang w:val="en-US" w:eastAsia="zh-CN" w:bidi="ar"/>
                    </w:rPr>
                    <w:t>9</w:t>
                  </w:r>
                </w:p>
              </w:tc>
              <w:tc>
                <w:tcPr>
                  <w:tcW w:w="321" w:type="pct"/>
                  <w:vMerge w:val="continue"/>
                  <w:tcBorders>
                    <w:left w:val="single" w:color="auto" w:sz="4" w:space="0"/>
                    <w:right w:val="single" w:color="auto" w:sz="4" w:space="0"/>
                  </w:tcBorders>
                  <w:noWrap w:val="0"/>
                  <w:vAlign w:val="center"/>
                </w:tcPr>
                <w:p w14:paraId="505CF8B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pacing w:val="-10"/>
                      <w:sz w:val="21"/>
                      <w:szCs w:val="21"/>
                      <w:lang w:bidi="ar"/>
                    </w:rPr>
                  </w:pPr>
                </w:p>
              </w:tc>
            </w:tr>
          </w:tbl>
          <w:p w14:paraId="53F3418D">
            <w:pPr>
              <w:autoSpaceDE w:val="0"/>
              <w:autoSpaceDN w:val="0"/>
              <w:snapToGrid w:val="0"/>
              <w:spacing w:before="120" w:beforeLines="50" w:line="360" w:lineRule="auto"/>
              <w:ind w:firstLine="480" w:firstLineChars="200"/>
              <w:rPr>
                <w:rFonts w:ascii="Times New Roman" w:hAnsi="Times New Roman"/>
                <w:bCs/>
                <w:color w:val="auto"/>
                <w:spacing w:val="0"/>
                <w:sz w:val="24"/>
                <w:szCs w:val="21"/>
              </w:rPr>
            </w:pPr>
            <w:r>
              <w:rPr>
                <w:rFonts w:ascii="Times New Roman" w:hAnsi="Times New Roman"/>
                <w:bCs/>
                <w:color w:val="auto"/>
                <w:spacing w:val="0"/>
                <w:sz w:val="24"/>
                <w:szCs w:val="21"/>
              </w:rPr>
              <w:t>本项目各类固体废物均实现了综合利用，符合资源化、无害化、减量化的处置要求，达到了节约资源、保护环境的目的，对周围环境影响较小。</w:t>
            </w:r>
          </w:p>
          <w:p w14:paraId="435635EB">
            <w:pPr>
              <w:adjustRightInd w:val="0"/>
              <w:snapToGrid w:val="0"/>
              <w:spacing w:line="360" w:lineRule="auto"/>
              <w:ind w:firstLine="482" w:firstLineChars="200"/>
              <w:rPr>
                <w:rFonts w:ascii="Times New Roman" w:hAnsi="Times New Roman"/>
                <w:b/>
                <w:color w:val="auto"/>
                <w:szCs w:val="21"/>
                <w:lang w:bidi="ar"/>
              </w:rPr>
            </w:pPr>
            <w:r>
              <w:rPr>
                <w:rFonts w:ascii="Times New Roman" w:hAnsi="Times New Roman"/>
                <w:b/>
                <w:color w:val="auto"/>
                <w:szCs w:val="21"/>
                <w:lang w:bidi="ar"/>
              </w:rPr>
              <w:t>（三）危废暂存及管理要求</w:t>
            </w:r>
          </w:p>
          <w:p w14:paraId="26F9B333">
            <w:pPr>
              <w:adjustRightInd w:val="0"/>
              <w:snapToGrid w:val="0"/>
              <w:spacing w:line="360" w:lineRule="auto"/>
              <w:ind w:firstLine="480" w:firstLineChars="200"/>
              <w:rPr>
                <w:rFonts w:ascii="Times New Roman" w:hAnsi="Times New Roman"/>
                <w:color w:val="auto"/>
                <w:szCs w:val="21"/>
                <w:lang w:bidi="ar"/>
              </w:rPr>
            </w:pPr>
            <w:r>
              <w:rPr>
                <w:rFonts w:ascii="Times New Roman" w:hAnsi="Times New Roman"/>
                <w:color w:val="auto"/>
                <w:szCs w:val="21"/>
                <w:lang w:bidi="ar"/>
              </w:rPr>
              <w:t>项目拟建设一个</w:t>
            </w:r>
            <w:r>
              <w:rPr>
                <w:rFonts w:hint="eastAsia"/>
                <w:color w:val="auto"/>
                <w:szCs w:val="21"/>
                <w:lang w:val="en-US" w:eastAsia="zh-CN" w:bidi="ar"/>
              </w:rPr>
              <w:t>10</w:t>
            </w:r>
            <w:r>
              <w:rPr>
                <w:rFonts w:ascii="Times New Roman" w:hAnsi="Times New Roman"/>
                <w:color w:val="auto"/>
                <w:szCs w:val="21"/>
                <w:lang w:bidi="ar"/>
              </w:rPr>
              <w:t>m</w:t>
            </w:r>
            <w:r>
              <w:rPr>
                <w:rFonts w:ascii="Times New Roman" w:hAnsi="Times New Roman"/>
                <w:color w:val="auto"/>
                <w:szCs w:val="21"/>
                <w:vertAlign w:val="superscript"/>
                <w:lang w:bidi="ar"/>
              </w:rPr>
              <w:t>2</w:t>
            </w:r>
            <w:r>
              <w:rPr>
                <w:rFonts w:ascii="Times New Roman" w:hAnsi="Times New Roman"/>
                <w:color w:val="auto"/>
                <w:szCs w:val="21"/>
                <w:lang w:bidi="ar"/>
              </w:rPr>
              <w:t>的危废暂存间，</w:t>
            </w:r>
            <w:r>
              <w:rPr>
                <w:rFonts w:ascii="Times New Roman" w:hAnsi="Times New Roman"/>
                <w:color w:val="auto"/>
              </w:rPr>
              <w:t>位于厂区</w:t>
            </w:r>
            <w:r>
              <w:rPr>
                <w:rFonts w:hint="eastAsia"/>
                <w:color w:val="auto"/>
                <w:lang w:val="en-US" w:eastAsia="zh-CN"/>
              </w:rPr>
              <w:t>东北</w:t>
            </w:r>
            <w:r>
              <w:rPr>
                <w:rFonts w:ascii="Times New Roman" w:hAnsi="Times New Roman"/>
                <w:color w:val="auto"/>
              </w:rPr>
              <w:t>侧，危险废物分类收集后，按照不同类别的危险废物分区暂存，</w:t>
            </w:r>
            <w:r>
              <w:rPr>
                <w:rFonts w:ascii="Times New Roman" w:hAnsi="Times New Roman"/>
                <w:color w:val="auto"/>
                <w:szCs w:val="21"/>
                <w:lang w:bidi="ar"/>
              </w:rPr>
              <w:t>可以满足暂存要求。</w:t>
            </w:r>
          </w:p>
          <w:p w14:paraId="6A6361B5">
            <w:pPr>
              <w:snapToGrid w:val="0"/>
              <w:spacing w:line="360" w:lineRule="auto"/>
              <w:ind w:firstLine="482" w:firstLineChars="200"/>
              <w:rPr>
                <w:rFonts w:ascii="Times New Roman" w:hAnsi="Times New Roman"/>
                <w:b/>
                <w:bCs/>
                <w:color w:val="auto"/>
                <w:szCs w:val="21"/>
              </w:rPr>
            </w:pPr>
            <w:r>
              <w:rPr>
                <w:rFonts w:ascii="Times New Roman" w:hAnsi="Times New Roman"/>
                <w:b/>
                <w:bCs/>
                <w:color w:val="auto"/>
                <w:szCs w:val="21"/>
              </w:rPr>
              <w:t>（1）危险废物暂存间设置</w:t>
            </w:r>
          </w:p>
          <w:p w14:paraId="39410294">
            <w:pPr>
              <w:snapToGrid w:val="0"/>
              <w:spacing w:line="360" w:lineRule="auto"/>
              <w:ind w:firstLine="480" w:firstLineChars="200"/>
              <w:rPr>
                <w:rFonts w:ascii="Times New Roman" w:hAnsi="Times New Roman"/>
                <w:bCs/>
                <w:color w:val="auto"/>
                <w:szCs w:val="21"/>
              </w:rPr>
            </w:pPr>
            <w:r>
              <w:rPr>
                <w:rFonts w:ascii="Times New Roman" w:hAnsi="Times New Roman"/>
                <w:bCs/>
                <w:color w:val="auto"/>
                <w:szCs w:val="21"/>
              </w:rPr>
              <w:t>根据《危险废物贮存污染控制标准》（GB18597-20</w:t>
            </w:r>
            <w:r>
              <w:rPr>
                <w:rFonts w:hint="eastAsia"/>
                <w:bCs/>
                <w:color w:val="auto"/>
                <w:szCs w:val="21"/>
                <w:lang w:val="en-US" w:eastAsia="zh-CN"/>
              </w:rPr>
              <w:t>23</w:t>
            </w:r>
            <w:r>
              <w:rPr>
                <w:rFonts w:ascii="Times New Roman" w:hAnsi="Times New Roman"/>
                <w:bCs/>
                <w:color w:val="auto"/>
                <w:szCs w:val="21"/>
              </w:rPr>
              <w:t>）的要求，危险废物贮存场所设置要求如下：</w:t>
            </w:r>
          </w:p>
          <w:p w14:paraId="42822378">
            <w:pPr>
              <w:snapToGrid w:val="0"/>
              <w:spacing w:line="360" w:lineRule="auto"/>
              <w:ind w:firstLine="482" w:firstLineChars="200"/>
              <w:rPr>
                <w:rFonts w:ascii="Times New Roman" w:hAnsi="Times New Roman"/>
                <w:b/>
                <w:bCs/>
                <w:color w:val="auto"/>
                <w:szCs w:val="21"/>
              </w:rPr>
            </w:pPr>
            <w:r>
              <w:rPr>
                <w:rFonts w:ascii="Times New Roman" w:hAnsi="Times New Roman"/>
                <w:b/>
                <w:bCs/>
                <w:color w:val="auto"/>
                <w:szCs w:val="21"/>
              </w:rPr>
              <w:t>1）危险废物暂存的一般要求</w:t>
            </w:r>
          </w:p>
          <w:p w14:paraId="36690FC0">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①</w:t>
            </w:r>
            <w:r>
              <w:rPr>
                <w:rFonts w:ascii="Times New Roman" w:hAnsi="Times New Roman"/>
                <w:bCs/>
                <w:color w:val="auto"/>
                <w:szCs w:val="21"/>
              </w:rPr>
              <w:t>禁止将不相容（相互反应）的危险废物在同一容器内混装。</w:t>
            </w:r>
          </w:p>
          <w:p w14:paraId="4B948AAB">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②</w:t>
            </w:r>
            <w:r>
              <w:rPr>
                <w:rFonts w:ascii="Times New Roman" w:hAnsi="Times New Roman"/>
                <w:bCs/>
                <w:color w:val="auto"/>
                <w:szCs w:val="21"/>
              </w:rPr>
              <w:t>无法装入常用容器的危险废物可用防漏胶袋等盛装。</w:t>
            </w:r>
          </w:p>
          <w:p w14:paraId="1179383F">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③</w:t>
            </w:r>
            <w:r>
              <w:rPr>
                <w:rFonts w:ascii="Times New Roman" w:hAnsi="Times New Roman"/>
                <w:bCs/>
                <w:color w:val="auto"/>
                <w:szCs w:val="21"/>
              </w:rPr>
              <w:t>装载液体、半固体危险废物的容器内须留足够空间，容器顶部与液体表面之间保留100毫米以上的空间。</w:t>
            </w:r>
          </w:p>
          <w:p w14:paraId="4BCE2B89">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④</w:t>
            </w:r>
            <w:r>
              <w:rPr>
                <w:rFonts w:ascii="Times New Roman" w:hAnsi="Times New Roman"/>
                <w:bCs/>
                <w:color w:val="auto"/>
                <w:szCs w:val="21"/>
              </w:rPr>
              <w:t>盛装危险废物的容器上必须粘贴符合《危险废物贮存污染控制标准》（GB18597-20</w:t>
            </w:r>
            <w:r>
              <w:rPr>
                <w:rFonts w:hint="eastAsia"/>
                <w:bCs/>
                <w:color w:val="auto"/>
                <w:szCs w:val="21"/>
                <w:lang w:val="en-US" w:eastAsia="zh-CN"/>
              </w:rPr>
              <w:t>23</w:t>
            </w:r>
            <w:r>
              <w:rPr>
                <w:rFonts w:ascii="Times New Roman" w:hAnsi="Times New Roman"/>
                <w:bCs/>
                <w:color w:val="auto"/>
                <w:szCs w:val="21"/>
              </w:rPr>
              <w:t>）附录A所示的标签。</w:t>
            </w:r>
          </w:p>
          <w:p w14:paraId="622BA88B">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⑤</w:t>
            </w:r>
            <w:r>
              <w:rPr>
                <w:rFonts w:ascii="Times New Roman" w:hAnsi="Times New Roman"/>
                <w:bCs/>
                <w:color w:val="auto"/>
                <w:szCs w:val="21"/>
              </w:rPr>
              <w:t>不同类别的危险废物应分区存放。</w:t>
            </w:r>
          </w:p>
          <w:p w14:paraId="64CAAB61">
            <w:pPr>
              <w:snapToGrid w:val="0"/>
              <w:spacing w:line="360" w:lineRule="auto"/>
              <w:ind w:firstLine="482" w:firstLineChars="200"/>
              <w:rPr>
                <w:rFonts w:ascii="Times New Roman" w:hAnsi="Times New Roman"/>
                <w:b/>
                <w:bCs/>
                <w:color w:val="auto"/>
                <w:szCs w:val="21"/>
              </w:rPr>
            </w:pPr>
            <w:r>
              <w:rPr>
                <w:rFonts w:ascii="Times New Roman" w:hAnsi="Times New Roman"/>
                <w:b/>
                <w:bCs/>
                <w:color w:val="auto"/>
                <w:szCs w:val="21"/>
              </w:rPr>
              <w:t>2）危险废物贮存容器的要求</w:t>
            </w:r>
          </w:p>
          <w:p w14:paraId="22163A58">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①</w:t>
            </w:r>
            <w:r>
              <w:rPr>
                <w:rFonts w:ascii="Times New Roman" w:hAnsi="Times New Roman"/>
                <w:bCs/>
                <w:color w:val="auto"/>
                <w:szCs w:val="21"/>
              </w:rPr>
              <w:t>应当使用符合标准的容器盛装危险废物。</w:t>
            </w:r>
          </w:p>
          <w:p w14:paraId="67E3F4E4">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②</w:t>
            </w:r>
            <w:r>
              <w:rPr>
                <w:rFonts w:ascii="Times New Roman" w:hAnsi="Times New Roman"/>
                <w:bCs/>
                <w:color w:val="auto"/>
                <w:szCs w:val="21"/>
              </w:rPr>
              <w:t>装载危险废物的容器及材质要满足相应的强度要求。</w:t>
            </w:r>
          </w:p>
          <w:p w14:paraId="10010D4C">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③</w:t>
            </w:r>
            <w:r>
              <w:rPr>
                <w:rFonts w:ascii="Times New Roman" w:hAnsi="Times New Roman"/>
                <w:bCs/>
                <w:color w:val="auto"/>
                <w:szCs w:val="21"/>
              </w:rPr>
              <w:t>装载危险废物的容器必须完好无损。</w:t>
            </w:r>
          </w:p>
          <w:p w14:paraId="757D8467">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④</w:t>
            </w:r>
            <w:r>
              <w:rPr>
                <w:rFonts w:ascii="Times New Roman" w:hAnsi="Times New Roman"/>
                <w:bCs/>
                <w:color w:val="auto"/>
                <w:szCs w:val="21"/>
              </w:rPr>
              <w:t>盛装危险废物的容器材质和衬里要与危险废物相容（不相互反应）。</w:t>
            </w:r>
          </w:p>
          <w:p w14:paraId="2E734EA5">
            <w:pPr>
              <w:snapToGrid w:val="0"/>
              <w:spacing w:line="360" w:lineRule="auto"/>
              <w:ind w:firstLine="482" w:firstLineChars="200"/>
              <w:rPr>
                <w:rFonts w:ascii="Times New Roman" w:hAnsi="Times New Roman"/>
                <w:b/>
                <w:bCs/>
                <w:color w:val="auto"/>
                <w:szCs w:val="21"/>
              </w:rPr>
            </w:pPr>
            <w:r>
              <w:rPr>
                <w:rFonts w:ascii="Times New Roman" w:hAnsi="Times New Roman"/>
                <w:b/>
                <w:bCs/>
                <w:color w:val="auto"/>
                <w:szCs w:val="21"/>
              </w:rPr>
              <w:t>3）危险废物暂存间的设计原则</w:t>
            </w:r>
          </w:p>
          <w:p w14:paraId="40590D38">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①</w:t>
            </w:r>
            <w:r>
              <w:rPr>
                <w:rFonts w:ascii="Times New Roman" w:hAnsi="Times New Roman"/>
                <w:bCs/>
                <w:color w:val="auto"/>
                <w:szCs w:val="21"/>
              </w:rPr>
              <w:t>地面与裙角要用坚固、防渗的材料建造，建筑材料必须与危险废物相容；</w:t>
            </w:r>
          </w:p>
          <w:p w14:paraId="2090526D">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②</w:t>
            </w:r>
            <w:r>
              <w:rPr>
                <w:rFonts w:ascii="Times New Roman" w:hAnsi="Times New Roman"/>
                <w:bCs/>
                <w:color w:val="auto"/>
                <w:szCs w:val="21"/>
              </w:rPr>
              <w:t>必须有泄漏液态收集装置；</w:t>
            </w:r>
          </w:p>
          <w:p w14:paraId="75D76869">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③</w:t>
            </w:r>
            <w:r>
              <w:rPr>
                <w:rFonts w:ascii="Times New Roman" w:hAnsi="Times New Roman"/>
                <w:bCs/>
                <w:color w:val="auto"/>
                <w:szCs w:val="21"/>
              </w:rPr>
              <w:t>设施内要有安全照明设施和观察窗口；</w:t>
            </w:r>
          </w:p>
          <w:p w14:paraId="17DE3DC7">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④</w:t>
            </w:r>
            <w:r>
              <w:rPr>
                <w:rFonts w:ascii="Times New Roman" w:hAnsi="Times New Roman"/>
                <w:bCs/>
                <w:color w:val="auto"/>
                <w:szCs w:val="21"/>
              </w:rPr>
              <w:t>用于存放装载液体、半固体危险废弃物容器的地方，必须有耐腐蚀的硬化地面，且表面无裂痕；</w:t>
            </w:r>
          </w:p>
          <w:p w14:paraId="5EAD8614">
            <w:pPr>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⑤</w:t>
            </w:r>
            <w:r>
              <w:rPr>
                <w:rFonts w:ascii="Times New Roman" w:hAnsi="Times New Roman"/>
                <w:bCs/>
                <w:color w:val="auto"/>
                <w:szCs w:val="21"/>
              </w:rPr>
              <w:t>应设计堵截泄漏的群脚，地面与群脚所围建的容积不低于堵截最大容器的最大储量或总储量的1/</w:t>
            </w:r>
            <w:r>
              <w:rPr>
                <w:rFonts w:hint="eastAsia"/>
                <w:bCs/>
                <w:color w:val="auto"/>
                <w:szCs w:val="21"/>
                <w:lang w:val="en-US" w:eastAsia="zh-CN"/>
              </w:rPr>
              <w:t>10</w:t>
            </w:r>
            <w:r>
              <w:rPr>
                <w:rFonts w:ascii="Times New Roman" w:hAnsi="Times New Roman"/>
                <w:bCs/>
                <w:color w:val="auto"/>
                <w:szCs w:val="21"/>
              </w:rPr>
              <w:t>。</w:t>
            </w:r>
          </w:p>
          <w:p w14:paraId="24D475C8">
            <w:pPr>
              <w:snapToGrid w:val="0"/>
              <w:spacing w:line="360" w:lineRule="auto"/>
              <w:ind w:firstLine="480" w:firstLineChars="200"/>
              <w:rPr>
                <w:rFonts w:ascii="Times New Roman" w:hAnsi="Times New Roman"/>
                <w:color w:val="auto"/>
                <w:szCs w:val="21"/>
              </w:rPr>
            </w:pPr>
            <w:r>
              <w:rPr>
                <w:rFonts w:ascii="Times New Roman" w:hAnsi="Times New Roman"/>
                <w:bCs/>
                <w:color w:val="auto"/>
                <w:szCs w:val="21"/>
              </w:rPr>
              <w:t>本项目危废暂存间按照重点防渗要求建设</w:t>
            </w:r>
            <w:r>
              <w:rPr>
                <w:rFonts w:ascii="Times New Roman" w:hAnsi="Times New Roman"/>
                <w:bCs/>
                <w:color w:val="auto"/>
                <w:sz w:val="24"/>
                <w:szCs w:val="24"/>
              </w:rPr>
              <w:t>：</w:t>
            </w:r>
            <w:r>
              <w:rPr>
                <w:rFonts w:hint="default" w:ascii="Times New Roman" w:hAnsi="Times New Roman" w:cs="Times New Roman"/>
                <w:bCs/>
                <w:color w:val="auto"/>
                <w:sz w:val="24"/>
                <w:szCs w:val="24"/>
              </w:rPr>
              <w:t>基础采取至少2mm厚的防渗人工材料</w:t>
            </w:r>
            <w:r>
              <w:rPr>
                <w:rFonts w:ascii="Times New Roman" w:hAnsi="Times New Roman"/>
                <w:bCs/>
                <w:color w:val="auto"/>
                <w:sz w:val="24"/>
                <w:szCs w:val="24"/>
              </w:rPr>
              <w:t>，</w:t>
            </w:r>
            <w:r>
              <w:rPr>
                <w:rFonts w:ascii="Times New Roman" w:hAnsi="Times New Roman"/>
                <w:bCs/>
                <w:color w:val="auto"/>
                <w:szCs w:val="21"/>
              </w:rPr>
              <w:t>渗透系数K≤1×10</w:t>
            </w:r>
            <w:r>
              <w:rPr>
                <w:rFonts w:ascii="Times New Roman" w:hAnsi="Times New Roman"/>
                <w:bCs/>
                <w:color w:val="auto"/>
                <w:szCs w:val="21"/>
                <w:vertAlign w:val="superscript"/>
              </w:rPr>
              <w:t>-10</w:t>
            </w:r>
            <w:r>
              <w:rPr>
                <w:rFonts w:ascii="Times New Roman" w:hAnsi="Times New Roman"/>
                <w:bCs/>
                <w:color w:val="auto"/>
                <w:szCs w:val="21"/>
              </w:rPr>
              <w:t>cm/s。</w:t>
            </w:r>
          </w:p>
          <w:p w14:paraId="59C4FD41">
            <w:pPr>
              <w:snapToGrid w:val="0"/>
              <w:spacing w:line="360" w:lineRule="auto"/>
              <w:ind w:firstLine="482"/>
              <w:rPr>
                <w:rFonts w:ascii="Times New Roman" w:hAnsi="Times New Roman"/>
                <w:b/>
                <w:bCs/>
                <w:color w:val="auto"/>
                <w:szCs w:val="21"/>
              </w:rPr>
            </w:pPr>
            <w:r>
              <w:rPr>
                <w:rFonts w:ascii="Times New Roman" w:hAnsi="Times New Roman"/>
                <w:b/>
                <w:bCs/>
                <w:color w:val="auto"/>
                <w:szCs w:val="21"/>
              </w:rPr>
              <w:t>（2）危险废物管理要求</w:t>
            </w:r>
          </w:p>
          <w:p w14:paraId="5669B376">
            <w:pPr>
              <w:snapToGrid w:val="0"/>
              <w:spacing w:line="360" w:lineRule="auto"/>
              <w:ind w:firstLine="482"/>
              <w:rPr>
                <w:rFonts w:ascii="Times New Roman" w:hAnsi="Times New Roman"/>
                <w:bCs/>
                <w:color w:val="auto"/>
                <w:szCs w:val="21"/>
              </w:rPr>
            </w:pPr>
            <w:r>
              <w:rPr>
                <w:rFonts w:hint="eastAsia" w:ascii="宋体" w:hAnsi="宋体" w:cs="宋体"/>
                <w:bCs/>
                <w:color w:val="auto"/>
                <w:szCs w:val="21"/>
              </w:rPr>
              <w:t>①</w:t>
            </w:r>
            <w:r>
              <w:rPr>
                <w:rFonts w:ascii="Times New Roman" w:hAnsi="Times New Roman"/>
                <w:bCs/>
                <w:color w:val="auto"/>
                <w:szCs w:val="21"/>
              </w:rPr>
              <w:t>设专人负责危废的日常管理工作，产生的危废应分类收集，不得与其他垃圾相混。</w:t>
            </w:r>
          </w:p>
          <w:p w14:paraId="02722019">
            <w:pPr>
              <w:snapToGrid w:val="0"/>
              <w:spacing w:line="360" w:lineRule="auto"/>
              <w:ind w:firstLine="482"/>
              <w:rPr>
                <w:rFonts w:ascii="Times New Roman" w:hAnsi="Times New Roman"/>
                <w:bCs/>
                <w:color w:val="auto"/>
                <w:szCs w:val="21"/>
              </w:rPr>
            </w:pPr>
            <w:r>
              <w:rPr>
                <w:rFonts w:hint="eastAsia" w:ascii="宋体" w:hAnsi="宋体" w:cs="宋体"/>
                <w:bCs/>
                <w:color w:val="auto"/>
                <w:szCs w:val="21"/>
              </w:rPr>
              <w:t>②</w:t>
            </w:r>
            <w:r>
              <w:rPr>
                <w:rFonts w:ascii="Times New Roman" w:hAnsi="Times New Roman"/>
                <w:bCs/>
                <w:color w:val="auto"/>
                <w:szCs w:val="21"/>
              </w:rPr>
              <w:t>做好危废转移联单制度，定期向危废处理资质单位移交项目所暂存的危废，并填写好转移联单。</w:t>
            </w:r>
          </w:p>
          <w:p w14:paraId="5C5D865F">
            <w:pPr>
              <w:autoSpaceDE w:val="0"/>
              <w:autoSpaceDN w:val="0"/>
              <w:snapToGrid w:val="0"/>
              <w:spacing w:line="360" w:lineRule="auto"/>
              <w:ind w:firstLine="480" w:firstLineChars="200"/>
              <w:rPr>
                <w:rFonts w:ascii="Times New Roman" w:hAnsi="Times New Roman"/>
                <w:bCs/>
                <w:color w:val="auto"/>
                <w:szCs w:val="21"/>
              </w:rPr>
            </w:pPr>
            <w:r>
              <w:rPr>
                <w:rFonts w:ascii="Times New Roman" w:hAnsi="Times New Roman"/>
                <w:bCs/>
                <w:color w:val="auto"/>
                <w:szCs w:val="21"/>
              </w:rPr>
              <w:t>综上，项目产生的各类固体废弃物分类收集，分类处置。通过落实环评提出的要求后，各类危险废物及一般性固废分类收集，按照规范设置收集容器及暂存设施，确保各类固体废弃物得到合理处置，不外排，处置措施可行。</w:t>
            </w:r>
          </w:p>
          <w:p w14:paraId="3238CF02">
            <w:pPr>
              <w:autoSpaceDE w:val="0"/>
              <w:autoSpaceDN w:val="0"/>
              <w:adjustRightInd w:val="0"/>
              <w:snapToGrid w:val="0"/>
              <w:spacing w:line="360" w:lineRule="auto"/>
              <w:ind w:firstLine="482" w:firstLineChars="200"/>
              <w:jc w:val="left"/>
              <w:rPr>
                <w:rFonts w:ascii="Times New Roman" w:hAnsi="Times New Roman"/>
                <w:color w:val="auto"/>
                <w:kern w:val="0"/>
                <w:szCs w:val="21"/>
                <w:lang w:bidi="ar"/>
              </w:rPr>
            </w:pPr>
            <w:r>
              <w:rPr>
                <w:rFonts w:ascii="Times New Roman" w:hAnsi="Times New Roman"/>
                <w:b/>
                <w:color w:val="auto"/>
                <w:szCs w:val="21"/>
              </w:rPr>
              <w:t>5、地下水影响及措施</w:t>
            </w:r>
          </w:p>
          <w:p w14:paraId="5892B880">
            <w:pPr>
              <w:autoSpaceDE w:val="0"/>
              <w:autoSpaceDN w:val="0"/>
              <w:snapToGrid w:val="0"/>
              <w:spacing w:line="360" w:lineRule="auto"/>
              <w:ind w:firstLine="480" w:firstLineChars="200"/>
              <w:rPr>
                <w:rFonts w:hint="default" w:ascii="Times New Roman" w:hAnsi="Times New Roman" w:eastAsia="宋体"/>
                <w:bCs/>
                <w:color w:val="auto"/>
                <w:szCs w:val="21"/>
                <w:lang w:val="en-US" w:eastAsia="zh-CN"/>
              </w:rPr>
            </w:pPr>
            <w:r>
              <w:rPr>
                <w:rFonts w:ascii="Times New Roman" w:hAnsi="Times New Roman"/>
                <w:bCs/>
                <w:color w:val="auto"/>
                <w:szCs w:val="21"/>
              </w:rPr>
              <w:t>项目对地下水可能产生污染的物质为废机油、废润滑油、轻质柴油、沥青、导热油</w:t>
            </w:r>
            <w:r>
              <w:rPr>
                <w:rFonts w:hint="eastAsia"/>
                <w:bCs/>
                <w:color w:val="auto"/>
                <w:szCs w:val="21"/>
                <w:lang w:eastAsia="zh-CN"/>
              </w:rPr>
              <w:t>、</w:t>
            </w:r>
            <w:r>
              <w:rPr>
                <w:rFonts w:hint="eastAsia"/>
                <w:bCs/>
                <w:color w:val="auto"/>
                <w:szCs w:val="21"/>
                <w:lang w:val="en-US" w:eastAsia="zh-CN"/>
              </w:rPr>
              <w:t>含油污泥等</w:t>
            </w:r>
            <w:r>
              <w:rPr>
                <w:rFonts w:ascii="Times New Roman" w:hAnsi="Times New Roman"/>
                <w:bCs/>
                <w:color w:val="auto"/>
                <w:szCs w:val="21"/>
              </w:rPr>
              <w:t>，污染因子为石油烃。可能的污染途径为存储容积破损</w:t>
            </w:r>
            <w:r>
              <w:rPr>
                <w:rFonts w:hint="eastAsia"/>
                <w:bCs/>
                <w:color w:val="auto"/>
                <w:szCs w:val="21"/>
                <w:lang w:eastAsia="zh-CN"/>
              </w:rPr>
              <w:t>、</w:t>
            </w:r>
            <w:r>
              <w:rPr>
                <w:rFonts w:ascii="Times New Roman" w:hAnsi="Times New Roman"/>
                <w:bCs/>
                <w:color w:val="auto"/>
                <w:szCs w:val="21"/>
              </w:rPr>
              <w:t>管道出现跑冒滴漏</w:t>
            </w:r>
            <w:r>
              <w:rPr>
                <w:rFonts w:hint="eastAsia"/>
                <w:bCs/>
                <w:color w:val="auto"/>
                <w:szCs w:val="21"/>
                <w:lang w:val="en-US" w:eastAsia="zh-CN"/>
              </w:rPr>
              <w:t>或者事故状态的非正常排放废水</w:t>
            </w:r>
            <w:r>
              <w:rPr>
                <w:rFonts w:ascii="Times New Roman" w:hAnsi="Times New Roman"/>
                <w:bCs/>
                <w:color w:val="auto"/>
                <w:szCs w:val="21"/>
              </w:rPr>
              <w:t>，且防渗层破损后下渗进入包气带造成地下水污染</w:t>
            </w:r>
            <w:r>
              <w:rPr>
                <w:rFonts w:hint="eastAsia"/>
                <w:bCs/>
                <w:color w:val="auto"/>
                <w:szCs w:val="21"/>
                <w:lang w:eastAsia="zh-CN"/>
              </w:rPr>
              <w:t>。</w:t>
            </w:r>
          </w:p>
          <w:p w14:paraId="00F3C22C">
            <w:pPr>
              <w:adjustRightInd w:val="0"/>
              <w:snapToGrid w:val="0"/>
              <w:spacing w:line="360" w:lineRule="auto"/>
              <w:ind w:firstLine="480" w:firstLineChars="200"/>
              <w:rPr>
                <w:rFonts w:ascii="Times New Roman" w:hAnsi="Times New Roman"/>
                <w:bCs/>
                <w:color w:val="auto"/>
                <w:szCs w:val="21"/>
              </w:rPr>
            </w:pPr>
            <w:r>
              <w:rPr>
                <w:rFonts w:ascii="Times New Roman" w:hAnsi="Times New Roman"/>
                <w:bCs/>
                <w:color w:val="auto"/>
                <w:szCs w:val="21"/>
              </w:rPr>
              <w:t>本项目废机油、废润滑</w:t>
            </w:r>
            <w:r>
              <w:rPr>
                <w:rFonts w:ascii="Times New Roman" w:hAnsi="Times New Roman"/>
                <w:bCs/>
                <w:color w:val="auto"/>
                <w:sz w:val="24"/>
                <w:szCs w:val="24"/>
              </w:rPr>
              <w:t>油</w:t>
            </w:r>
            <w:r>
              <w:rPr>
                <w:rFonts w:hint="eastAsia"/>
                <w:bCs/>
                <w:color w:val="auto"/>
                <w:sz w:val="24"/>
                <w:szCs w:val="24"/>
                <w:lang w:eastAsia="zh-CN"/>
              </w:rPr>
              <w:t>、</w:t>
            </w:r>
            <w:r>
              <w:rPr>
                <w:rFonts w:hint="eastAsia"/>
                <w:bCs/>
                <w:color w:val="auto"/>
                <w:sz w:val="24"/>
                <w:szCs w:val="24"/>
                <w:lang w:val="en-US" w:eastAsia="zh-CN"/>
              </w:rPr>
              <w:t>含油污泥</w:t>
            </w:r>
            <w:r>
              <w:rPr>
                <w:rFonts w:hint="eastAsia" w:cs="Times New Roman"/>
                <w:color w:val="auto"/>
                <w:sz w:val="24"/>
                <w:szCs w:val="24"/>
                <w:lang w:val="en-US" w:eastAsia="zh-CN" w:bidi="ar"/>
              </w:rPr>
              <w:t>分别</w:t>
            </w:r>
            <w:r>
              <w:rPr>
                <w:rFonts w:ascii="Times New Roman" w:hAnsi="Times New Roman"/>
                <w:bCs/>
                <w:color w:val="auto"/>
                <w:szCs w:val="21"/>
              </w:rPr>
              <w:t>采用专用密闭容器盛装后暂存在危废暂存间，危废暂存间按照重点防渗要求做好防渗；导热油位于沥青储罐内循环使用，外层包裹保温层；轻质柴油、沥青均采用专用容积储存，为地上式油罐，正常情况下出现存储容器破损渗漏的可能性很小，且柴油储罐区、沥青储罐区均设置围堰，并按照重点防渗区进行防渗：</w:t>
            </w:r>
            <w:r>
              <w:rPr>
                <w:rFonts w:hint="default" w:ascii="Times New Roman" w:hAnsi="Times New Roman" w:cs="Times New Roman"/>
                <w:bCs/>
                <w:color w:val="auto"/>
                <w:sz w:val="24"/>
                <w:szCs w:val="24"/>
                <w:lang w:val="en-US" w:eastAsia="zh-CN"/>
              </w:rPr>
              <w:t>其中</w:t>
            </w:r>
            <w:r>
              <w:rPr>
                <w:rFonts w:hint="default" w:ascii="Times New Roman" w:hAnsi="Times New Roman" w:cs="Times New Roman"/>
                <w:bCs/>
                <w:color w:val="auto"/>
                <w:sz w:val="24"/>
                <w:szCs w:val="24"/>
              </w:rPr>
              <w:t>危废暂存间基础采取至少2mm厚的防渗人工材料，渗透系数应≤1×10</w:t>
            </w:r>
            <w:r>
              <w:rPr>
                <w:rFonts w:hint="default" w:ascii="Times New Roman" w:hAnsi="Times New Roman" w:cs="Times New Roman"/>
                <w:bCs/>
                <w:color w:val="auto"/>
                <w:sz w:val="24"/>
                <w:szCs w:val="24"/>
                <w:vertAlign w:val="superscript"/>
              </w:rPr>
              <w:t>-10</w:t>
            </w:r>
            <w:r>
              <w:rPr>
                <w:rFonts w:hint="default" w:ascii="Times New Roman" w:hAnsi="Times New Roman" w:cs="Times New Roman"/>
                <w:bCs/>
                <w:color w:val="auto"/>
                <w:sz w:val="24"/>
                <w:szCs w:val="24"/>
              </w:rPr>
              <w:t>cm/s；沥青储罐和柴油储罐区</w:t>
            </w:r>
            <w:r>
              <w:rPr>
                <w:rFonts w:hint="default" w:ascii="Times New Roman" w:hAnsi="Times New Roman" w:cs="Times New Roman"/>
                <w:color w:val="auto"/>
                <w:sz w:val="24"/>
                <w:szCs w:val="24"/>
              </w:rPr>
              <w:t>防渗层防渗要求为等效厚度≥6m，渗透系数≤1.0×10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w:t>
            </w:r>
            <w:r>
              <w:rPr>
                <w:rFonts w:ascii="Times New Roman" w:hAnsi="Times New Roman"/>
                <w:bCs/>
                <w:color w:val="auto"/>
                <w:sz w:val="24"/>
                <w:szCs w:val="24"/>
              </w:rPr>
              <w:t>。</w:t>
            </w:r>
            <w:r>
              <w:rPr>
                <w:rFonts w:ascii="Times New Roman" w:hAnsi="Times New Roman"/>
                <w:bCs/>
                <w:color w:val="auto"/>
                <w:szCs w:val="21"/>
              </w:rPr>
              <w:t>因此，若发生泄漏事故，污染源下渗污染地下水的可能较小。并在运营中落实以下措施：</w:t>
            </w:r>
          </w:p>
          <w:p w14:paraId="14C5F4AB">
            <w:pPr>
              <w:autoSpaceDE w:val="0"/>
              <w:autoSpaceDN w:val="0"/>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①</w:t>
            </w:r>
            <w:r>
              <w:rPr>
                <w:rFonts w:ascii="Times New Roman" w:hAnsi="Times New Roman"/>
                <w:bCs/>
                <w:color w:val="auto"/>
                <w:szCs w:val="21"/>
              </w:rPr>
              <w:t>向合法的厂家采购柴油、沥青储罐，生产过程设专人进行巡检自查，杜绝容器及管道跑冒滴漏发生；</w:t>
            </w:r>
          </w:p>
          <w:p w14:paraId="4356186A">
            <w:pPr>
              <w:autoSpaceDE w:val="0"/>
              <w:autoSpaceDN w:val="0"/>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②</w:t>
            </w:r>
            <w:r>
              <w:rPr>
                <w:rFonts w:ascii="Times New Roman" w:hAnsi="Times New Roman"/>
                <w:bCs/>
                <w:color w:val="auto"/>
                <w:szCs w:val="21"/>
              </w:rPr>
              <w:t>设置禁火标识牌等；</w:t>
            </w:r>
          </w:p>
          <w:p w14:paraId="533543DC">
            <w:pPr>
              <w:autoSpaceDE w:val="0"/>
              <w:autoSpaceDN w:val="0"/>
              <w:snapToGrid w:val="0"/>
              <w:spacing w:line="360" w:lineRule="auto"/>
              <w:ind w:firstLine="480" w:firstLineChars="200"/>
              <w:rPr>
                <w:rFonts w:ascii="Times New Roman" w:hAnsi="Times New Roman"/>
                <w:bCs/>
                <w:color w:val="auto"/>
                <w:szCs w:val="21"/>
              </w:rPr>
            </w:pPr>
            <w:r>
              <w:rPr>
                <w:rFonts w:hint="eastAsia" w:ascii="宋体" w:hAnsi="宋体" w:cs="宋体"/>
                <w:bCs/>
                <w:color w:val="auto"/>
                <w:szCs w:val="21"/>
              </w:rPr>
              <w:t>③</w:t>
            </w:r>
            <w:r>
              <w:rPr>
                <w:rFonts w:ascii="Times New Roman" w:hAnsi="Times New Roman"/>
                <w:bCs/>
                <w:color w:val="auto"/>
                <w:szCs w:val="21"/>
              </w:rPr>
              <w:t>加强对柴油储罐、沥青罐、危废的管理，安排专人定期对柴油储罐、沥青储罐、危废暂存间、危废收集桶进行排查，出现事故及跑冒滴漏情况立即开展调查及处理。</w:t>
            </w:r>
          </w:p>
          <w:p w14:paraId="7E19E455">
            <w:pPr>
              <w:autoSpaceDE w:val="0"/>
              <w:autoSpaceDN w:val="0"/>
              <w:snapToGrid w:val="0"/>
              <w:spacing w:line="360" w:lineRule="auto"/>
              <w:ind w:firstLine="480" w:firstLineChars="200"/>
              <w:rPr>
                <w:rFonts w:hint="default" w:ascii="宋体" w:hAnsi="宋体" w:cs="宋体"/>
                <w:bCs/>
                <w:color w:val="auto"/>
                <w:szCs w:val="21"/>
                <w:lang w:val="en-US"/>
              </w:rPr>
            </w:pPr>
            <w:r>
              <w:rPr>
                <w:rFonts w:hint="eastAsia" w:ascii="宋体" w:hAnsi="宋体" w:cs="宋体"/>
                <w:bCs/>
                <w:color w:val="auto"/>
                <w:szCs w:val="21"/>
              </w:rPr>
              <w:t>④</w:t>
            </w:r>
            <w:r>
              <w:rPr>
                <w:rFonts w:hint="default" w:ascii="Times New Roman" w:hAnsi="Times New Roman" w:eastAsia="宋体" w:cs="Times New Roman"/>
                <w:color w:val="auto"/>
                <w:kern w:val="0"/>
                <w:sz w:val="24"/>
                <w:szCs w:val="24"/>
                <w:highlight w:val="none"/>
                <w:lang w:val="en-US" w:eastAsia="zh-CN" w:bidi="ar"/>
              </w:rPr>
              <w:t>设置</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座</w:t>
            </w:r>
            <w:r>
              <w:rPr>
                <w:rFonts w:hint="eastAsia" w:ascii="Times New Roman" w:hAnsi="Times New Roman" w:eastAsia="宋体" w:cs="Times New Roman"/>
                <w:color w:val="auto"/>
                <w:kern w:val="0"/>
                <w:sz w:val="24"/>
                <w:szCs w:val="24"/>
                <w:highlight w:val="none"/>
                <w:lang w:val="en-US" w:eastAsia="zh-CN" w:bidi="ar"/>
              </w:rPr>
              <w:t>应急</w:t>
            </w:r>
            <w:r>
              <w:rPr>
                <w:rFonts w:hint="default" w:ascii="Times New Roman" w:hAnsi="Times New Roman" w:eastAsia="宋体" w:cs="Times New Roman"/>
                <w:color w:val="auto"/>
                <w:kern w:val="0"/>
                <w:sz w:val="24"/>
                <w:szCs w:val="24"/>
                <w:highlight w:val="none"/>
                <w:lang w:val="en-US" w:eastAsia="zh-CN" w:bidi="ar"/>
              </w:rPr>
              <w:t>事故池</w:t>
            </w:r>
            <w:r>
              <w:rPr>
                <w:rFonts w:hint="eastAsia" w:ascii="Times New Roman" w:hAnsi="Times New Roman" w:eastAsia="宋体" w:cs="Times New Roman"/>
                <w:color w:val="auto"/>
                <w:kern w:val="0"/>
                <w:sz w:val="24"/>
                <w:szCs w:val="24"/>
                <w:highlight w:val="none"/>
                <w:lang w:val="en-US" w:eastAsia="zh-CN" w:bidi="ar"/>
              </w:rPr>
              <w:t>处理</w:t>
            </w:r>
            <w:r>
              <w:rPr>
                <w:rFonts w:hint="eastAsia"/>
                <w:bCs/>
                <w:color w:val="auto"/>
                <w:szCs w:val="21"/>
                <w:lang w:val="en-US" w:eastAsia="zh-CN"/>
              </w:rPr>
              <w:t>事故状态的非正常排放废水。</w:t>
            </w:r>
          </w:p>
          <w:p w14:paraId="3770B35B">
            <w:pPr>
              <w:autoSpaceDE w:val="0"/>
              <w:autoSpaceDN w:val="0"/>
              <w:snapToGrid w:val="0"/>
              <w:spacing w:line="360" w:lineRule="auto"/>
              <w:ind w:firstLine="480" w:firstLineChars="200"/>
              <w:rPr>
                <w:rFonts w:ascii="Times New Roman" w:hAnsi="Times New Roman"/>
                <w:bCs/>
                <w:color w:val="auto"/>
                <w:szCs w:val="21"/>
              </w:rPr>
            </w:pPr>
            <w:r>
              <w:rPr>
                <w:rFonts w:hint="eastAsia"/>
                <w:bCs/>
                <w:color w:val="auto"/>
                <w:szCs w:val="21"/>
                <w:lang w:val="en-US" w:eastAsia="zh-CN"/>
              </w:rPr>
              <w:t>⑤</w:t>
            </w:r>
            <w:r>
              <w:rPr>
                <w:rFonts w:ascii="Times New Roman" w:hAnsi="Times New Roman"/>
                <w:bCs/>
                <w:color w:val="auto"/>
                <w:szCs w:val="21"/>
              </w:rPr>
              <w:t>与有资质单位签订危废处置协议，确保危废能得到妥善处置，建立台账制度。</w:t>
            </w:r>
          </w:p>
          <w:p w14:paraId="55B3C39B">
            <w:pPr>
              <w:autoSpaceDE w:val="0"/>
              <w:autoSpaceDN w:val="0"/>
              <w:snapToGrid w:val="0"/>
              <w:spacing w:line="360" w:lineRule="auto"/>
              <w:ind w:firstLine="480" w:firstLineChars="200"/>
              <w:rPr>
                <w:rFonts w:ascii="Times New Roman" w:hAnsi="Times New Roman"/>
                <w:bCs/>
                <w:color w:val="auto"/>
                <w:szCs w:val="21"/>
              </w:rPr>
            </w:pPr>
            <w:r>
              <w:rPr>
                <w:rFonts w:ascii="Times New Roman" w:hAnsi="Times New Roman"/>
                <w:bCs/>
                <w:color w:val="auto"/>
                <w:szCs w:val="21"/>
              </w:rPr>
              <w:t>综上，落实好预防管理的各项措施后，项目对地下水的影响较小。</w:t>
            </w:r>
          </w:p>
          <w:p w14:paraId="1F7C0FC1">
            <w:pPr>
              <w:autoSpaceDE w:val="0"/>
              <w:autoSpaceDN w:val="0"/>
              <w:adjustRightInd w:val="0"/>
              <w:snapToGrid w:val="0"/>
              <w:spacing w:line="360" w:lineRule="auto"/>
              <w:ind w:firstLine="482" w:firstLineChars="200"/>
              <w:jc w:val="left"/>
              <w:rPr>
                <w:rFonts w:ascii="Times New Roman" w:hAnsi="Times New Roman"/>
                <w:color w:val="auto"/>
                <w:kern w:val="0"/>
                <w:szCs w:val="21"/>
                <w:lang w:bidi="ar"/>
              </w:rPr>
            </w:pPr>
            <w:r>
              <w:rPr>
                <w:rFonts w:ascii="Times New Roman" w:hAnsi="Times New Roman"/>
                <w:b/>
                <w:color w:val="auto"/>
                <w:szCs w:val="21"/>
              </w:rPr>
              <w:t>6、土壤影响及措施</w:t>
            </w:r>
          </w:p>
          <w:p w14:paraId="4A33F238">
            <w:pPr>
              <w:autoSpaceDE w:val="0"/>
              <w:autoSpaceDN w:val="0"/>
              <w:snapToGrid w:val="0"/>
              <w:spacing w:line="360" w:lineRule="auto"/>
              <w:ind w:firstLine="440" w:firstLineChars="200"/>
              <w:rPr>
                <w:rFonts w:ascii="Times New Roman" w:hAnsi="Times New Roman"/>
                <w:bCs/>
                <w:color w:val="auto"/>
                <w:szCs w:val="21"/>
              </w:rPr>
            </w:pPr>
            <w:r>
              <w:rPr>
                <w:rFonts w:ascii="Times New Roman" w:hAnsi="Times New Roman"/>
                <w:bCs/>
                <w:color w:val="auto"/>
                <w:spacing w:val="-10"/>
                <w:szCs w:val="21"/>
              </w:rPr>
              <w:t>项目位于</w:t>
            </w:r>
            <w:r>
              <w:rPr>
                <w:rFonts w:hint="default" w:ascii="Times New Roman" w:hAnsi="Times New Roman" w:cs="Times New Roman"/>
                <w:color w:val="auto"/>
                <w:sz w:val="24"/>
              </w:rPr>
              <w:t>德宏州芒市工业园帕底片区等岗组团</w:t>
            </w:r>
            <w:r>
              <w:rPr>
                <w:rFonts w:ascii="Times New Roman" w:hAnsi="Times New Roman"/>
                <w:bCs/>
                <w:color w:val="auto"/>
                <w:spacing w:val="-10"/>
                <w:szCs w:val="21"/>
              </w:rPr>
              <w:t>，</w:t>
            </w:r>
            <w:r>
              <w:rPr>
                <w:rFonts w:ascii="Times New Roman" w:hAnsi="Times New Roman"/>
                <w:bCs/>
                <w:color w:val="auto"/>
                <w:spacing w:val="0"/>
                <w:sz w:val="24"/>
                <w:szCs w:val="21"/>
              </w:rPr>
              <w:t>土地利用类型为工业用地，不属于敏感地类。项</w:t>
            </w:r>
            <w:r>
              <w:rPr>
                <w:rFonts w:ascii="Times New Roman" w:hAnsi="Times New Roman"/>
                <w:bCs/>
                <w:color w:val="auto"/>
                <w:szCs w:val="21"/>
              </w:rPr>
              <w:t>目对土壤可能产生污染的因子为石油烃（来自废机油、废润滑油、柴油、沥青、导热油），沥青烟、苯并[a]芘，可能产生的污染途径为大气沉降、地面漫流、垂直入渗。</w:t>
            </w:r>
          </w:p>
          <w:p w14:paraId="1CDD6A89">
            <w:pPr>
              <w:autoSpaceDE w:val="0"/>
              <w:autoSpaceDN w:val="0"/>
              <w:snapToGrid w:val="0"/>
              <w:spacing w:line="360" w:lineRule="auto"/>
              <w:ind w:firstLine="440" w:firstLineChars="200"/>
              <w:rPr>
                <w:rFonts w:ascii="Times New Roman" w:hAnsi="Times New Roman"/>
                <w:bCs/>
                <w:color w:val="auto"/>
                <w:szCs w:val="21"/>
              </w:rPr>
            </w:pPr>
            <w:r>
              <w:rPr>
                <w:rFonts w:ascii="Times New Roman" w:hAnsi="Times New Roman"/>
                <w:bCs/>
                <w:color w:val="auto"/>
                <w:spacing w:val="-10"/>
                <w:szCs w:val="21"/>
              </w:rPr>
              <w:t>（1）大气沉降：本项目</w:t>
            </w:r>
            <w:r>
              <w:rPr>
                <w:rFonts w:ascii="Times New Roman" w:hAnsi="Times New Roman"/>
                <w:bCs/>
                <w:color w:val="auto"/>
                <w:szCs w:val="21"/>
              </w:rPr>
              <w:t>沥青烟、苯并[a]芘经过“</w:t>
            </w:r>
            <w:r>
              <w:rPr>
                <w:rFonts w:hint="eastAsia"/>
                <w:bCs/>
                <w:color w:val="auto"/>
                <w:sz w:val="24"/>
                <w:lang w:eastAsia="zh-CN"/>
              </w:rPr>
              <w:t>布袋除尘器</w:t>
            </w:r>
            <w:r>
              <w:rPr>
                <w:rFonts w:ascii="Times New Roman" w:hAnsi="Times New Roman"/>
                <w:bCs/>
                <w:color w:val="auto"/>
                <w:szCs w:val="21"/>
              </w:rPr>
              <w:t>+</w:t>
            </w:r>
            <w:r>
              <w:rPr>
                <w:rFonts w:hint="eastAsia"/>
                <w:bCs/>
                <w:color w:val="auto"/>
                <w:szCs w:val="21"/>
                <w:lang w:val="en-US" w:eastAsia="zh-CN"/>
              </w:rPr>
              <w:t>二级</w:t>
            </w:r>
            <w:r>
              <w:rPr>
                <w:rFonts w:ascii="Times New Roman" w:hAnsi="Times New Roman"/>
                <w:bCs/>
                <w:color w:val="auto"/>
                <w:szCs w:val="21"/>
              </w:rPr>
              <w:t>活性炭吸附”处理后排放量较小，且沥青烟、苯并[a]芘不属于沉降型污染物，排放后沉降到土壤中富集造成土壤影响的可能性较小。</w:t>
            </w:r>
          </w:p>
          <w:p w14:paraId="53AEDA82">
            <w:pPr>
              <w:autoSpaceDE w:val="0"/>
              <w:autoSpaceDN w:val="0"/>
              <w:snapToGrid w:val="0"/>
              <w:spacing w:line="360" w:lineRule="auto"/>
              <w:ind w:firstLine="480" w:firstLineChars="200"/>
              <w:rPr>
                <w:rFonts w:ascii="Times New Roman" w:hAnsi="Times New Roman"/>
                <w:bCs/>
                <w:color w:val="auto"/>
                <w:spacing w:val="0"/>
                <w:sz w:val="24"/>
                <w:szCs w:val="21"/>
              </w:rPr>
            </w:pPr>
            <w:r>
              <w:rPr>
                <w:rFonts w:ascii="Times New Roman" w:hAnsi="Times New Roman"/>
                <w:bCs/>
                <w:color w:val="auto"/>
                <w:spacing w:val="0"/>
                <w:sz w:val="24"/>
                <w:szCs w:val="21"/>
              </w:rPr>
              <w:t>（2）地面漫流：若柴油储罐、沥青罐、危废暂存容器出现破损，管道出现跑冒滴漏等事故，物质大量泄漏后，会发生地面漫流，对未防渗区域土壤造成影响。本项目在柴油储罐、沥青罐周围设置围堰，危废暂存间按照要求设置围堰，发生事故后经过围堰截流，并立即响应处理，发生地面漫流的可能很小。管道出现跑冒滴漏情况下，立即停止供料，开展检修，并及时采用密闭容器收集滴漏的油类、沥青，采用毡布处理地面油类物质，得到有效处理后发生地面漫流的可能性较小。</w:t>
            </w:r>
          </w:p>
          <w:p w14:paraId="6AB0ADC8">
            <w:pPr>
              <w:autoSpaceDE w:val="0"/>
              <w:autoSpaceDN w:val="0"/>
              <w:snapToGrid w:val="0"/>
              <w:spacing w:line="360" w:lineRule="auto"/>
              <w:ind w:firstLine="480" w:firstLineChars="200"/>
              <w:rPr>
                <w:rFonts w:ascii="Times New Roman" w:hAnsi="Times New Roman"/>
                <w:bCs/>
                <w:color w:val="auto"/>
                <w:spacing w:val="0"/>
                <w:sz w:val="24"/>
                <w:szCs w:val="21"/>
              </w:rPr>
            </w:pPr>
            <w:r>
              <w:rPr>
                <w:rFonts w:ascii="Times New Roman" w:hAnsi="Times New Roman"/>
                <w:bCs/>
                <w:color w:val="auto"/>
                <w:spacing w:val="0"/>
                <w:sz w:val="24"/>
                <w:szCs w:val="21"/>
              </w:rPr>
              <w:t>（3）垂直入渗：项目柴油储罐、沥青储罐及危废暂存间均按照重点防渗区进行防渗：</w:t>
            </w:r>
            <w:r>
              <w:rPr>
                <w:rFonts w:hint="default" w:ascii="Times New Roman" w:hAnsi="Times New Roman" w:cs="Times New Roman"/>
                <w:bCs/>
                <w:color w:val="auto"/>
                <w:sz w:val="24"/>
                <w:szCs w:val="24"/>
                <w:lang w:val="en-US" w:eastAsia="zh-CN"/>
              </w:rPr>
              <w:t>其中</w:t>
            </w:r>
            <w:r>
              <w:rPr>
                <w:rFonts w:hint="default" w:ascii="Times New Roman" w:hAnsi="Times New Roman" w:cs="Times New Roman"/>
                <w:bCs/>
                <w:color w:val="auto"/>
                <w:sz w:val="24"/>
                <w:szCs w:val="24"/>
              </w:rPr>
              <w:t>危废暂存间基础采取至少2mm厚的防渗人工材料，渗透系数应≤1×10</w:t>
            </w:r>
            <w:r>
              <w:rPr>
                <w:rFonts w:hint="default" w:ascii="Times New Roman" w:hAnsi="Times New Roman" w:cs="Times New Roman"/>
                <w:bCs/>
                <w:color w:val="auto"/>
                <w:sz w:val="24"/>
                <w:szCs w:val="24"/>
                <w:vertAlign w:val="superscript"/>
              </w:rPr>
              <w:t>-10</w:t>
            </w:r>
            <w:r>
              <w:rPr>
                <w:rFonts w:hint="default" w:ascii="Times New Roman" w:hAnsi="Times New Roman" w:cs="Times New Roman"/>
                <w:bCs/>
                <w:color w:val="auto"/>
                <w:sz w:val="24"/>
                <w:szCs w:val="24"/>
              </w:rPr>
              <w:t>cm/s；沥青储罐和柴油储罐区</w:t>
            </w:r>
            <w:r>
              <w:rPr>
                <w:rFonts w:hint="default" w:ascii="Times New Roman" w:hAnsi="Times New Roman" w:cs="Times New Roman"/>
                <w:color w:val="auto"/>
                <w:sz w:val="24"/>
                <w:szCs w:val="24"/>
              </w:rPr>
              <w:t>防渗层防渗要求为等效厚度≥6m，渗透系数≤1.0×10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w:t>
            </w:r>
            <w:r>
              <w:rPr>
                <w:rFonts w:ascii="Times New Roman" w:hAnsi="Times New Roman"/>
                <w:bCs/>
                <w:color w:val="auto"/>
                <w:sz w:val="24"/>
                <w:szCs w:val="24"/>
              </w:rPr>
              <w:t>。</w:t>
            </w:r>
            <w:r>
              <w:rPr>
                <w:rFonts w:ascii="Times New Roman" w:hAnsi="Times New Roman"/>
                <w:bCs/>
                <w:color w:val="auto"/>
                <w:spacing w:val="0"/>
                <w:sz w:val="24"/>
                <w:szCs w:val="21"/>
              </w:rPr>
              <w:t>若发生容器泄漏后经过采取防渗措施，通过垂直入渗造成土壤污染的可能性较小；管道出现跑冒滴漏情况下，立即停止供料，开展检修，并及时采用密闭容器收集滴漏的油类、沥青，采用毡布处理地面油类物质，禁止地面有积油，且生产区采取水泥混凝土地面硬化，因此发生垂直入渗造成土壤污染的可能性较小。</w:t>
            </w:r>
          </w:p>
          <w:p w14:paraId="0DE7D365">
            <w:pPr>
              <w:autoSpaceDE w:val="0"/>
              <w:autoSpaceDN w:val="0"/>
              <w:snapToGrid w:val="0"/>
              <w:spacing w:line="360" w:lineRule="auto"/>
              <w:ind w:firstLine="480" w:firstLineChars="200"/>
              <w:rPr>
                <w:rFonts w:ascii="Times New Roman" w:hAnsi="Times New Roman"/>
                <w:bCs/>
                <w:color w:val="auto"/>
                <w:spacing w:val="0"/>
                <w:sz w:val="24"/>
                <w:szCs w:val="21"/>
              </w:rPr>
            </w:pPr>
            <w:r>
              <w:rPr>
                <w:rFonts w:ascii="Times New Roman" w:hAnsi="Times New Roman"/>
                <w:bCs/>
                <w:color w:val="auto"/>
                <w:spacing w:val="0"/>
                <w:sz w:val="24"/>
                <w:szCs w:val="21"/>
              </w:rPr>
              <w:t>在采取上诉措施后（土壤防治措施同地下水措施），对土壤环境影响较小。</w:t>
            </w:r>
          </w:p>
          <w:p w14:paraId="64FAD6E8">
            <w:pPr>
              <w:autoSpaceDE w:val="0"/>
              <w:autoSpaceDN w:val="0"/>
              <w:adjustRightInd w:val="0"/>
              <w:snapToGrid w:val="0"/>
              <w:spacing w:line="360" w:lineRule="auto"/>
              <w:ind w:firstLine="482" w:firstLineChars="200"/>
              <w:jc w:val="left"/>
              <w:rPr>
                <w:rFonts w:ascii="Times New Roman" w:hAnsi="Times New Roman"/>
                <w:color w:val="auto"/>
                <w:kern w:val="0"/>
                <w:szCs w:val="21"/>
                <w:lang w:bidi="ar"/>
              </w:rPr>
            </w:pPr>
            <w:r>
              <w:rPr>
                <w:rFonts w:ascii="Times New Roman" w:hAnsi="Times New Roman"/>
                <w:b/>
                <w:color w:val="auto"/>
                <w:szCs w:val="21"/>
              </w:rPr>
              <w:t>7、环境风险</w:t>
            </w:r>
          </w:p>
          <w:p w14:paraId="0BAC0CF4">
            <w:pPr>
              <w:autoSpaceDE w:val="0"/>
              <w:autoSpaceDN w:val="0"/>
              <w:snapToGrid w:val="0"/>
              <w:spacing w:line="360" w:lineRule="auto"/>
              <w:ind w:firstLine="480" w:firstLineChars="200"/>
              <w:rPr>
                <w:rFonts w:hint="eastAsia"/>
                <w:bCs/>
                <w:color w:val="auto"/>
                <w:spacing w:val="0"/>
                <w:sz w:val="24"/>
                <w:szCs w:val="21"/>
                <w:lang w:eastAsia="zh-CN"/>
              </w:rPr>
            </w:pPr>
            <w:r>
              <w:rPr>
                <w:rFonts w:ascii="Times New Roman" w:hAnsi="Times New Roman"/>
                <w:bCs/>
                <w:color w:val="auto"/>
                <w:spacing w:val="0"/>
                <w:sz w:val="24"/>
                <w:szCs w:val="21"/>
              </w:rPr>
              <w:t>本项目涉及的环境风险物质</w:t>
            </w:r>
            <w:r>
              <w:rPr>
                <w:rFonts w:hint="eastAsia"/>
                <w:bCs/>
                <w:color w:val="auto"/>
                <w:spacing w:val="0"/>
                <w:sz w:val="24"/>
                <w:szCs w:val="21"/>
                <w:lang w:val="en-US" w:eastAsia="zh-CN"/>
              </w:rPr>
              <w:t>有</w:t>
            </w:r>
            <w:r>
              <w:rPr>
                <w:rFonts w:ascii="Times New Roman" w:hAnsi="Times New Roman"/>
                <w:bCs/>
                <w:color w:val="auto"/>
                <w:spacing w:val="0"/>
                <w:sz w:val="24"/>
                <w:szCs w:val="21"/>
              </w:rPr>
              <w:t>柴油、导热油、废机油、废润滑油、石油沥青</w:t>
            </w:r>
            <w:r>
              <w:rPr>
                <w:rFonts w:hint="eastAsia"/>
                <w:bCs/>
                <w:color w:val="auto"/>
                <w:spacing w:val="0"/>
                <w:sz w:val="24"/>
                <w:szCs w:val="21"/>
                <w:lang w:eastAsia="zh-CN"/>
              </w:rPr>
              <w:t>、</w:t>
            </w:r>
            <w:r>
              <w:rPr>
                <w:rFonts w:hint="eastAsia"/>
                <w:bCs/>
                <w:color w:val="auto"/>
                <w:spacing w:val="0"/>
                <w:sz w:val="24"/>
                <w:szCs w:val="21"/>
                <w:lang w:val="en-US" w:eastAsia="zh-CN"/>
              </w:rPr>
              <w:t>二氧化硫、二氧化氮。其中</w:t>
            </w:r>
            <w:r>
              <w:rPr>
                <w:rFonts w:ascii="Times New Roman" w:hAnsi="Times New Roman"/>
                <w:bCs/>
                <w:color w:val="auto"/>
                <w:spacing w:val="0"/>
                <w:sz w:val="24"/>
                <w:szCs w:val="21"/>
              </w:rPr>
              <w:t>柴油、导热油、废机油、废润滑油、石油沥青，均属于油类物质，根据《建设项目环境风险评价技术导则》（HJ169-2018），油类物质的临界量为2500t，项目柴油储罐</w:t>
            </w:r>
            <w:r>
              <w:rPr>
                <w:rFonts w:hint="eastAsia"/>
                <w:bCs/>
                <w:color w:val="auto"/>
                <w:spacing w:val="0"/>
                <w:sz w:val="24"/>
                <w:szCs w:val="21"/>
                <w:lang w:val="en-US" w:eastAsia="zh-CN"/>
              </w:rPr>
              <w:t>2</w:t>
            </w:r>
            <w:r>
              <w:rPr>
                <w:rFonts w:ascii="Times New Roman" w:hAnsi="Times New Roman"/>
                <w:bCs/>
                <w:color w:val="auto"/>
                <w:spacing w:val="0"/>
                <w:sz w:val="24"/>
                <w:szCs w:val="21"/>
              </w:rPr>
              <w:t>个，暂存量为</w:t>
            </w:r>
            <w:r>
              <w:rPr>
                <w:rFonts w:hint="eastAsia"/>
                <w:bCs/>
                <w:color w:val="auto"/>
                <w:spacing w:val="0"/>
                <w:sz w:val="24"/>
                <w:szCs w:val="21"/>
                <w:lang w:val="en-US" w:eastAsia="zh-CN"/>
              </w:rPr>
              <w:t>80</w:t>
            </w:r>
            <w:r>
              <w:rPr>
                <w:rFonts w:ascii="Times New Roman" w:hAnsi="Times New Roman"/>
                <w:bCs/>
                <w:color w:val="auto"/>
                <w:spacing w:val="0"/>
                <w:sz w:val="24"/>
                <w:szCs w:val="21"/>
              </w:rPr>
              <w:t>t</w:t>
            </w:r>
            <w:r>
              <w:rPr>
                <w:rFonts w:hint="eastAsia"/>
                <w:bCs/>
                <w:color w:val="auto"/>
                <w:spacing w:val="0"/>
                <w:sz w:val="24"/>
                <w:szCs w:val="21"/>
                <w:lang w:val="en-US" w:eastAsia="zh-CN"/>
              </w:rPr>
              <w:t>；</w:t>
            </w:r>
            <w:r>
              <w:rPr>
                <w:rFonts w:ascii="Times New Roman" w:hAnsi="Times New Roman"/>
                <w:bCs/>
                <w:color w:val="auto"/>
                <w:spacing w:val="0"/>
                <w:sz w:val="24"/>
                <w:szCs w:val="21"/>
              </w:rPr>
              <w:t>沥青储罐</w:t>
            </w:r>
            <w:r>
              <w:rPr>
                <w:rFonts w:hint="eastAsia"/>
                <w:bCs/>
                <w:color w:val="auto"/>
                <w:spacing w:val="0"/>
                <w:sz w:val="24"/>
                <w:szCs w:val="21"/>
                <w:lang w:val="en-US" w:eastAsia="zh-CN"/>
              </w:rPr>
              <w:t>3</w:t>
            </w:r>
            <w:r>
              <w:rPr>
                <w:rFonts w:ascii="Times New Roman" w:hAnsi="Times New Roman"/>
                <w:bCs/>
                <w:color w:val="auto"/>
                <w:spacing w:val="0"/>
                <w:sz w:val="24"/>
                <w:szCs w:val="21"/>
              </w:rPr>
              <w:t>个，贮存量为</w:t>
            </w:r>
            <w:r>
              <w:rPr>
                <w:rFonts w:hint="eastAsia"/>
                <w:bCs/>
                <w:color w:val="auto"/>
                <w:spacing w:val="0"/>
                <w:sz w:val="24"/>
                <w:szCs w:val="21"/>
                <w:lang w:val="en-US" w:eastAsia="zh-CN"/>
              </w:rPr>
              <w:t>280</w:t>
            </w:r>
            <w:r>
              <w:rPr>
                <w:rFonts w:ascii="Times New Roman" w:hAnsi="Times New Roman"/>
                <w:bCs/>
                <w:color w:val="auto"/>
                <w:spacing w:val="0"/>
                <w:sz w:val="24"/>
                <w:szCs w:val="21"/>
              </w:rPr>
              <w:t>t</w:t>
            </w:r>
            <w:r>
              <w:rPr>
                <w:rFonts w:hint="eastAsia"/>
                <w:bCs/>
                <w:color w:val="auto"/>
                <w:spacing w:val="0"/>
                <w:sz w:val="24"/>
                <w:szCs w:val="21"/>
                <w:lang w:eastAsia="zh-CN"/>
              </w:rPr>
              <w:t>；</w:t>
            </w:r>
            <w:r>
              <w:rPr>
                <w:rFonts w:ascii="Times New Roman" w:hAnsi="Times New Roman"/>
                <w:bCs/>
                <w:color w:val="auto"/>
                <w:spacing w:val="0"/>
                <w:sz w:val="24"/>
                <w:szCs w:val="21"/>
              </w:rPr>
              <w:t>导热油储量为</w:t>
            </w:r>
            <w:r>
              <w:rPr>
                <w:rFonts w:hint="eastAsia"/>
                <w:bCs/>
                <w:color w:val="auto"/>
                <w:spacing w:val="0"/>
                <w:sz w:val="24"/>
                <w:szCs w:val="21"/>
                <w:lang w:val="en-US" w:eastAsia="zh-CN"/>
              </w:rPr>
              <w:t>18</w:t>
            </w:r>
            <w:r>
              <w:rPr>
                <w:rFonts w:ascii="Times New Roman" w:hAnsi="Times New Roman"/>
                <w:bCs/>
                <w:color w:val="auto"/>
                <w:spacing w:val="0"/>
                <w:sz w:val="24"/>
                <w:szCs w:val="21"/>
              </w:rPr>
              <w:t>t</w:t>
            </w:r>
            <w:r>
              <w:rPr>
                <w:rFonts w:hint="eastAsia"/>
                <w:bCs/>
                <w:color w:val="auto"/>
                <w:spacing w:val="0"/>
                <w:sz w:val="24"/>
                <w:szCs w:val="21"/>
                <w:lang w:eastAsia="zh-CN"/>
              </w:rPr>
              <w:t>；</w:t>
            </w:r>
            <w:r>
              <w:rPr>
                <w:rFonts w:ascii="Times New Roman" w:hAnsi="Times New Roman"/>
                <w:bCs/>
                <w:color w:val="auto"/>
                <w:spacing w:val="0"/>
                <w:sz w:val="24"/>
                <w:szCs w:val="21"/>
              </w:rPr>
              <w:t>废机油、废润滑油产生量为0.</w:t>
            </w:r>
            <w:r>
              <w:rPr>
                <w:rFonts w:hint="eastAsia"/>
                <w:bCs/>
                <w:color w:val="auto"/>
                <w:spacing w:val="0"/>
                <w:sz w:val="24"/>
                <w:szCs w:val="21"/>
                <w:lang w:val="en-US" w:eastAsia="zh-CN"/>
              </w:rPr>
              <w:t>5</w:t>
            </w:r>
            <w:r>
              <w:rPr>
                <w:rFonts w:ascii="Times New Roman" w:hAnsi="Times New Roman"/>
                <w:bCs/>
                <w:color w:val="auto"/>
                <w:spacing w:val="0"/>
                <w:sz w:val="24"/>
                <w:szCs w:val="21"/>
              </w:rPr>
              <w:t>t</w:t>
            </w:r>
            <w:r>
              <w:rPr>
                <w:rFonts w:hint="eastAsia"/>
                <w:bCs/>
                <w:color w:val="auto"/>
                <w:spacing w:val="0"/>
                <w:sz w:val="24"/>
                <w:szCs w:val="21"/>
                <w:lang w:eastAsia="zh-CN"/>
              </w:rPr>
              <w:t>。</w:t>
            </w:r>
          </w:p>
          <w:p w14:paraId="2FE4C5B3">
            <w:pPr>
              <w:autoSpaceDE w:val="0"/>
              <w:autoSpaceDN w:val="0"/>
              <w:snapToGrid w:val="0"/>
              <w:spacing w:line="360" w:lineRule="auto"/>
              <w:ind w:firstLine="480" w:firstLineChars="200"/>
              <w:rPr>
                <w:rFonts w:hint="default" w:ascii="Times New Roman" w:hAnsi="Times New Roman" w:eastAsia="宋体" w:cs="Times New Roman"/>
                <w:b w:val="0"/>
                <w:bCs/>
                <w:color w:val="auto"/>
                <w:spacing w:val="0"/>
                <w:sz w:val="24"/>
                <w:szCs w:val="24"/>
                <w:lang w:val="en-US" w:eastAsia="zh-CN"/>
              </w:rPr>
            </w:pPr>
            <w:r>
              <w:rPr>
                <w:rFonts w:hint="eastAsia"/>
                <w:bCs/>
                <w:color w:val="auto"/>
                <w:spacing w:val="0"/>
                <w:sz w:val="24"/>
                <w:szCs w:val="21"/>
                <w:lang w:val="en-US" w:eastAsia="zh-CN"/>
              </w:rPr>
              <w:t>项目燃油燃烧器产生的二氧化硫及二氧化氮未处理前在管道内存在一定的在线量，管道容积分别按照10m</w:t>
            </w:r>
            <w:r>
              <w:rPr>
                <w:rFonts w:hint="eastAsia"/>
                <w:bCs/>
                <w:color w:val="auto"/>
                <w:spacing w:val="0"/>
                <w:sz w:val="24"/>
                <w:szCs w:val="21"/>
                <w:vertAlign w:val="superscript"/>
                <w:lang w:val="en-US" w:eastAsia="zh-CN"/>
              </w:rPr>
              <w:t>3</w:t>
            </w:r>
            <w:r>
              <w:rPr>
                <w:rFonts w:hint="eastAsia"/>
                <w:bCs/>
                <w:color w:val="auto"/>
                <w:spacing w:val="0"/>
                <w:sz w:val="24"/>
                <w:szCs w:val="21"/>
                <w:lang w:val="en-US" w:eastAsia="zh-CN"/>
              </w:rPr>
              <w:t>计算，1#生产线未处理的二氧化硫及二氧化氮浓度分别</w:t>
            </w:r>
            <w:r>
              <w:rPr>
                <w:rFonts w:hint="default" w:ascii="Times New Roman" w:hAnsi="Times New Roman" w:cs="Times New Roman"/>
                <w:b w:val="0"/>
                <w:bCs/>
                <w:color w:val="auto"/>
                <w:spacing w:val="0"/>
                <w:sz w:val="24"/>
                <w:szCs w:val="24"/>
                <w:lang w:val="en-US" w:eastAsia="zh-CN"/>
              </w:rPr>
              <w:t>为</w:t>
            </w:r>
            <w:r>
              <w:rPr>
                <w:rFonts w:hint="eastAsia" w:ascii="Times New Roman" w:hAnsi="Times New Roman" w:cs="Times New Roman"/>
                <w:b w:val="0"/>
                <w:bCs/>
                <w:color w:val="auto"/>
                <w:kern w:val="0"/>
                <w:sz w:val="24"/>
                <w:szCs w:val="24"/>
                <w:lang w:val="en-US" w:eastAsia="zh-CN"/>
              </w:rPr>
              <w:t>0.203</w:t>
            </w:r>
            <w:r>
              <w:rPr>
                <w:rFonts w:hint="default" w:ascii="Times New Roman" w:hAnsi="Times New Roman" w:eastAsia="宋体" w:cs="Times New Roman"/>
                <w:b w:val="0"/>
                <w:bCs/>
                <w:color w:val="auto"/>
                <w:kern w:val="0"/>
                <w:sz w:val="24"/>
                <w:szCs w:val="24"/>
                <w:lang w:bidi="ar"/>
              </w:rPr>
              <w:t>mg/m</w:t>
            </w:r>
            <w:r>
              <w:rPr>
                <w:rFonts w:hint="default" w:ascii="Times New Roman" w:hAnsi="Times New Roman" w:eastAsia="宋体" w:cs="Times New Roman"/>
                <w:b w:val="0"/>
                <w:bCs/>
                <w:color w:val="auto"/>
                <w:kern w:val="0"/>
                <w:sz w:val="24"/>
                <w:szCs w:val="24"/>
                <w:vertAlign w:val="superscript"/>
                <w:lang w:bidi="ar"/>
              </w:rPr>
              <w:t>3</w:t>
            </w:r>
            <w:r>
              <w:rPr>
                <w:rFonts w:hint="default" w:ascii="Times New Roman" w:hAnsi="Times New Roman" w:cs="Times New Roman"/>
                <w:b w:val="0"/>
                <w:bCs/>
                <w:color w:val="auto"/>
                <w:kern w:val="0"/>
                <w:sz w:val="24"/>
                <w:szCs w:val="24"/>
                <w:lang w:val="en-US" w:eastAsia="zh-CN" w:bidi="ar"/>
              </w:rPr>
              <w:t>、</w:t>
            </w:r>
            <w:r>
              <w:rPr>
                <w:rFonts w:hint="eastAsia" w:ascii="Times New Roman" w:hAnsi="Times New Roman" w:cs="Times New Roman"/>
                <w:b w:val="0"/>
                <w:bCs/>
                <w:color w:val="auto"/>
                <w:kern w:val="0"/>
                <w:sz w:val="24"/>
                <w:szCs w:val="24"/>
                <w:lang w:val="en-US" w:eastAsia="zh-CN"/>
              </w:rPr>
              <w:t>6.463</w:t>
            </w:r>
            <w:r>
              <w:rPr>
                <w:rFonts w:hint="default" w:ascii="Times New Roman" w:hAnsi="Times New Roman" w:eastAsia="宋体" w:cs="Times New Roman"/>
                <w:b w:val="0"/>
                <w:bCs/>
                <w:color w:val="auto"/>
                <w:kern w:val="0"/>
                <w:sz w:val="24"/>
                <w:szCs w:val="24"/>
                <w:lang w:bidi="ar"/>
              </w:rPr>
              <w:t>mg/m</w:t>
            </w:r>
            <w:r>
              <w:rPr>
                <w:rFonts w:hint="default" w:ascii="Times New Roman" w:hAnsi="Times New Roman" w:eastAsia="宋体" w:cs="Times New Roman"/>
                <w:b w:val="0"/>
                <w:bCs/>
                <w:color w:val="auto"/>
                <w:kern w:val="0"/>
                <w:sz w:val="24"/>
                <w:szCs w:val="24"/>
                <w:vertAlign w:val="superscript"/>
                <w:lang w:bidi="ar"/>
              </w:rPr>
              <w:t>3</w:t>
            </w:r>
            <w:r>
              <w:rPr>
                <w:rFonts w:hint="default" w:ascii="Times New Roman" w:hAnsi="Times New Roman" w:cs="Times New Roman"/>
                <w:b w:val="0"/>
                <w:bCs/>
                <w:color w:val="auto"/>
                <w:kern w:val="0"/>
                <w:sz w:val="24"/>
                <w:szCs w:val="24"/>
                <w:lang w:eastAsia="zh-CN" w:bidi="ar"/>
              </w:rPr>
              <w:t>，</w:t>
            </w:r>
            <w:r>
              <w:rPr>
                <w:rFonts w:hint="default" w:ascii="Times New Roman" w:hAnsi="Times New Roman" w:cs="Times New Roman"/>
                <w:b w:val="0"/>
                <w:bCs/>
                <w:color w:val="auto"/>
                <w:kern w:val="0"/>
                <w:sz w:val="24"/>
                <w:szCs w:val="24"/>
                <w:lang w:val="en-US" w:eastAsia="zh-CN" w:bidi="ar"/>
              </w:rPr>
              <w:t>则计算出</w:t>
            </w:r>
            <w:r>
              <w:rPr>
                <w:rFonts w:hint="eastAsia"/>
                <w:bCs/>
                <w:color w:val="auto"/>
                <w:spacing w:val="0"/>
                <w:sz w:val="24"/>
                <w:szCs w:val="21"/>
                <w:lang w:val="en-US" w:eastAsia="zh-CN"/>
              </w:rPr>
              <w:t>1#生产线</w:t>
            </w:r>
            <w:r>
              <w:rPr>
                <w:rFonts w:hint="default" w:ascii="Times New Roman" w:hAnsi="Times New Roman" w:cs="Times New Roman"/>
                <w:b w:val="0"/>
                <w:bCs/>
                <w:color w:val="auto"/>
                <w:spacing w:val="0"/>
                <w:sz w:val="24"/>
                <w:szCs w:val="24"/>
                <w:lang w:val="en-US" w:eastAsia="zh-CN"/>
              </w:rPr>
              <w:t>二氧化硫及二氧化氮</w:t>
            </w:r>
            <w:r>
              <w:rPr>
                <w:rFonts w:hint="default" w:ascii="Times New Roman" w:hAnsi="Times New Roman" w:cs="Times New Roman"/>
                <w:b w:val="0"/>
                <w:bCs/>
                <w:color w:val="auto"/>
                <w:kern w:val="0"/>
                <w:sz w:val="24"/>
                <w:szCs w:val="24"/>
                <w:lang w:val="en-US" w:eastAsia="zh-CN" w:bidi="ar"/>
              </w:rPr>
              <w:t>在线量分别为0.0000000</w:t>
            </w:r>
            <w:r>
              <w:rPr>
                <w:rFonts w:hint="eastAsia" w:ascii="Times New Roman" w:hAnsi="Times New Roman" w:cs="Times New Roman"/>
                <w:b w:val="0"/>
                <w:bCs/>
                <w:color w:val="auto"/>
                <w:kern w:val="0"/>
                <w:sz w:val="24"/>
                <w:szCs w:val="24"/>
                <w:lang w:val="en-US" w:eastAsia="zh-CN" w:bidi="ar"/>
              </w:rPr>
              <w:t>0</w:t>
            </w:r>
            <w:r>
              <w:rPr>
                <w:rFonts w:hint="default" w:ascii="Times New Roman" w:hAnsi="Times New Roman" w:cs="Times New Roman"/>
                <w:b w:val="0"/>
                <w:bCs/>
                <w:color w:val="auto"/>
                <w:kern w:val="0"/>
                <w:sz w:val="24"/>
                <w:szCs w:val="24"/>
                <w:lang w:val="en-US" w:eastAsia="zh-CN" w:bidi="ar"/>
              </w:rPr>
              <w:t>2</w:t>
            </w:r>
            <w:r>
              <w:rPr>
                <w:rFonts w:hint="eastAsia" w:ascii="Times New Roman" w:hAnsi="Times New Roman" w:cs="Times New Roman"/>
                <w:b w:val="0"/>
                <w:bCs/>
                <w:color w:val="auto"/>
                <w:kern w:val="0"/>
                <w:sz w:val="24"/>
                <w:szCs w:val="24"/>
                <w:lang w:val="en-US" w:eastAsia="zh-CN" w:bidi="ar"/>
              </w:rPr>
              <w:t>0</w:t>
            </w:r>
            <w:r>
              <w:rPr>
                <w:rFonts w:hint="default" w:ascii="Times New Roman" w:hAnsi="Times New Roman" w:cs="Times New Roman"/>
                <w:b w:val="0"/>
                <w:bCs/>
                <w:color w:val="auto"/>
                <w:kern w:val="0"/>
                <w:sz w:val="24"/>
                <w:szCs w:val="24"/>
                <w:lang w:val="en-US" w:eastAsia="zh-CN" w:bidi="ar"/>
              </w:rPr>
              <w:t>3</w:t>
            </w:r>
            <w:r>
              <w:rPr>
                <w:rFonts w:hint="default" w:ascii="Times New Roman" w:hAnsi="Times New Roman" w:cs="Times New Roman"/>
                <w:b w:val="0"/>
                <w:bCs/>
                <w:color w:val="auto"/>
                <w:spacing w:val="0"/>
                <w:sz w:val="24"/>
                <w:szCs w:val="24"/>
              </w:rPr>
              <w:t>t</w:t>
            </w:r>
            <w:r>
              <w:rPr>
                <w:rFonts w:hint="default" w:ascii="Times New Roman" w:hAnsi="Times New Roman" w:cs="Times New Roman"/>
                <w:b w:val="0"/>
                <w:bCs/>
                <w:color w:val="auto"/>
                <w:spacing w:val="0"/>
                <w:sz w:val="24"/>
                <w:szCs w:val="24"/>
                <w:lang w:eastAsia="zh-CN"/>
              </w:rPr>
              <w:t>、</w:t>
            </w:r>
            <w:r>
              <w:rPr>
                <w:rFonts w:hint="default" w:ascii="Times New Roman" w:hAnsi="Times New Roman" w:cs="Times New Roman"/>
                <w:b w:val="0"/>
                <w:bCs/>
                <w:color w:val="auto"/>
                <w:kern w:val="0"/>
                <w:sz w:val="24"/>
                <w:szCs w:val="24"/>
                <w:lang w:val="en-US" w:eastAsia="zh-CN" w:bidi="ar"/>
              </w:rPr>
              <w:t>0.0000000</w:t>
            </w:r>
            <w:r>
              <w:rPr>
                <w:rFonts w:hint="eastAsia" w:ascii="Times New Roman" w:hAnsi="Times New Roman" w:cs="Times New Roman"/>
                <w:b w:val="0"/>
                <w:bCs/>
                <w:color w:val="auto"/>
                <w:kern w:val="0"/>
                <w:sz w:val="24"/>
                <w:szCs w:val="24"/>
                <w:lang w:val="en-US" w:eastAsia="zh-CN" w:bidi="ar"/>
              </w:rPr>
              <w:t>65</w:t>
            </w:r>
            <w:r>
              <w:rPr>
                <w:rFonts w:hint="default" w:ascii="Times New Roman" w:hAnsi="Times New Roman" w:cs="Times New Roman"/>
                <w:b w:val="0"/>
                <w:bCs/>
                <w:color w:val="auto"/>
                <w:spacing w:val="0"/>
                <w:sz w:val="24"/>
                <w:szCs w:val="24"/>
              </w:rPr>
              <w:t>t</w:t>
            </w:r>
            <w:r>
              <w:rPr>
                <w:rFonts w:hint="eastAsia" w:ascii="Times New Roman" w:hAnsi="Times New Roman" w:cs="Times New Roman"/>
                <w:b w:val="0"/>
                <w:bCs/>
                <w:color w:val="auto"/>
                <w:spacing w:val="0"/>
                <w:sz w:val="24"/>
                <w:szCs w:val="24"/>
                <w:lang w:eastAsia="zh-CN"/>
              </w:rPr>
              <w:t>；</w:t>
            </w:r>
            <w:r>
              <w:rPr>
                <w:rFonts w:hint="eastAsia"/>
                <w:bCs/>
                <w:color w:val="auto"/>
                <w:spacing w:val="0"/>
                <w:sz w:val="24"/>
                <w:szCs w:val="21"/>
                <w:lang w:val="en-US" w:eastAsia="zh-CN"/>
              </w:rPr>
              <w:t>2#生产线未处理的二氧化硫及二氧化氮浓度分别</w:t>
            </w:r>
            <w:r>
              <w:rPr>
                <w:rFonts w:hint="default" w:ascii="Times New Roman" w:hAnsi="Times New Roman" w:cs="Times New Roman"/>
                <w:b w:val="0"/>
                <w:bCs/>
                <w:color w:val="auto"/>
                <w:spacing w:val="0"/>
                <w:sz w:val="24"/>
                <w:szCs w:val="24"/>
                <w:lang w:val="en-US" w:eastAsia="zh-CN"/>
              </w:rPr>
              <w:t>为</w:t>
            </w:r>
            <w:r>
              <w:rPr>
                <w:rFonts w:hint="eastAsia" w:ascii="Times New Roman" w:hAnsi="Times New Roman" w:cs="Times New Roman"/>
                <w:b w:val="0"/>
                <w:bCs/>
                <w:color w:val="auto"/>
                <w:kern w:val="0"/>
                <w:sz w:val="24"/>
                <w:szCs w:val="24"/>
                <w:lang w:val="en-US" w:eastAsia="zh-CN"/>
              </w:rPr>
              <w:t>0.304</w:t>
            </w:r>
            <w:r>
              <w:rPr>
                <w:rFonts w:hint="default" w:ascii="Times New Roman" w:hAnsi="Times New Roman" w:eastAsia="宋体" w:cs="Times New Roman"/>
                <w:b w:val="0"/>
                <w:bCs/>
                <w:color w:val="auto"/>
                <w:kern w:val="0"/>
                <w:sz w:val="24"/>
                <w:szCs w:val="24"/>
                <w:lang w:bidi="ar"/>
              </w:rPr>
              <w:t>mg/m</w:t>
            </w:r>
            <w:r>
              <w:rPr>
                <w:rFonts w:hint="default" w:ascii="Times New Roman" w:hAnsi="Times New Roman" w:eastAsia="宋体" w:cs="Times New Roman"/>
                <w:b w:val="0"/>
                <w:bCs/>
                <w:color w:val="auto"/>
                <w:kern w:val="0"/>
                <w:sz w:val="24"/>
                <w:szCs w:val="24"/>
                <w:vertAlign w:val="superscript"/>
                <w:lang w:bidi="ar"/>
              </w:rPr>
              <w:t>3</w:t>
            </w:r>
            <w:r>
              <w:rPr>
                <w:rFonts w:hint="default" w:ascii="Times New Roman" w:hAnsi="Times New Roman" w:cs="Times New Roman"/>
                <w:b w:val="0"/>
                <w:bCs/>
                <w:color w:val="auto"/>
                <w:kern w:val="0"/>
                <w:sz w:val="24"/>
                <w:szCs w:val="24"/>
                <w:lang w:val="en-US" w:eastAsia="zh-CN" w:bidi="ar"/>
              </w:rPr>
              <w:t>、</w:t>
            </w:r>
            <w:r>
              <w:rPr>
                <w:rFonts w:hint="eastAsia" w:ascii="Times New Roman" w:hAnsi="Times New Roman" w:cs="Times New Roman"/>
                <w:b w:val="0"/>
                <w:bCs/>
                <w:color w:val="auto"/>
                <w:kern w:val="0"/>
                <w:sz w:val="24"/>
                <w:szCs w:val="24"/>
                <w:lang w:val="en-US" w:eastAsia="zh-CN"/>
              </w:rPr>
              <w:t>9.694</w:t>
            </w:r>
            <w:r>
              <w:rPr>
                <w:rFonts w:hint="default" w:ascii="Times New Roman" w:hAnsi="Times New Roman" w:eastAsia="宋体" w:cs="Times New Roman"/>
                <w:b w:val="0"/>
                <w:bCs/>
                <w:color w:val="auto"/>
                <w:kern w:val="0"/>
                <w:sz w:val="24"/>
                <w:szCs w:val="24"/>
                <w:lang w:bidi="ar"/>
              </w:rPr>
              <w:t>mg/m</w:t>
            </w:r>
            <w:r>
              <w:rPr>
                <w:rFonts w:hint="default" w:ascii="Times New Roman" w:hAnsi="Times New Roman" w:eastAsia="宋体" w:cs="Times New Roman"/>
                <w:b w:val="0"/>
                <w:bCs/>
                <w:color w:val="auto"/>
                <w:kern w:val="0"/>
                <w:sz w:val="24"/>
                <w:szCs w:val="24"/>
                <w:vertAlign w:val="superscript"/>
                <w:lang w:bidi="ar"/>
              </w:rPr>
              <w:t>3</w:t>
            </w:r>
            <w:r>
              <w:rPr>
                <w:rFonts w:hint="default" w:ascii="Times New Roman" w:hAnsi="Times New Roman" w:cs="Times New Roman"/>
                <w:b w:val="0"/>
                <w:bCs/>
                <w:color w:val="auto"/>
                <w:kern w:val="0"/>
                <w:sz w:val="24"/>
                <w:szCs w:val="24"/>
                <w:lang w:eastAsia="zh-CN" w:bidi="ar"/>
              </w:rPr>
              <w:t>，</w:t>
            </w:r>
            <w:r>
              <w:rPr>
                <w:rFonts w:hint="default" w:ascii="Times New Roman" w:hAnsi="Times New Roman" w:cs="Times New Roman"/>
                <w:b w:val="0"/>
                <w:bCs/>
                <w:color w:val="auto"/>
                <w:kern w:val="0"/>
                <w:sz w:val="24"/>
                <w:szCs w:val="24"/>
                <w:lang w:val="en-US" w:eastAsia="zh-CN" w:bidi="ar"/>
              </w:rPr>
              <w:t>则计算出</w:t>
            </w:r>
            <w:r>
              <w:rPr>
                <w:rFonts w:hint="eastAsia"/>
                <w:bCs/>
                <w:color w:val="auto"/>
                <w:spacing w:val="0"/>
                <w:sz w:val="24"/>
                <w:szCs w:val="21"/>
                <w:lang w:val="en-US" w:eastAsia="zh-CN"/>
              </w:rPr>
              <w:t>2#生产线</w:t>
            </w:r>
            <w:r>
              <w:rPr>
                <w:rFonts w:hint="default" w:ascii="Times New Roman" w:hAnsi="Times New Roman" w:cs="Times New Roman"/>
                <w:b w:val="0"/>
                <w:bCs/>
                <w:color w:val="auto"/>
                <w:spacing w:val="0"/>
                <w:sz w:val="24"/>
                <w:szCs w:val="24"/>
                <w:lang w:val="en-US" w:eastAsia="zh-CN"/>
              </w:rPr>
              <w:t>二氧化硫及二氧化氮</w:t>
            </w:r>
            <w:r>
              <w:rPr>
                <w:rFonts w:hint="default" w:ascii="Times New Roman" w:hAnsi="Times New Roman" w:cs="Times New Roman"/>
                <w:b w:val="0"/>
                <w:bCs/>
                <w:color w:val="auto"/>
                <w:kern w:val="0"/>
                <w:sz w:val="24"/>
                <w:szCs w:val="24"/>
                <w:lang w:val="en-US" w:eastAsia="zh-CN" w:bidi="ar"/>
              </w:rPr>
              <w:t>在线量分别为0.0000000</w:t>
            </w:r>
            <w:r>
              <w:rPr>
                <w:rFonts w:hint="eastAsia" w:ascii="Times New Roman" w:hAnsi="Times New Roman" w:cs="Times New Roman"/>
                <w:b w:val="0"/>
                <w:bCs/>
                <w:color w:val="auto"/>
                <w:kern w:val="0"/>
                <w:sz w:val="24"/>
                <w:szCs w:val="24"/>
                <w:lang w:val="en-US" w:eastAsia="zh-CN" w:bidi="ar"/>
              </w:rPr>
              <w:t>0304</w:t>
            </w:r>
            <w:r>
              <w:rPr>
                <w:rFonts w:hint="default" w:ascii="Times New Roman" w:hAnsi="Times New Roman" w:cs="Times New Roman"/>
                <w:b w:val="0"/>
                <w:bCs/>
                <w:color w:val="auto"/>
                <w:spacing w:val="0"/>
                <w:sz w:val="24"/>
                <w:szCs w:val="24"/>
              </w:rPr>
              <w:t>t</w:t>
            </w:r>
            <w:r>
              <w:rPr>
                <w:rFonts w:hint="default" w:ascii="Times New Roman" w:hAnsi="Times New Roman" w:cs="Times New Roman"/>
                <w:b w:val="0"/>
                <w:bCs/>
                <w:color w:val="auto"/>
                <w:spacing w:val="0"/>
                <w:sz w:val="24"/>
                <w:szCs w:val="24"/>
                <w:lang w:eastAsia="zh-CN"/>
              </w:rPr>
              <w:t>、</w:t>
            </w:r>
            <w:r>
              <w:rPr>
                <w:rFonts w:hint="default" w:ascii="Times New Roman" w:hAnsi="Times New Roman" w:cs="Times New Roman"/>
                <w:b w:val="0"/>
                <w:bCs/>
                <w:color w:val="auto"/>
                <w:kern w:val="0"/>
                <w:sz w:val="24"/>
                <w:szCs w:val="24"/>
                <w:lang w:val="en-US" w:eastAsia="zh-CN" w:bidi="ar"/>
              </w:rPr>
              <w:t>0.0000000</w:t>
            </w:r>
            <w:r>
              <w:rPr>
                <w:rFonts w:hint="eastAsia" w:ascii="Times New Roman" w:hAnsi="Times New Roman" w:cs="Times New Roman"/>
                <w:b w:val="0"/>
                <w:bCs/>
                <w:color w:val="auto"/>
                <w:kern w:val="0"/>
                <w:sz w:val="24"/>
                <w:szCs w:val="24"/>
                <w:lang w:val="en-US" w:eastAsia="zh-CN" w:bidi="ar"/>
              </w:rPr>
              <w:t>97</w:t>
            </w:r>
            <w:r>
              <w:rPr>
                <w:rFonts w:hint="default" w:ascii="Times New Roman" w:hAnsi="Times New Roman" w:cs="Times New Roman"/>
                <w:b w:val="0"/>
                <w:bCs/>
                <w:color w:val="auto"/>
                <w:spacing w:val="0"/>
                <w:sz w:val="24"/>
                <w:szCs w:val="24"/>
              </w:rPr>
              <w:t>t</w:t>
            </w:r>
            <w:r>
              <w:rPr>
                <w:rFonts w:hint="default" w:ascii="Times New Roman" w:hAnsi="Times New Roman" w:cs="Times New Roman"/>
                <w:b w:val="0"/>
                <w:bCs/>
                <w:color w:val="auto"/>
                <w:spacing w:val="0"/>
                <w:sz w:val="24"/>
                <w:szCs w:val="24"/>
                <w:lang w:eastAsia="zh-CN"/>
              </w:rPr>
              <w:t>。</w:t>
            </w:r>
          </w:p>
          <w:p w14:paraId="13817EC6">
            <w:pPr>
              <w:autoSpaceDE w:val="0"/>
              <w:autoSpaceDN w:val="0"/>
              <w:snapToGrid w:val="0"/>
              <w:spacing w:line="360" w:lineRule="auto"/>
              <w:ind w:firstLine="480" w:firstLineChars="200"/>
              <w:rPr>
                <w:rFonts w:ascii="Times New Roman" w:hAnsi="Times New Roman"/>
                <w:bCs/>
                <w:color w:val="auto"/>
                <w:spacing w:val="0"/>
                <w:sz w:val="24"/>
                <w:szCs w:val="21"/>
              </w:rPr>
            </w:pPr>
            <w:r>
              <w:rPr>
                <w:rFonts w:hint="eastAsia"/>
                <w:bCs/>
                <w:color w:val="auto"/>
                <w:spacing w:val="0"/>
                <w:sz w:val="24"/>
                <w:szCs w:val="21"/>
                <w:lang w:val="en-US" w:eastAsia="zh-CN"/>
              </w:rPr>
              <w:t>油类物质临界量为2500t，</w:t>
            </w:r>
            <w:r>
              <w:rPr>
                <w:rFonts w:hint="default" w:ascii="Times New Roman" w:hAnsi="Times New Roman" w:cs="Times New Roman"/>
                <w:b w:val="0"/>
                <w:bCs/>
                <w:color w:val="auto"/>
                <w:spacing w:val="0"/>
                <w:sz w:val="24"/>
                <w:szCs w:val="24"/>
                <w:lang w:val="en-US" w:eastAsia="zh-CN"/>
              </w:rPr>
              <w:t>二氧化硫</w:t>
            </w:r>
            <w:r>
              <w:rPr>
                <w:rFonts w:hint="eastAsia"/>
                <w:bCs/>
                <w:color w:val="auto"/>
                <w:spacing w:val="0"/>
                <w:sz w:val="24"/>
                <w:szCs w:val="21"/>
                <w:lang w:val="en-US" w:eastAsia="zh-CN"/>
              </w:rPr>
              <w:t>临界量为2.5t，</w:t>
            </w:r>
            <w:r>
              <w:rPr>
                <w:rFonts w:hint="default" w:ascii="Times New Roman" w:hAnsi="Times New Roman" w:cs="Times New Roman"/>
                <w:b w:val="0"/>
                <w:bCs/>
                <w:color w:val="auto"/>
                <w:spacing w:val="0"/>
                <w:sz w:val="24"/>
                <w:szCs w:val="24"/>
                <w:lang w:val="en-US" w:eastAsia="zh-CN"/>
              </w:rPr>
              <w:t>二氧化氮</w:t>
            </w:r>
            <w:r>
              <w:rPr>
                <w:rFonts w:hint="eastAsia"/>
                <w:bCs/>
                <w:color w:val="auto"/>
                <w:spacing w:val="0"/>
                <w:sz w:val="24"/>
                <w:szCs w:val="21"/>
                <w:lang w:val="en-US" w:eastAsia="zh-CN"/>
              </w:rPr>
              <w:t>临界量为1t。</w:t>
            </w:r>
            <w:r>
              <w:rPr>
                <w:rFonts w:hint="eastAsia"/>
                <w:color w:val="auto"/>
                <w:spacing w:val="0"/>
                <w:sz w:val="24"/>
                <w:szCs w:val="21"/>
                <w:lang w:val="en-US" w:eastAsia="zh-CN"/>
              </w:rPr>
              <w:t>计算出</w:t>
            </w:r>
            <w:r>
              <w:rPr>
                <w:rFonts w:ascii="Times New Roman" w:hAnsi="Times New Roman"/>
                <w:color w:val="auto"/>
                <w:spacing w:val="0"/>
                <w:sz w:val="24"/>
                <w:szCs w:val="21"/>
              </w:rPr>
              <w:t>Q值</w:t>
            </w:r>
            <w:r>
              <w:rPr>
                <w:rFonts w:ascii="Times New Roman" w:hAnsi="Times New Roman"/>
                <w:bCs/>
                <w:color w:val="auto"/>
                <w:spacing w:val="0"/>
                <w:sz w:val="24"/>
                <w:szCs w:val="21"/>
              </w:rPr>
              <w:t>为0.</w:t>
            </w:r>
            <w:r>
              <w:rPr>
                <w:rFonts w:hint="eastAsia"/>
                <w:bCs/>
                <w:color w:val="auto"/>
                <w:spacing w:val="0"/>
                <w:sz w:val="24"/>
                <w:szCs w:val="21"/>
                <w:lang w:val="en-US" w:eastAsia="zh-CN"/>
              </w:rPr>
              <w:t>1514</w:t>
            </w:r>
            <w:r>
              <w:rPr>
                <w:rFonts w:ascii="Times New Roman" w:hAnsi="Times New Roman"/>
                <w:bCs/>
                <w:color w:val="auto"/>
                <w:spacing w:val="0"/>
                <w:sz w:val="24"/>
                <w:szCs w:val="21"/>
              </w:rPr>
              <w:t>＜1，未超过临界量，</w:t>
            </w:r>
            <w:r>
              <w:rPr>
                <w:rFonts w:hint="default" w:ascii="Times New Roman" w:hAnsi="Times New Roman" w:cs="Times New Roman"/>
                <w:color w:val="auto"/>
                <w:sz w:val="24"/>
                <w:highlight w:val="none"/>
              </w:rPr>
              <w:t>直接判定环境风险潜势为Ⅰ</w:t>
            </w:r>
            <w:r>
              <w:rPr>
                <w:rFonts w:hint="eastAsia" w:ascii="Times New Roman" w:hAnsi="Times New Roman" w:cs="Times New Roman"/>
                <w:color w:val="auto"/>
                <w:sz w:val="24"/>
                <w:highlight w:val="none"/>
                <w:lang w:eastAsia="zh-CN"/>
              </w:rPr>
              <w:t>，</w:t>
            </w:r>
            <w:r>
              <w:rPr>
                <w:rFonts w:ascii="Times New Roman" w:hAnsi="Times New Roman"/>
                <w:bCs/>
                <w:color w:val="auto"/>
                <w:spacing w:val="0"/>
                <w:sz w:val="24"/>
                <w:szCs w:val="21"/>
              </w:rPr>
              <w:t>进行环境风险简单分析。</w:t>
            </w:r>
          </w:p>
          <w:p w14:paraId="7B0826CC">
            <w:pPr>
              <w:autoSpaceDE w:val="0"/>
              <w:autoSpaceDN w:val="0"/>
              <w:snapToGrid w:val="0"/>
              <w:spacing w:line="360" w:lineRule="auto"/>
              <w:ind w:firstLine="482" w:firstLineChars="200"/>
              <w:rPr>
                <w:rFonts w:ascii="Times New Roman" w:hAnsi="Times New Roman"/>
                <w:b/>
                <w:bCs/>
                <w:color w:val="auto"/>
                <w:spacing w:val="0"/>
                <w:sz w:val="24"/>
                <w:szCs w:val="21"/>
              </w:rPr>
            </w:pPr>
            <w:r>
              <w:rPr>
                <w:rFonts w:ascii="Times New Roman" w:hAnsi="Times New Roman"/>
                <w:b/>
                <w:bCs/>
                <w:color w:val="auto"/>
                <w:spacing w:val="0"/>
                <w:sz w:val="24"/>
                <w:szCs w:val="21"/>
              </w:rPr>
              <w:t>（1）物质风险识别</w:t>
            </w:r>
          </w:p>
          <w:p w14:paraId="5FBF8045">
            <w:pPr>
              <w:autoSpaceDE w:val="0"/>
              <w:autoSpaceDN w:val="0"/>
              <w:snapToGrid w:val="0"/>
              <w:spacing w:line="360" w:lineRule="auto"/>
              <w:ind w:firstLine="480" w:firstLineChars="200"/>
              <w:rPr>
                <w:rFonts w:ascii="Times New Roman" w:hAnsi="Times New Roman"/>
                <w:bCs/>
                <w:color w:val="auto"/>
                <w:spacing w:val="0"/>
                <w:sz w:val="24"/>
                <w:szCs w:val="21"/>
              </w:rPr>
            </w:pPr>
            <w:r>
              <w:rPr>
                <w:rFonts w:hint="eastAsia"/>
                <w:bCs/>
                <w:color w:val="auto"/>
                <w:spacing w:val="0"/>
                <w:sz w:val="24"/>
                <w:szCs w:val="21"/>
                <w:lang w:val="en-US" w:eastAsia="zh-CN"/>
              </w:rPr>
              <w:t>项目</w:t>
            </w:r>
            <w:r>
              <w:rPr>
                <w:rFonts w:ascii="Times New Roman" w:hAnsi="Times New Roman"/>
                <w:bCs/>
                <w:color w:val="auto"/>
                <w:spacing w:val="0"/>
                <w:sz w:val="24"/>
                <w:szCs w:val="21"/>
              </w:rPr>
              <w:t>柴油危险特性见表4-</w:t>
            </w:r>
            <w:r>
              <w:rPr>
                <w:rFonts w:hint="eastAsia" w:ascii="Times New Roman" w:hAnsi="Times New Roman"/>
                <w:bCs/>
                <w:color w:val="auto"/>
                <w:spacing w:val="0"/>
                <w:sz w:val="24"/>
                <w:szCs w:val="21"/>
                <w:lang w:val="en-US" w:eastAsia="zh-CN"/>
              </w:rPr>
              <w:t>8</w:t>
            </w:r>
            <w:r>
              <w:rPr>
                <w:rFonts w:ascii="Times New Roman" w:hAnsi="Times New Roman"/>
                <w:bCs/>
                <w:color w:val="auto"/>
                <w:spacing w:val="0"/>
                <w:sz w:val="24"/>
                <w:szCs w:val="21"/>
              </w:rPr>
              <w:t>、石油沥青危险特性见表4-</w:t>
            </w:r>
            <w:r>
              <w:rPr>
                <w:rFonts w:hint="eastAsia" w:ascii="Times New Roman" w:hAnsi="Times New Roman"/>
                <w:bCs/>
                <w:color w:val="auto"/>
                <w:spacing w:val="0"/>
                <w:sz w:val="24"/>
                <w:szCs w:val="21"/>
                <w:lang w:val="en-US" w:eastAsia="zh-CN"/>
              </w:rPr>
              <w:t>9</w:t>
            </w:r>
            <w:r>
              <w:rPr>
                <w:rFonts w:ascii="Times New Roman" w:hAnsi="Times New Roman"/>
                <w:bCs/>
                <w:color w:val="auto"/>
                <w:spacing w:val="0"/>
                <w:sz w:val="24"/>
                <w:szCs w:val="21"/>
              </w:rPr>
              <w:t>、导热油危险特性见表4-</w:t>
            </w:r>
            <w:r>
              <w:rPr>
                <w:rFonts w:hint="eastAsia" w:ascii="Times New Roman" w:hAnsi="Times New Roman"/>
                <w:bCs/>
                <w:color w:val="auto"/>
                <w:spacing w:val="0"/>
                <w:sz w:val="24"/>
                <w:szCs w:val="21"/>
                <w:lang w:val="en-US" w:eastAsia="zh-CN"/>
              </w:rPr>
              <w:t>10</w:t>
            </w:r>
            <w:r>
              <w:rPr>
                <w:rFonts w:ascii="Times New Roman" w:hAnsi="Times New Roman"/>
                <w:bCs/>
                <w:color w:val="auto"/>
                <w:spacing w:val="0"/>
                <w:sz w:val="24"/>
                <w:szCs w:val="21"/>
              </w:rPr>
              <w:t>、矿物油危险特性见表4-1</w:t>
            </w:r>
            <w:r>
              <w:rPr>
                <w:rFonts w:hint="eastAsia" w:ascii="Times New Roman" w:hAnsi="Times New Roman"/>
                <w:bCs/>
                <w:color w:val="auto"/>
                <w:spacing w:val="0"/>
                <w:sz w:val="24"/>
                <w:szCs w:val="21"/>
                <w:lang w:val="en-US" w:eastAsia="zh-CN"/>
              </w:rPr>
              <w:t>1</w:t>
            </w:r>
            <w:r>
              <w:rPr>
                <w:rFonts w:hint="eastAsia"/>
                <w:bCs/>
                <w:color w:val="auto"/>
                <w:spacing w:val="0"/>
                <w:sz w:val="24"/>
                <w:szCs w:val="21"/>
                <w:lang w:eastAsia="zh-CN"/>
              </w:rPr>
              <w:t>、</w:t>
            </w:r>
            <w:r>
              <w:rPr>
                <w:rFonts w:hint="eastAsia"/>
                <w:bCs/>
                <w:color w:val="auto"/>
                <w:spacing w:val="0"/>
                <w:sz w:val="24"/>
                <w:szCs w:val="21"/>
                <w:lang w:val="en-US" w:eastAsia="zh-CN"/>
              </w:rPr>
              <w:t>二氧化硫及二氧化氮</w:t>
            </w:r>
            <w:r>
              <w:rPr>
                <w:rFonts w:ascii="Times New Roman" w:hAnsi="Times New Roman"/>
                <w:bCs/>
                <w:color w:val="auto"/>
                <w:spacing w:val="0"/>
                <w:sz w:val="24"/>
                <w:szCs w:val="21"/>
              </w:rPr>
              <w:t>危险特性见表4-1</w:t>
            </w:r>
            <w:r>
              <w:rPr>
                <w:rFonts w:hint="eastAsia"/>
                <w:bCs/>
                <w:color w:val="auto"/>
                <w:spacing w:val="0"/>
                <w:sz w:val="24"/>
                <w:szCs w:val="21"/>
                <w:lang w:val="en-US" w:eastAsia="zh-CN"/>
              </w:rPr>
              <w:t>2</w:t>
            </w:r>
            <w:r>
              <w:rPr>
                <w:rFonts w:ascii="Times New Roman" w:hAnsi="Times New Roman"/>
                <w:bCs/>
                <w:color w:val="auto"/>
                <w:spacing w:val="0"/>
                <w:sz w:val="24"/>
                <w:szCs w:val="21"/>
              </w:rPr>
              <w:t>。</w:t>
            </w:r>
          </w:p>
          <w:p w14:paraId="0A691721">
            <w:pPr>
              <w:jc w:val="center"/>
              <w:rPr>
                <w:rFonts w:ascii="Times New Roman" w:hAnsi="Times New Roman"/>
                <w:b/>
                <w:bCs/>
                <w:color w:val="auto"/>
                <w:sz w:val="21"/>
                <w:szCs w:val="21"/>
              </w:rPr>
            </w:pPr>
            <w:r>
              <w:rPr>
                <w:rFonts w:ascii="Times New Roman" w:hAnsi="Times New Roman"/>
                <w:b/>
                <w:bCs/>
                <w:color w:val="auto"/>
                <w:sz w:val="21"/>
                <w:szCs w:val="21"/>
              </w:rPr>
              <w:t>表4-</w:t>
            </w:r>
            <w:r>
              <w:rPr>
                <w:rFonts w:hint="eastAsia"/>
                <w:b/>
                <w:bCs/>
                <w:color w:val="auto"/>
                <w:sz w:val="21"/>
                <w:szCs w:val="21"/>
                <w:lang w:val="en-US" w:eastAsia="zh-CN"/>
              </w:rPr>
              <w:t>8</w:t>
            </w:r>
            <w:r>
              <w:rPr>
                <w:rFonts w:ascii="Times New Roman" w:hAnsi="Times New Roman"/>
                <w:b/>
                <w:bCs/>
                <w:color w:val="auto"/>
                <w:sz w:val="21"/>
                <w:szCs w:val="21"/>
              </w:rPr>
              <w:t xml:space="preserve"> 柴油危险特性表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026"/>
              <w:gridCol w:w="1271"/>
              <w:gridCol w:w="2082"/>
              <w:gridCol w:w="2453"/>
            </w:tblGrid>
            <w:tr w14:paraId="3F22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restart"/>
                  <w:noWrap w:val="0"/>
                  <w:vAlign w:val="center"/>
                </w:tcPr>
                <w:p w14:paraId="3094C0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标识</w:t>
                  </w:r>
                </w:p>
              </w:tc>
              <w:tc>
                <w:tcPr>
                  <w:tcW w:w="674" w:type="pct"/>
                  <w:noWrap w:val="0"/>
                  <w:vAlign w:val="center"/>
                </w:tcPr>
                <w:p w14:paraId="3D5C53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中文名</w:t>
                  </w:r>
                </w:p>
              </w:tc>
              <w:tc>
                <w:tcPr>
                  <w:tcW w:w="835" w:type="pct"/>
                  <w:noWrap w:val="0"/>
                  <w:vAlign w:val="center"/>
                </w:tcPr>
                <w:p w14:paraId="5CE41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柴油</w:t>
                  </w:r>
                </w:p>
              </w:tc>
              <w:tc>
                <w:tcPr>
                  <w:tcW w:w="1368" w:type="pct"/>
                  <w:noWrap w:val="0"/>
                  <w:vAlign w:val="center"/>
                </w:tcPr>
                <w:p w14:paraId="36DE2D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危规号</w:t>
                  </w:r>
                </w:p>
              </w:tc>
              <w:tc>
                <w:tcPr>
                  <w:tcW w:w="1612" w:type="pct"/>
                  <w:noWrap w:val="0"/>
                  <w:vAlign w:val="center"/>
                </w:tcPr>
                <w:p w14:paraId="66158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r>
            <w:tr w14:paraId="58E1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14:paraId="51F16C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74" w:type="pct"/>
                  <w:noWrap w:val="0"/>
                  <w:vAlign w:val="center"/>
                </w:tcPr>
                <w:p w14:paraId="3659FF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英文名</w:t>
                  </w:r>
                </w:p>
              </w:tc>
              <w:tc>
                <w:tcPr>
                  <w:tcW w:w="835" w:type="pct"/>
                  <w:noWrap w:val="0"/>
                  <w:vAlign w:val="center"/>
                </w:tcPr>
                <w:p w14:paraId="5947B6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Diesel Oil</w:t>
                  </w:r>
                </w:p>
              </w:tc>
              <w:tc>
                <w:tcPr>
                  <w:tcW w:w="1368" w:type="pct"/>
                  <w:noWrap w:val="0"/>
                  <w:vAlign w:val="center"/>
                </w:tcPr>
                <w:p w14:paraId="2C5F63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UN号</w:t>
                  </w:r>
                </w:p>
              </w:tc>
              <w:tc>
                <w:tcPr>
                  <w:tcW w:w="1612" w:type="pct"/>
                  <w:noWrap w:val="0"/>
                  <w:vAlign w:val="center"/>
                </w:tcPr>
                <w:p w14:paraId="03586D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1202</w:t>
                  </w:r>
                </w:p>
              </w:tc>
            </w:tr>
            <w:tr w14:paraId="4516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14:paraId="6E2C7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74" w:type="pct"/>
                  <w:noWrap w:val="0"/>
                  <w:vAlign w:val="center"/>
                </w:tcPr>
                <w:p w14:paraId="108C9D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CAS号</w:t>
                  </w:r>
                </w:p>
              </w:tc>
              <w:tc>
                <w:tcPr>
                  <w:tcW w:w="835" w:type="pct"/>
                  <w:noWrap w:val="0"/>
                  <w:vAlign w:val="center"/>
                </w:tcPr>
                <w:p w14:paraId="6E826D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1368" w:type="pct"/>
                  <w:noWrap w:val="0"/>
                  <w:vAlign w:val="center"/>
                </w:tcPr>
                <w:p w14:paraId="5BD2F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危险性/包装类别</w:t>
                  </w:r>
                </w:p>
              </w:tc>
              <w:tc>
                <w:tcPr>
                  <w:tcW w:w="1612" w:type="pct"/>
                  <w:noWrap w:val="0"/>
                  <w:vAlign w:val="center"/>
                </w:tcPr>
                <w:p w14:paraId="7DA3F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第3类易燃液体/</w:t>
                  </w:r>
                  <w:r>
                    <w:rPr>
                      <w:rFonts w:hint="eastAsia" w:ascii="宋体" w:hAnsi="宋体" w:cs="宋体"/>
                      <w:color w:val="auto"/>
                      <w:sz w:val="21"/>
                      <w:szCs w:val="21"/>
                    </w:rPr>
                    <w:t>Ⅲ</w:t>
                  </w:r>
                  <w:r>
                    <w:rPr>
                      <w:rFonts w:ascii="Times New Roman" w:hAnsi="Times New Roman"/>
                      <w:color w:val="auto"/>
                      <w:sz w:val="21"/>
                      <w:szCs w:val="21"/>
                    </w:rPr>
                    <w:t>类</w:t>
                  </w:r>
                </w:p>
              </w:tc>
            </w:tr>
            <w:tr w14:paraId="262F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restart"/>
                  <w:noWrap w:val="0"/>
                  <w:vAlign w:val="center"/>
                </w:tcPr>
                <w:p w14:paraId="2E989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理化性质</w:t>
                  </w:r>
                </w:p>
              </w:tc>
              <w:tc>
                <w:tcPr>
                  <w:tcW w:w="674" w:type="pct"/>
                  <w:noWrap w:val="0"/>
                  <w:vAlign w:val="center"/>
                </w:tcPr>
                <w:p w14:paraId="27113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外观与性状</w:t>
                  </w:r>
                </w:p>
              </w:tc>
              <w:tc>
                <w:tcPr>
                  <w:tcW w:w="835" w:type="pct"/>
                  <w:noWrap w:val="0"/>
                  <w:vAlign w:val="center"/>
                </w:tcPr>
                <w:p w14:paraId="034C66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有色透明液态</w:t>
                  </w:r>
                </w:p>
              </w:tc>
              <w:tc>
                <w:tcPr>
                  <w:tcW w:w="1368" w:type="pct"/>
                  <w:noWrap w:val="0"/>
                  <w:vAlign w:val="center"/>
                </w:tcPr>
                <w:p w14:paraId="0686BF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定性稳定（</w:t>
                  </w:r>
                  <w:r>
                    <w:rPr>
                      <w:rFonts w:hint="eastAsia" w:ascii="宋体" w:hAnsi="宋体" w:cs="宋体"/>
                      <w:color w:val="auto"/>
                      <w:sz w:val="21"/>
                      <w:szCs w:val="21"/>
                    </w:rPr>
                    <w:t>℃</w:t>
                  </w:r>
                  <w:r>
                    <w:rPr>
                      <w:rFonts w:ascii="Times New Roman" w:hAnsi="Times New Roman"/>
                      <w:color w:val="auto"/>
                      <w:sz w:val="21"/>
                      <w:szCs w:val="21"/>
                    </w:rPr>
                    <w:t>）</w:t>
                  </w:r>
                </w:p>
              </w:tc>
              <w:tc>
                <w:tcPr>
                  <w:tcW w:w="1612" w:type="pct"/>
                  <w:noWrap w:val="0"/>
                  <w:vAlign w:val="center"/>
                </w:tcPr>
                <w:p w14:paraId="224A43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20</w:t>
                  </w:r>
                </w:p>
              </w:tc>
            </w:tr>
            <w:tr w14:paraId="6884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14:paraId="36B1A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74" w:type="pct"/>
                  <w:noWrap w:val="0"/>
                  <w:vAlign w:val="center"/>
                </w:tcPr>
                <w:p w14:paraId="124100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水溶性</w:t>
                  </w:r>
                </w:p>
              </w:tc>
              <w:tc>
                <w:tcPr>
                  <w:tcW w:w="835" w:type="pct"/>
                  <w:noWrap w:val="0"/>
                  <w:vAlign w:val="center"/>
                </w:tcPr>
                <w:p w14:paraId="13E6A3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难溶</w:t>
                  </w:r>
                </w:p>
              </w:tc>
              <w:tc>
                <w:tcPr>
                  <w:tcW w:w="1368" w:type="pct"/>
                  <w:noWrap w:val="0"/>
                  <w:vAlign w:val="center"/>
                </w:tcPr>
                <w:p w14:paraId="380748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爆炸极限%</w:t>
                  </w:r>
                </w:p>
              </w:tc>
              <w:tc>
                <w:tcPr>
                  <w:tcW w:w="1612" w:type="pct"/>
                  <w:noWrap w:val="0"/>
                  <w:vAlign w:val="center"/>
                </w:tcPr>
                <w:p w14:paraId="5CAC87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1.3-7.5</w:t>
                  </w:r>
                </w:p>
              </w:tc>
            </w:tr>
            <w:tr w14:paraId="2E6B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14:paraId="1B6B78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74" w:type="pct"/>
                  <w:noWrap w:val="0"/>
                  <w:vAlign w:val="center"/>
                </w:tcPr>
                <w:p w14:paraId="0E229D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沸点（</w:t>
                  </w:r>
                  <w:r>
                    <w:rPr>
                      <w:rFonts w:hint="eastAsia" w:ascii="宋体" w:hAnsi="宋体" w:cs="宋体"/>
                      <w:color w:val="auto"/>
                      <w:sz w:val="21"/>
                      <w:szCs w:val="21"/>
                    </w:rPr>
                    <w:t>℃</w:t>
                  </w:r>
                  <w:r>
                    <w:rPr>
                      <w:rFonts w:ascii="Times New Roman" w:hAnsi="Times New Roman"/>
                      <w:color w:val="auto"/>
                      <w:sz w:val="21"/>
                      <w:szCs w:val="21"/>
                    </w:rPr>
                    <w:t>）</w:t>
                  </w:r>
                </w:p>
              </w:tc>
              <w:tc>
                <w:tcPr>
                  <w:tcW w:w="835" w:type="pct"/>
                  <w:noWrap w:val="0"/>
                  <w:vAlign w:val="center"/>
                </w:tcPr>
                <w:p w14:paraId="6164F4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170-390</w:t>
                  </w:r>
                </w:p>
              </w:tc>
              <w:tc>
                <w:tcPr>
                  <w:tcW w:w="1368" w:type="pct"/>
                  <w:noWrap w:val="0"/>
                  <w:vAlign w:val="center"/>
                </w:tcPr>
                <w:p w14:paraId="1CB48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闪点（</w:t>
                  </w:r>
                  <w:r>
                    <w:rPr>
                      <w:rFonts w:hint="eastAsia" w:ascii="宋体" w:hAnsi="宋体" w:cs="宋体"/>
                      <w:color w:val="auto"/>
                      <w:sz w:val="21"/>
                      <w:szCs w:val="21"/>
                    </w:rPr>
                    <w:t>℃</w:t>
                  </w:r>
                  <w:r>
                    <w:rPr>
                      <w:rFonts w:ascii="Times New Roman" w:hAnsi="Times New Roman"/>
                      <w:color w:val="auto"/>
                      <w:sz w:val="21"/>
                      <w:szCs w:val="21"/>
                    </w:rPr>
                    <w:t>）</w:t>
                  </w:r>
                </w:p>
              </w:tc>
              <w:tc>
                <w:tcPr>
                  <w:tcW w:w="1612" w:type="pct"/>
                  <w:noWrap w:val="0"/>
                  <w:vAlign w:val="center"/>
                </w:tcPr>
                <w:p w14:paraId="018B59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55（0号轻质柴油）</w:t>
                  </w:r>
                </w:p>
              </w:tc>
            </w:tr>
            <w:tr w14:paraId="7E9C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14:paraId="123AB2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74" w:type="pct"/>
                  <w:noWrap w:val="0"/>
                  <w:vAlign w:val="center"/>
                </w:tcPr>
                <w:p w14:paraId="29C297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熔点（</w:t>
                  </w:r>
                  <w:r>
                    <w:rPr>
                      <w:rFonts w:hint="eastAsia" w:ascii="宋体" w:hAnsi="宋体" w:cs="宋体"/>
                      <w:color w:val="auto"/>
                      <w:sz w:val="21"/>
                      <w:szCs w:val="21"/>
                    </w:rPr>
                    <w:t>℃</w:t>
                  </w:r>
                  <w:r>
                    <w:rPr>
                      <w:rFonts w:ascii="Times New Roman" w:hAnsi="Times New Roman"/>
                      <w:color w:val="auto"/>
                      <w:sz w:val="21"/>
                      <w:szCs w:val="21"/>
                    </w:rPr>
                    <w:t>）</w:t>
                  </w:r>
                </w:p>
              </w:tc>
              <w:tc>
                <w:tcPr>
                  <w:tcW w:w="835" w:type="pct"/>
                  <w:noWrap w:val="0"/>
                  <w:vAlign w:val="center"/>
                </w:tcPr>
                <w:p w14:paraId="664A1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-34</w:t>
                  </w:r>
                </w:p>
              </w:tc>
              <w:tc>
                <w:tcPr>
                  <w:tcW w:w="1368" w:type="pct"/>
                  <w:noWrap w:val="0"/>
                  <w:vAlign w:val="center"/>
                </w:tcPr>
                <w:p w14:paraId="63228F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密度kg/m</w:t>
                  </w:r>
                  <w:r>
                    <w:rPr>
                      <w:rFonts w:ascii="Times New Roman" w:hAnsi="Times New Roman"/>
                      <w:color w:val="auto"/>
                      <w:sz w:val="21"/>
                      <w:szCs w:val="21"/>
                      <w:vertAlign w:val="superscript"/>
                    </w:rPr>
                    <w:t>3</w:t>
                  </w:r>
                </w:p>
              </w:tc>
              <w:tc>
                <w:tcPr>
                  <w:tcW w:w="1612" w:type="pct"/>
                  <w:noWrap w:val="0"/>
                  <w:vAlign w:val="center"/>
                </w:tcPr>
                <w:p w14:paraId="2F30B6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820~845</w:t>
                  </w:r>
                </w:p>
              </w:tc>
            </w:tr>
            <w:tr w14:paraId="59CF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restart"/>
                  <w:noWrap w:val="0"/>
                  <w:vAlign w:val="center"/>
                </w:tcPr>
                <w:p w14:paraId="198E3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危险性质</w:t>
                  </w:r>
                </w:p>
              </w:tc>
              <w:tc>
                <w:tcPr>
                  <w:tcW w:w="674" w:type="pct"/>
                  <w:noWrap w:val="0"/>
                  <w:vAlign w:val="center"/>
                </w:tcPr>
                <w:p w14:paraId="46EAB3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稳定性</w:t>
                  </w:r>
                </w:p>
              </w:tc>
              <w:tc>
                <w:tcPr>
                  <w:tcW w:w="3815" w:type="pct"/>
                  <w:gridSpan w:val="3"/>
                  <w:noWrap w:val="0"/>
                  <w:vAlign w:val="center"/>
                </w:tcPr>
                <w:p w14:paraId="26E27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稳定</w:t>
                  </w:r>
                </w:p>
              </w:tc>
            </w:tr>
            <w:tr w14:paraId="5EF1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14:paraId="4A4F6F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74" w:type="pct"/>
                  <w:noWrap w:val="0"/>
                  <w:vAlign w:val="center"/>
                </w:tcPr>
                <w:p w14:paraId="2694B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健康危害</w:t>
                  </w:r>
                </w:p>
              </w:tc>
              <w:tc>
                <w:tcPr>
                  <w:tcW w:w="3815" w:type="pct"/>
                  <w:gridSpan w:val="3"/>
                  <w:noWrap w:val="0"/>
                  <w:vAlign w:val="center"/>
                </w:tcPr>
                <w:p w14:paraId="0427DC4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皮肤接触可为主要吸入途径，可致急性肾脏损害。柴油可引起接触性皮炎、油性痤疮。吸入其雾滴或液体呛入可引起吸入性肺炎。能经胎盘进入胎儿血中。可引起眼、鼻刺激症状，头晕及头痛。</w:t>
                  </w:r>
                </w:p>
              </w:tc>
            </w:tr>
            <w:tr w14:paraId="212B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14:paraId="0683DD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74" w:type="pct"/>
                  <w:noWrap w:val="0"/>
                  <w:vAlign w:val="center"/>
                </w:tcPr>
                <w:p w14:paraId="34CAE4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禁忌物</w:t>
                  </w:r>
                </w:p>
              </w:tc>
              <w:tc>
                <w:tcPr>
                  <w:tcW w:w="3815" w:type="pct"/>
                  <w:gridSpan w:val="3"/>
                  <w:noWrap w:val="0"/>
                  <w:vAlign w:val="center"/>
                </w:tcPr>
                <w:p w14:paraId="5B3043A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强氧化剂、卤素</w:t>
                  </w:r>
                </w:p>
              </w:tc>
            </w:tr>
            <w:tr w14:paraId="073B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14:paraId="3F11D5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74" w:type="pct"/>
                  <w:noWrap w:val="0"/>
                  <w:vAlign w:val="center"/>
                </w:tcPr>
                <w:p w14:paraId="1EE6C6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毒性</w:t>
                  </w:r>
                </w:p>
              </w:tc>
              <w:tc>
                <w:tcPr>
                  <w:tcW w:w="3815" w:type="pct"/>
                  <w:gridSpan w:val="3"/>
                  <w:noWrap w:val="0"/>
                  <w:vAlign w:val="center"/>
                </w:tcPr>
                <w:p w14:paraId="053C1E0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侵入途径：皮肤吸收为主、呼吸道吸入；</w:t>
                  </w:r>
                </w:p>
                <w:p w14:paraId="15C42BA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急性毒性：LD</w:t>
                  </w:r>
                  <w:r>
                    <w:rPr>
                      <w:rFonts w:ascii="Times New Roman" w:hAnsi="Times New Roman"/>
                      <w:color w:val="auto"/>
                      <w:sz w:val="21"/>
                      <w:szCs w:val="21"/>
                      <w:vertAlign w:val="subscript"/>
                    </w:rPr>
                    <w:t>50</w:t>
                  </w:r>
                  <w:r>
                    <w:rPr>
                      <w:rFonts w:ascii="Times New Roman" w:hAnsi="Times New Roman"/>
                      <w:color w:val="auto"/>
                      <w:sz w:val="21"/>
                      <w:szCs w:val="21"/>
                    </w:rPr>
                    <w:t>、LC</w:t>
                  </w:r>
                  <w:r>
                    <w:rPr>
                      <w:rFonts w:ascii="Times New Roman" w:hAnsi="Times New Roman"/>
                      <w:color w:val="auto"/>
                      <w:sz w:val="21"/>
                      <w:szCs w:val="21"/>
                      <w:vertAlign w:val="subscript"/>
                    </w:rPr>
                    <w:t>50</w:t>
                  </w:r>
                  <w:r>
                    <w:rPr>
                      <w:rFonts w:ascii="Times New Roman" w:hAnsi="Times New Roman"/>
                      <w:color w:val="auto"/>
                      <w:sz w:val="21"/>
                      <w:szCs w:val="21"/>
                    </w:rPr>
                    <w:t>无资料</w:t>
                  </w:r>
                </w:p>
              </w:tc>
            </w:tr>
            <w:tr w14:paraId="0258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14:paraId="181885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674" w:type="pct"/>
                  <w:noWrap w:val="0"/>
                  <w:vAlign w:val="center"/>
                </w:tcPr>
                <w:p w14:paraId="2D9B5A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危险特性</w:t>
                  </w:r>
                </w:p>
              </w:tc>
              <w:tc>
                <w:tcPr>
                  <w:tcW w:w="3815" w:type="pct"/>
                  <w:gridSpan w:val="3"/>
                  <w:noWrap w:val="0"/>
                  <w:vAlign w:val="center"/>
                </w:tcPr>
                <w:p w14:paraId="01971FB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遇明火、高热或与氧化剂接触，有引起燃烧爆炸的危险。若遇高热，容器内压增大，有开裂和爆炸的危险。燃烧(分解)产物：CO、CO</w:t>
                  </w:r>
                  <w:r>
                    <w:rPr>
                      <w:rFonts w:ascii="Times New Roman" w:hAnsi="Times New Roman"/>
                      <w:color w:val="auto"/>
                      <w:sz w:val="21"/>
                      <w:szCs w:val="21"/>
                      <w:vertAlign w:val="subscript"/>
                    </w:rPr>
                    <w:t>2</w:t>
                  </w:r>
                  <w:r>
                    <w:rPr>
                      <w:rFonts w:ascii="Times New Roman" w:hAnsi="Times New Roman"/>
                      <w:color w:val="auto"/>
                      <w:sz w:val="21"/>
                      <w:szCs w:val="21"/>
                    </w:rPr>
                    <w:t>。</w:t>
                  </w:r>
                </w:p>
              </w:tc>
            </w:tr>
            <w:tr w14:paraId="3FF9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gridSpan w:val="2"/>
                  <w:noWrap w:val="0"/>
                  <w:vAlign w:val="center"/>
                </w:tcPr>
                <w:p w14:paraId="7BDAC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急救</w:t>
                  </w:r>
                </w:p>
              </w:tc>
              <w:tc>
                <w:tcPr>
                  <w:tcW w:w="3815" w:type="pct"/>
                  <w:gridSpan w:val="3"/>
                  <w:noWrap w:val="0"/>
                  <w:vAlign w:val="center"/>
                </w:tcPr>
                <w:p w14:paraId="2D05152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吸入：迅速脱离现场至空气新鲜处。保持呼吸道通畅。如呼吸困难，给输氧。如呼吸停止，立即进行人工呼吸。就医。食入：尽快彻底洗胃。就医。皮肤接触：立即脱去污染的衣着，用肥皂水和清水彻底冲洗皮肤。就医。眼睛接触：提起眼睑，用流动清水或生理盐水冲洗。就医。</w:t>
                  </w:r>
                </w:p>
              </w:tc>
            </w:tr>
            <w:tr w14:paraId="707A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gridSpan w:val="2"/>
                  <w:noWrap w:val="0"/>
                  <w:vAlign w:val="center"/>
                </w:tcPr>
                <w:p w14:paraId="6B8A3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防护</w:t>
                  </w:r>
                </w:p>
              </w:tc>
              <w:tc>
                <w:tcPr>
                  <w:tcW w:w="3815" w:type="pct"/>
                  <w:gridSpan w:val="3"/>
                  <w:noWrap w:val="0"/>
                  <w:vAlign w:val="center"/>
                </w:tcPr>
                <w:p w14:paraId="0F681AD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工程控制：密闭操作，注意通风。呼吸系统防护：空气中浓度超标时，建议佩戴自吸过滤式防毒面具(半面罩)。紧急事态抢救或撤离时，应该佩戴空气呼吸器。眼睛防护：戴化学安全防护眼镜。身体防护：穿一般作业防护服。手防护：戴橡胶耐油手套。其它：工作现场严禁吸烟。避免长期反复接触。</w:t>
                  </w:r>
                </w:p>
              </w:tc>
            </w:tr>
            <w:tr w14:paraId="054C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gridSpan w:val="2"/>
                  <w:noWrap w:val="0"/>
                  <w:vAlign w:val="center"/>
                </w:tcPr>
                <w:p w14:paraId="4D27B3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储存</w:t>
                  </w:r>
                </w:p>
              </w:tc>
              <w:tc>
                <w:tcPr>
                  <w:tcW w:w="3815" w:type="pct"/>
                  <w:gridSpan w:val="3"/>
                  <w:noWrap w:val="0"/>
                  <w:vAlign w:val="center"/>
                </w:tcPr>
                <w:p w14:paraId="7D6C1C9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储存于阴凉、通风的库房。远离火种、热源。应与氧化剂、卤素分开存放，切记混储。采用防爆型照明、通风设施。禁止使用易产生火花的机械设备和工具。储区应备有泄漏应急处理设备和合适的收容材料。</w:t>
                  </w:r>
                </w:p>
              </w:tc>
            </w:tr>
            <w:tr w14:paraId="2B9D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gridSpan w:val="2"/>
                  <w:noWrap w:val="0"/>
                  <w:vAlign w:val="center"/>
                </w:tcPr>
                <w:p w14:paraId="421B9E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泄漏</w:t>
                  </w:r>
                </w:p>
              </w:tc>
              <w:tc>
                <w:tcPr>
                  <w:tcW w:w="3815" w:type="pct"/>
                  <w:gridSpan w:val="3"/>
                  <w:noWrap w:val="0"/>
                  <w:vAlign w:val="center"/>
                </w:tcPr>
                <w:p w14:paraId="69DD127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他惰性材料吸收。大量泄漏：构筑围堤或挖坑收容。用泵转移至槽车或专用收集器内，回收或运至红河危险废物和医疗废物处置场处置。</w:t>
                  </w:r>
                </w:p>
              </w:tc>
            </w:tr>
          </w:tbl>
          <w:p w14:paraId="540BDC19">
            <w:pPr>
              <w:jc w:val="center"/>
              <w:rPr>
                <w:rFonts w:ascii="Times New Roman" w:hAnsi="Times New Roman"/>
                <w:b/>
                <w:bCs/>
                <w:color w:val="auto"/>
                <w:sz w:val="21"/>
                <w:szCs w:val="21"/>
              </w:rPr>
            </w:pPr>
            <w:r>
              <w:rPr>
                <w:rFonts w:ascii="Times New Roman" w:hAnsi="Times New Roman"/>
                <w:b/>
                <w:bCs/>
                <w:color w:val="auto"/>
                <w:sz w:val="21"/>
                <w:szCs w:val="21"/>
              </w:rPr>
              <w:t>表4-</w:t>
            </w:r>
            <w:r>
              <w:rPr>
                <w:rFonts w:hint="eastAsia" w:ascii="Times New Roman" w:hAnsi="Times New Roman"/>
                <w:b/>
                <w:bCs/>
                <w:color w:val="auto"/>
                <w:sz w:val="21"/>
                <w:szCs w:val="21"/>
                <w:lang w:val="en-US" w:eastAsia="zh-CN"/>
              </w:rPr>
              <w:t>9</w:t>
            </w:r>
            <w:r>
              <w:rPr>
                <w:rFonts w:ascii="Times New Roman" w:hAnsi="Times New Roman"/>
                <w:b/>
                <w:bCs/>
                <w:color w:val="auto"/>
                <w:sz w:val="21"/>
                <w:szCs w:val="21"/>
              </w:rPr>
              <w:t xml:space="preserve">  沥青危险特性表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90"/>
              <w:gridCol w:w="1494"/>
              <w:gridCol w:w="1494"/>
              <w:gridCol w:w="2829"/>
            </w:tblGrid>
            <w:tr w14:paraId="6FD1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restart"/>
                  <w:noWrap w:val="0"/>
                  <w:vAlign w:val="center"/>
                </w:tcPr>
                <w:p w14:paraId="3A59C0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标识</w:t>
                  </w:r>
                </w:p>
              </w:tc>
              <w:tc>
                <w:tcPr>
                  <w:tcW w:w="716" w:type="pct"/>
                  <w:noWrap w:val="0"/>
                  <w:vAlign w:val="center"/>
                </w:tcPr>
                <w:p w14:paraId="21F6DA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中文名</w:t>
                  </w:r>
                </w:p>
              </w:tc>
              <w:tc>
                <w:tcPr>
                  <w:tcW w:w="982" w:type="pct"/>
                  <w:noWrap w:val="0"/>
                  <w:vAlign w:val="center"/>
                </w:tcPr>
                <w:p w14:paraId="626F0B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沥青</w:t>
                  </w:r>
                </w:p>
              </w:tc>
              <w:tc>
                <w:tcPr>
                  <w:tcW w:w="982" w:type="pct"/>
                  <w:noWrap w:val="0"/>
                  <w:vAlign w:val="center"/>
                </w:tcPr>
                <w:p w14:paraId="1097E5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英文名</w:t>
                  </w:r>
                </w:p>
              </w:tc>
              <w:tc>
                <w:tcPr>
                  <w:tcW w:w="1859" w:type="pct"/>
                  <w:noWrap w:val="0"/>
                  <w:vAlign w:val="center"/>
                </w:tcPr>
                <w:p w14:paraId="1863A2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bitumen Dsphalt</w:t>
                  </w:r>
                </w:p>
              </w:tc>
            </w:tr>
            <w:tr w14:paraId="2022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noWrap w:val="0"/>
                  <w:vAlign w:val="center"/>
                </w:tcPr>
                <w:p w14:paraId="2459D8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716" w:type="pct"/>
                  <w:noWrap w:val="0"/>
                  <w:vAlign w:val="center"/>
                </w:tcPr>
                <w:p w14:paraId="2EE053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CAS号</w:t>
                  </w:r>
                </w:p>
              </w:tc>
              <w:tc>
                <w:tcPr>
                  <w:tcW w:w="3824" w:type="pct"/>
                  <w:gridSpan w:val="3"/>
                  <w:noWrap w:val="0"/>
                  <w:vAlign w:val="center"/>
                </w:tcPr>
                <w:p w14:paraId="0DD57C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80052-42-4</w:t>
                  </w:r>
                </w:p>
              </w:tc>
            </w:tr>
            <w:tr w14:paraId="244D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restart"/>
                  <w:noWrap w:val="0"/>
                  <w:vAlign w:val="center"/>
                </w:tcPr>
                <w:p w14:paraId="5798EA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理化性质</w:t>
                  </w:r>
                </w:p>
              </w:tc>
              <w:tc>
                <w:tcPr>
                  <w:tcW w:w="716" w:type="pct"/>
                  <w:noWrap w:val="0"/>
                  <w:vAlign w:val="center"/>
                </w:tcPr>
                <w:p w14:paraId="15D556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外观与性状</w:t>
                  </w:r>
                </w:p>
              </w:tc>
              <w:tc>
                <w:tcPr>
                  <w:tcW w:w="982" w:type="pct"/>
                  <w:noWrap w:val="0"/>
                  <w:vAlign w:val="center"/>
                </w:tcPr>
                <w:p w14:paraId="2BEAA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黑色液态、半固体或固态</w:t>
                  </w:r>
                </w:p>
              </w:tc>
              <w:tc>
                <w:tcPr>
                  <w:tcW w:w="982" w:type="pct"/>
                  <w:noWrap w:val="0"/>
                  <w:vAlign w:val="center"/>
                </w:tcPr>
                <w:p w14:paraId="123DFC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溶解性</w:t>
                  </w:r>
                </w:p>
              </w:tc>
              <w:tc>
                <w:tcPr>
                  <w:tcW w:w="1859" w:type="pct"/>
                  <w:noWrap w:val="0"/>
                  <w:vAlign w:val="center"/>
                </w:tcPr>
                <w:p w14:paraId="50020C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溶于水，不溶于丙酮、乙醚、稀乙醇，溶于二硫化碳、四氯化碳</w:t>
                  </w:r>
                </w:p>
              </w:tc>
            </w:tr>
            <w:tr w14:paraId="7EC5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noWrap w:val="0"/>
                  <w:vAlign w:val="center"/>
                </w:tcPr>
                <w:p w14:paraId="34E5E5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716" w:type="pct"/>
                  <w:noWrap w:val="0"/>
                  <w:vAlign w:val="center"/>
                </w:tcPr>
                <w:p w14:paraId="2DBA2A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引燃温度（</w:t>
                  </w:r>
                  <w:r>
                    <w:rPr>
                      <w:rFonts w:hint="eastAsia" w:ascii="宋体" w:hAnsi="宋体" w:cs="宋体"/>
                      <w:color w:val="auto"/>
                      <w:sz w:val="21"/>
                      <w:szCs w:val="21"/>
                    </w:rPr>
                    <w:t>℃</w:t>
                  </w:r>
                  <w:r>
                    <w:rPr>
                      <w:rFonts w:ascii="Times New Roman" w:hAnsi="Times New Roman"/>
                      <w:color w:val="auto"/>
                      <w:sz w:val="21"/>
                      <w:szCs w:val="21"/>
                    </w:rPr>
                    <w:t>）</w:t>
                  </w:r>
                </w:p>
              </w:tc>
              <w:tc>
                <w:tcPr>
                  <w:tcW w:w="982" w:type="pct"/>
                  <w:noWrap w:val="0"/>
                  <w:vAlign w:val="center"/>
                </w:tcPr>
                <w:p w14:paraId="6CF3A2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485</w:t>
                  </w:r>
                </w:p>
              </w:tc>
              <w:tc>
                <w:tcPr>
                  <w:tcW w:w="982" w:type="pct"/>
                  <w:noWrap w:val="0"/>
                  <w:vAlign w:val="center"/>
                </w:tcPr>
                <w:p w14:paraId="245413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爆炸下限v%</w:t>
                  </w:r>
                </w:p>
              </w:tc>
              <w:tc>
                <w:tcPr>
                  <w:tcW w:w="1859" w:type="pct"/>
                  <w:noWrap w:val="0"/>
                  <w:vAlign w:val="center"/>
                </w:tcPr>
                <w:p w14:paraId="3026D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30g/m</w:t>
                  </w:r>
                  <w:r>
                    <w:rPr>
                      <w:rFonts w:ascii="Times New Roman" w:hAnsi="Times New Roman"/>
                      <w:color w:val="auto"/>
                      <w:sz w:val="21"/>
                      <w:szCs w:val="21"/>
                      <w:vertAlign w:val="superscript"/>
                    </w:rPr>
                    <w:t>3</w:t>
                  </w:r>
                </w:p>
              </w:tc>
            </w:tr>
            <w:tr w14:paraId="132F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noWrap w:val="0"/>
                  <w:vAlign w:val="center"/>
                </w:tcPr>
                <w:p w14:paraId="07AC0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716" w:type="pct"/>
                  <w:noWrap w:val="0"/>
                  <w:vAlign w:val="center"/>
                </w:tcPr>
                <w:p w14:paraId="4738E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沸点（</w:t>
                  </w:r>
                  <w:r>
                    <w:rPr>
                      <w:rFonts w:hint="eastAsia" w:ascii="宋体" w:hAnsi="宋体" w:cs="宋体"/>
                      <w:color w:val="auto"/>
                      <w:sz w:val="21"/>
                      <w:szCs w:val="21"/>
                    </w:rPr>
                    <w:t>℃</w:t>
                  </w:r>
                  <w:r>
                    <w:rPr>
                      <w:rFonts w:ascii="Times New Roman" w:hAnsi="Times New Roman"/>
                      <w:color w:val="auto"/>
                      <w:sz w:val="21"/>
                      <w:szCs w:val="21"/>
                    </w:rPr>
                    <w:t>）</w:t>
                  </w:r>
                </w:p>
              </w:tc>
              <w:tc>
                <w:tcPr>
                  <w:tcW w:w="982" w:type="pct"/>
                  <w:noWrap w:val="0"/>
                  <w:vAlign w:val="center"/>
                </w:tcPr>
                <w:p w14:paraId="1B2FE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＜470</w:t>
                  </w:r>
                </w:p>
              </w:tc>
              <w:tc>
                <w:tcPr>
                  <w:tcW w:w="982" w:type="pct"/>
                  <w:noWrap w:val="0"/>
                  <w:vAlign w:val="center"/>
                </w:tcPr>
                <w:p w14:paraId="281A40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闪点（</w:t>
                  </w:r>
                  <w:r>
                    <w:rPr>
                      <w:rFonts w:hint="eastAsia" w:ascii="宋体" w:hAnsi="宋体" w:cs="宋体"/>
                      <w:color w:val="auto"/>
                      <w:sz w:val="21"/>
                      <w:szCs w:val="21"/>
                    </w:rPr>
                    <w:t>℃</w:t>
                  </w:r>
                  <w:r>
                    <w:rPr>
                      <w:rFonts w:ascii="Times New Roman" w:hAnsi="Times New Roman"/>
                      <w:color w:val="auto"/>
                      <w:sz w:val="21"/>
                      <w:szCs w:val="21"/>
                    </w:rPr>
                    <w:t>）</w:t>
                  </w:r>
                </w:p>
              </w:tc>
              <w:tc>
                <w:tcPr>
                  <w:tcW w:w="1859" w:type="pct"/>
                  <w:noWrap w:val="0"/>
                  <w:vAlign w:val="center"/>
                </w:tcPr>
                <w:p w14:paraId="1A98C9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204.4</w:t>
                  </w:r>
                </w:p>
              </w:tc>
            </w:tr>
            <w:tr w14:paraId="360F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vMerge w:val="continue"/>
                  <w:noWrap w:val="0"/>
                  <w:vAlign w:val="center"/>
                </w:tcPr>
                <w:p w14:paraId="202890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716" w:type="pct"/>
                  <w:noWrap w:val="0"/>
                  <w:vAlign w:val="center"/>
                </w:tcPr>
                <w:p w14:paraId="63D60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熔点（</w:t>
                  </w:r>
                  <w:r>
                    <w:rPr>
                      <w:rFonts w:hint="eastAsia" w:ascii="宋体" w:hAnsi="宋体" w:cs="宋体"/>
                      <w:color w:val="auto"/>
                      <w:sz w:val="21"/>
                      <w:szCs w:val="21"/>
                    </w:rPr>
                    <w:t>℃</w:t>
                  </w:r>
                  <w:r>
                    <w:rPr>
                      <w:rFonts w:ascii="Times New Roman" w:hAnsi="Times New Roman"/>
                      <w:color w:val="auto"/>
                      <w:sz w:val="21"/>
                      <w:szCs w:val="21"/>
                    </w:rPr>
                    <w:t>）</w:t>
                  </w:r>
                </w:p>
              </w:tc>
              <w:tc>
                <w:tcPr>
                  <w:tcW w:w="982" w:type="pct"/>
                  <w:noWrap w:val="0"/>
                  <w:vAlign w:val="center"/>
                </w:tcPr>
                <w:p w14:paraId="680CF9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-34</w:t>
                  </w:r>
                </w:p>
              </w:tc>
              <w:tc>
                <w:tcPr>
                  <w:tcW w:w="982" w:type="pct"/>
                  <w:noWrap w:val="0"/>
                  <w:vAlign w:val="center"/>
                </w:tcPr>
                <w:p w14:paraId="440897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相对密度（水=1）</w:t>
                  </w:r>
                </w:p>
              </w:tc>
              <w:tc>
                <w:tcPr>
                  <w:tcW w:w="1859" w:type="pct"/>
                  <w:noWrap w:val="0"/>
                  <w:vAlign w:val="center"/>
                </w:tcPr>
                <w:p w14:paraId="5C7B36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1.15~1.25</w:t>
                  </w:r>
                </w:p>
              </w:tc>
            </w:tr>
            <w:tr w14:paraId="7A91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47880B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危险性质</w:t>
                  </w:r>
                </w:p>
              </w:tc>
              <w:tc>
                <w:tcPr>
                  <w:tcW w:w="4539" w:type="pct"/>
                  <w:gridSpan w:val="4"/>
                  <w:noWrap w:val="0"/>
                  <w:vAlign w:val="center"/>
                </w:tcPr>
                <w:p w14:paraId="35E39A9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健康危害：沥青及其烟气对皮肤黏膜具有刺激性，有光毒作用和致肿瘤作用。我国三种主要沥青的毒性：煤焦沥青＞页岩沥青＞石油沥青，前二者有致癌性。沥青的主要皮肤损害有：光毒性皮炎，皮损限于面、颈部等暴露部分。此外，尚有头昏、头胀、头痛、胸闷、乏力、恶心、食欲不振等全身症状和眼、鼻、咽部的刺激症状。</w:t>
                  </w:r>
                </w:p>
                <w:p w14:paraId="38535E7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环境危害：对大气造成污染。</w:t>
                  </w:r>
                </w:p>
                <w:p w14:paraId="51CAFA0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燃爆危险：可燃，具有刺激性。</w:t>
                  </w:r>
                </w:p>
              </w:tc>
            </w:tr>
            <w:tr w14:paraId="230B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082B8B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毒理学资料</w:t>
                  </w:r>
                </w:p>
              </w:tc>
              <w:tc>
                <w:tcPr>
                  <w:tcW w:w="4539" w:type="pct"/>
                  <w:gridSpan w:val="4"/>
                  <w:noWrap w:val="0"/>
                  <w:vAlign w:val="center"/>
                </w:tcPr>
                <w:p w14:paraId="202F9FC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禁配物：强氧化剂</w:t>
                  </w:r>
                </w:p>
              </w:tc>
            </w:tr>
            <w:tr w14:paraId="4523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254EA2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急救措施</w:t>
                  </w:r>
                </w:p>
              </w:tc>
              <w:tc>
                <w:tcPr>
                  <w:tcW w:w="4539" w:type="pct"/>
                  <w:gridSpan w:val="4"/>
                  <w:noWrap w:val="0"/>
                  <w:vAlign w:val="center"/>
                </w:tcPr>
                <w:p w14:paraId="0E62B58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皮肤接触：立即脱去污染的衣物，用肥皂水和清水彻底冲洗皮肤、就医。</w:t>
                  </w:r>
                </w:p>
                <w:p w14:paraId="3C381FD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眼睛接触：立即提起眼睑，用大量流动清水或生理盐水彻底冲洗，就医。</w:t>
                  </w:r>
                </w:p>
                <w:p w14:paraId="4158F36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吸入：迅速脱离现场至空气新鲜处，保持呼吸道通畅，如呼吸困难，给输氧。如呼吸停止，立即进行人工呼吸，就医。</w:t>
                  </w:r>
                </w:p>
                <w:p w14:paraId="39FFE77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食入：饮足量温水，催吐，洗胃，导泻，就医。</w:t>
                  </w:r>
                </w:p>
              </w:tc>
            </w:tr>
            <w:tr w14:paraId="34E5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0BCDD4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泄漏处理</w:t>
                  </w:r>
                </w:p>
              </w:tc>
              <w:tc>
                <w:tcPr>
                  <w:tcW w:w="4539" w:type="pct"/>
                  <w:gridSpan w:val="4"/>
                  <w:noWrap w:val="0"/>
                  <w:vAlign w:val="center"/>
                </w:tcPr>
                <w:p w14:paraId="6A673C8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迅速撤离泄漏污染区人员至安全区，切断火源。建议应急处理人员戴自给正压式呼吸器，穿防毒服。尽可能切断泄漏源。防止流入下水道、排洪沟等限制性空间。小量泄漏：用大量水冲洗，洗水稀释后放入废水系统。</w:t>
                  </w:r>
                </w:p>
                <w:p w14:paraId="755757C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大量泄漏：构筑围堤或挖坑收容，用泵转移至槽车或专用收集器内，回收或运至废物处理场所处置。若是固体，用洁净的铲子收集于干燥、洁净、有盖的容器中。</w:t>
                  </w:r>
                </w:p>
              </w:tc>
            </w:tr>
            <w:tr w14:paraId="30AD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639AB1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储运</w:t>
                  </w:r>
                </w:p>
              </w:tc>
              <w:tc>
                <w:tcPr>
                  <w:tcW w:w="4539" w:type="pct"/>
                  <w:gridSpan w:val="4"/>
                  <w:noWrap w:val="0"/>
                  <w:vAlign w:val="center"/>
                </w:tcPr>
                <w:p w14:paraId="77CF006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储存于阴凉、通风的库房，远离火种、热源。应与氧化剂分开存放，切记混储。配备相应品种和数量的消防器材。</w:t>
                  </w:r>
                </w:p>
              </w:tc>
            </w:tr>
            <w:tr w14:paraId="6AB7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1" w:type="pct"/>
                  <w:noWrap w:val="0"/>
                  <w:vAlign w:val="center"/>
                </w:tcPr>
                <w:p w14:paraId="56C4E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灭火方法</w:t>
                  </w:r>
                </w:p>
              </w:tc>
              <w:tc>
                <w:tcPr>
                  <w:tcW w:w="4539" w:type="pct"/>
                  <w:gridSpan w:val="4"/>
                  <w:noWrap w:val="0"/>
                  <w:vAlign w:val="center"/>
                </w:tcPr>
                <w:p w14:paraId="3FEFED4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用泡沫、雾状水、二氧化碳、干粉、砂土。</w:t>
                  </w:r>
                </w:p>
              </w:tc>
            </w:tr>
          </w:tbl>
          <w:p w14:paraId="6A7455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rPr>
            </w:pPr>
            <w:r>
              <w:rPr>
                <w:rFonts w:ascii="Times New Roman" w:hAnsi="Times New Roman"/>
                <w:b/>
                <w:bCs/>
                <w:color w:val="auto"/>
                <w:sz w:val="21"/>
                <w:szCs w:val="21"/>
              </w:rPr>
              <w:t>表4-</w:t>
            </w:r>
            <w:r>
              <w:rPr>
                <w:rFonts w:hint="eastAsia" w:ascii="Times New Roman" w:hAnsi="Times New Roman"/>
                <w:b/>
                <w:bCs/>
                <w:color w:val="auto"/>
                <w:sz w:val="21"/>
                <w:szCs w:val="21"/>
                <w:lang w:val="en-US" w:eastAsia="zh-CN"/>
              </w:rPr>
              <w:t>10</w:t>
            </w:r>
            <w:r>
              <w:rPr>
                <w:rFonts w:ascii="Times New Roman" w:hAnsi="Times New Roman"/>
                <w:b/>
                <w:bCs/>
                <w:color w:val="auto"/>
                <w:sz w:val="21"/>
                <w:szCs w:val="21"/>
              </w:rPr>
              <w:t xml:space="preserve"> 导热油危险特性表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6"/>
              <w:gridCol w:w="820"/>
              <w:gridCol w:w="936"/>
              <w:gridCol w:w="1871"/>
              <w:gridCol w:w="1722"/>
            </w:tblGrid>
            <w:tr w14:paraId="7DBA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restart"/>
                  <w:noWrap w:val="0"/>
                  <w:vAlign w:val="center"/>
                </w:tcPr>
                <w:p w14:paraId="4B9D03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理化性质</w:t>
                  </w:r>
                </w:p>
              </w:tc>
              <w:tc>
                <w:tcPr>
                  <w:tcW w:w="1561" w:type="pct"/>
                  <w:gridSpan w:val="2"/>
                  <w:noWrap w:val="0"/>
                  <w:vAlign w:val="center"/>
                </w:tcPr>
                <w:p w14:paraId="3E785B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外观与性状</w:t>
                  </w:r>
                </w:p>
              </w:tc>
              <w:tc>
                <w:tcPr>
                  <w:tcW w:w="615" w:type="pct"/>
                  <w:noWrap w:val="0"/>
                  <w:vAlign w:val="center"/>
                </w:tcPr>
                <w:p w14:paraId="224C21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琥珀色</w:t>
                  </w:r>
                </w:p>
              </w:tc>
              <w:tc>
                <w:tcPr>
                  <w:tcW w:w="1229" w:type="pct"/>
                  <w:noWrap w:val="0"/>
                  <w:vAlign w:val="center"/>
                </w:tcPr>
                <w:p w14:paraId="47CE69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沸点（</w:t>
                  </w:r>
                  <w:r>
                    <w:rPr>
                      <w:rFonts w:hint="eastAsia" w:ascii="宋体" w:hAnsi="宋体" w:cs="宋体"/>
                      <w:color w:val="auto"/>
                      <w:sz w:val="21"/>
                      <w:szCs w:val="21"/>
                    </w:rPr>
                    <w:t>℃</w:t>
                  </w:r>
                  <w:r>
                    <w:rPr>
                      <w:rFonts w:ascii="Times New Roman" w:hAnsi="Times New Roman"/>
                      <w:color w:val="auto"/>
                      <w:sz w:val="21"/>
                      <w:szCs w:val="21"/>
                    </w:rPr>
                    <w:t>）</w:t>
                  </w:r>
                </w:p>
              </w:tc>
              <w:tc>
                <w:tcPr>
                  <w:tcW w:w="1130" w:type="pct"/>
                  <w:noWrap w:val="0"/>
                  <w:vAlign w:val="center"/>
                </w:tcPr>
                <w:p w14:paraId="7F4077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280</w:t>
                  </w:r>
                </w:p>
              </w:tc>
            </w:tr>
            <w:tr w14:paraId="57B4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continue"/>
                  <w:noWrap w:val="0"/>
                  <w:vAlign w:val="center"/>
                </w:tcPr>
                <w:p w14:paraId="439C6A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561" w:type="pct"/>
                  <w:gridSpan w:val="2"/>
                  <w:noWrap w:val="0"/>
                  <w:vAlign w:val="center"/>
                </w:tcPr>
                <w:p w14:paraId="7DF56E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自燃点（</w:t>
                  </w:r>
                  <w:r>
                    <w:rPr>
                      <w:rFonts w:hint="eastAsia" w:ascii="宋体" w:hAnsi="宋体" w:cs="宋体"/>
                      <w:color w:val="auto"/>
                      <w:sz w:val="21"/>
                      <w:szCs w:val="21"/>
                    </w:rPr>
                    <w:t>℃</w:t>
                  </w:r>
                  <w:r>
                    <w:rPr>
                      <w:rFonts w:ascii="Times New Roman" w:hAnsi="Times New Roman"/>
                      <w:color w:val="auto"/>
                      <w:sz w:val="21"/>
                      <w:szCs w:val="21"/>
                    </w:rPr>
                    <w:t>）</w:t>
                  </w:r>
                </w:p>
              </w:tc>
              <w:tc>
                <w:tcPr>
                  <w:tcW w:w="615" w:type="pct"/>
                  <w:noWrap w:val="0"/>
                  <w:vAlign w:val="center"/>
                </w:tcPr>
                <w:p w14:paraId="0C1FA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320</w:t>
                  </w:r>
                </w:p>
              </w:tc>
              <w:tc>
                <w:tcPr>
                  <w:tcW w:w="1229" w:type="pct"/>
                  <w:noWrap w:val="0"/>
                  <w:vAlign w:val="center"/>
                </w:tcPr>
                <w:p w14:paraId="3223F5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闪点（</w:t>
                  </w:r>
                  <w:r>
                    <w:rPr>
                      <w:rFonts w:hint="eastAsia" w:ascii="宋体" w:hAnsi="宋体" w:cs="宋体"/>
                      <w:color w:val="auto"/>
                      <w:sz w:val="21"/>
                      <w:szCs w:val="21"/>
                    </w:rPr>
                    <w:t>℃</w:t>
                  </w:r>
                  <w:r>
                    <w:rPr>
                      <w:rFonts w:ascii="Times New Roman" w:hAnsi="Times New Roman"/>
                      <w:color w:val="auto"/>
                      <w:sz w:val="21"/>
                      <w:szCs w:val="21"/>
                    </w:rPr>
                    <w:t>）</w:t>
                  </w:r>
                </w:p>
              </w:tc>
              <w:tc>
                <w:tcPr>
                  <w:tcW w:w="1130" w:type="pct"/>
                  <w:noWrap w:val="0"/>
                  <w:vAlign w:val="center"/>
                </w:tcPr>
                <w:p w14:paraId="5EF2CD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216</w:t>
                  </w:r>
                </w:p>
              </w:tc>
            </w:tr>
            <w:tr w14:paraId="61DF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continue"/>
                  <w:noWrap w:val="0"/>
                  <w:vAlign w:val="center"/>
                </w:tcPr>
                <w:p w14:paraId="56E87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022" w:type="pct"/>
                  <w:noWrap w:val="0"/>
                  <w:vAlign w:val="center"/>
                </w:tcPr>
                <w:p w14:paraId="6E4CE8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相对密度（水=1）</w:t>
                  </w:r>
                </w:p>
              </w:tc>
              <w:tc>
                <w:tcPr>
                  <w:tcW w:w="3513" w:type="pct"/>
                  <w:gridSpan w:val="4"/>
                  <w:noWrap w:val="0"/>
                  <w:vAlign w:val="center"/>
                </w:tcPr>
                <w:p w14:paraId="48600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8.9</w:t>
                  </w:r>
                </w:p>
              </w:tc>
            </w:tr>
            <w:tr w14:paraId="376C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restart"/>
                  <w:noWrap w:val="0"/>
                  <w:vAlign w:val="center"/>
                </w:tcPr>
                <w:p w14:paraId="678908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燃烧爆炸危险性</w:t>
                  </w:r>
                </w:p>
              </w:tc>
              <w:tc>
                <w:tcPr>
                  <w:tcW w:w="1022" w:type="pct"/>
                  <w:noWrap w:val="0"/>
                  <w:vAlign w:val="center"/>
                </w:tcPr>
                <w:p w14:paraId="053F0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燃烧性</w:t>
                  </w:r>
                </w:p>
              </w:tc>
              <w:tc>
                <w:tcPr>
                  <w:tcW w:w="3513" w:type="pct"/>
                  <w:gridSpan w:val="4"/>
                  <w:noWrap w:val="0"/>
                  <w:vAlign w:val="center"/>
                </w:tcPr>
                <w:p w14:paraId="0C3C7B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可燃</w:t>
                  </w:r>
                </w:p>
              </w:tc>
            </w:tr>
            <w:tr w14:paraId="2C5F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continue"/>
                  <w:noWrap w:val="0"/>
                  <w:vAlign w:val="center"/>
                </w:tcPr>
                <w:p w14:paraId="563633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022" w:type="pct"/>
                  <w:noWrap w:val="0"/>
                  <w:vAlign w:val="center"/>
                </w:tcPr>
                <w:p w14:paraId="7A0FE5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危险特性</w:t>
                  </w:r>
                </w:p>
              </w:tc>
              <w:tc>
                <w:tcPr>
                  <w:tcW w:w="3513" w:type="pct"/>
                  <w:gridSpan w:val="4"/>
                  <w:noWrap w:val="0"/>
                  <w:vAlign w:val="center"/>
                </w:tcPr>
                <w:p w14:paraId="4E2F2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可燃液体，火灾危险性为丙B类；遇明火，高热可燃</w:t>
                  </w:r>
                </w:p>
              </w:tc>
            </w:tr>
            <w:tr w14:paraId="5501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continue"/>
                  <w:noWrap w:val="0"/>
                  <w:vAlign w:val="center"/>
                </w:tcPr>
                <w:p w14:paraId="41A8B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022" w:type="pct"/>
                  <w:noWrap w:val="0"/>
                  <w:vAlign w:val="center"/>
                </w:tcPr>
                <w:p w14:paraId="137C90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燃烧分解产物</w:t>
                  </w:r>
                </w:p>
              </w:tc>
              <w:tc>
                <w:tcPr>
                  <w:tcW w:w="3513" w:type="pct"/>
                  <w:gridSpan w:val="4"/>
                  <w:noWrap w:val="0"/>
                  <w:vAlign w:val="center"/>
                </w:tcPr>
                <w:p w14:paraId="7CD9A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一氧化碳、二氧化碳等</w:t>
                  </w:r>
                </w:p>
              </w:tc>
            </w:tr>
            <w:tr w14:paraId="5408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continue"/>
                  <w:noWrap w:val="0"/>
                  <w:vAlign w:val="center"/>
                </w:tcPr>
                <w:p w14:paraId="3F449D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022" w:type="pct"/>
                  <w:noWrap w:val="0"/>
                  <w:vAlign w:val="center"/>
                </w:tcPr>
                <w:p w14:paraId="3DF87B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稳定性</w:t>
                  </w:r>
                </w:p>
              </w:tc>
              <w:tc>
                <w:tcPr>
                  <w:tcW w:w="3513" w:type="pct"/>
                  <w:gridSpan w:val="4"/>
                  <w:noWrap w:val="0"/>
                  <w:vAlign w:val="center"/>
                </w:tcPr>
                <w:p w14:paraId="2541EB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稳定</w:t>
                  </w:r>
                </w:p>
              </w:tc>
            </w:tr>
            <w:tr w14:paraId="3B87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continue"/>
                  <w:noWrap w:val="0"/>
                  <w:vAlign w:val="center"/>
                </w:tcPr>
                <w:p w14:paraId="0CC2A1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022" w:type="pct"/>
                  <w:noWrap w:val="0"/>
                  <w:vAlign w:val="center"/>
                </w:tcPr>
                <w:p w14:paraId="3A16C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禁忌物</w:t>
                  </w:r>
                </w:p>
              </w:tc>
              <w:tc>
                <w:tcPr>
                  <w:tcW w:w="3513" w:type="pct"/>
                  <w:gridSpan w:val="4"/>
                  <w:noWrap w:val="0"/>
                  <w:vAlign w:val="center"/>
                </w:tcPr>
                <w:p w14:paraId="33FFA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硝酸等强氧化剂</w:t>
                  </w:r>
                </w:p>
              </w:tc>
            </w:tr>
            <w:tr w14:paraId="3B45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restart"/>
                  <w:noWrap w:val="0"/>
                  <w:vAlign w:val="center"/>
                </w:tcPr>
                <w:p w14:paraId="7E8EF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毒性健康危害</w:t>
                  </w:r>
                </w:p>
              </w:tc>
              <w:tc>
                <w:tcPr>
                  <w:tcW w:w="1022" w:type="pct"/>
                  <w:noWrap w:val="0"/>
                  <w:vAlign w:val="center"/>
                </w:tcPr>
                <w:p w14:paraId="1DCFF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侵入途径</w:t>
                  </w:r>
                </w:p>
              </w:tc>
              <w:tc>
                <w:tcPr>
                  <w:tcW w:w="3513" w:type="pct"/>
                  <w:gridSpan w:val="4"/>
                  <w:noWrap w:val="0"/>
                  <w:vAlign w:val="center"/>
                </w:tcPr>
                <w:p w14:paraId="1B11B43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吸入、食入、皮肤接触</w:t>
                  </w:r>
                </w:p>
              </w:tc>
            </w:tr>
            <w:tr w14:paraId="4DED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continue"/>
                  <w:noWrap w:val="0"/>
                  <w:vAlign w:val="center"/>
                </w:tcPr>
                <w:p w14:paraId="1174F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022" w:type="pct"/>
                  <w:noWrap w:val="0"/>
                  <w:vAlign w:val="center"/>
                </w:tcPr>
                <w:p w14:paraId="141837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毒性</w:t>
                  </w:r>
                </w:p>
              </w:tc>
              <w:tc>
                <w:tcPr>
                  <w:tcW w:w="3513" w:type="pct"/>
                  <w:gridSpan w:val="4"/>
                  <w:noWrap w:val="0"/>
                  <w:vAlign w:val="center"/>
                </w:tcPr>
                <w:p w14:paraId="5F4FF0E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LD50、LC50无资料</w:t>
                  </w:r>
                </w:p>
              </w:tc>
            </w:tr>
            <w:tr w14:paraId="4115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vMerge w:val="continue"/>
                  <w:noWrap w:val="0"/>
                  <w:vAlign w:val="center"/>
                </w:tcPr>
                <w:p w14:paraId="7EF187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p>
              </w:tc>
              <w:tc>
                <w:tcPr>
                  <w:tcW w:w="1022" w:type="pct"/>
                  <w:noWrap w:val="0"/>
                  <w:vAlign w:val="center"/>
                </w:tcPr>
                <w:p w14:paraId="1A0913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健康危害</w:t>
                  </w:r>
                </w:p>
              </w:tc>
              <w:tc>
                <w:tcPr>
                  <w:tcW w:w="3513" w:type="pct"/>
                  <w:gridSpan w:val="4"/>
                  <w:noWrap w:val="0"/>
                  <w:vAlign w:val="center"/>
                </w:tcPr>
                <w:p w14:paraId="048BB6D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急性吸入，可出现乏力、头晕、头痛、恶心，严重者可引起油脂性肺炎，慢接触者，暴露部位可发生油性痤疮和接触型皮炎。可引发神经衰弱综合征，呼吸道和眼刺激症状及慢性油脂性肺炎。</w:t>
                  </w:r>
                </w:p>
                <w:p w14:paraId="36C1CB9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环境危害：对环境有危害，对水体、土壤可造成污染。</w:t>
                  </w:r>
                </w:p>
              </w:tc>
            </w:tr>
            <w:tr w14:paraId="2721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pct"/>
                  <w:noWrap w:val="0"/>
                  <w:vAlign w:val="center"/>
                </w:tcPr>
                <w:p w14:paraId="1AB092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灭火方法</w:t>
                  </w:r>
                </w:p>
              </w:tc>
              <w:tc>
                <w:tcPr>
                  <w:tcW w:w="4536" w:type="pct"/>
                  <w:gridSpan w:val="5"/>
                  <w:noWrap w:val="0"/>
                  <w:vAlign w:val="center"/>
                </w:tcPr>
                <w:p w14:paraId="7D6DF7E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消防人员须佩戴防毒面具、穿全身消防服，在上风向灭火。尽可能将容器从火场移至空旷处。喷水保持火场容器冷却，直至灭火结束。处在火场中的容器若已变色或从安全泄压装置中产生声音，必须立</w:t>
                  </w:r>
                </w:p>
                <w:p w14:paraId="6C0489F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即撤离。灭火剂：雾状水、泡沫、干粉、二氧化碳、砂土。</w:t>
                  </w:r>
                </w:p>
              </w:tc>
            </w:tr>
          </w:tbl>
          <w:p w14:paraId="38CB94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表4-1</w:t>
            </w:r>
            <w:r>
              <w:rPr>
                <w:rFonts w:hint="eastAsia" w:ascii="Times New Roman" w:hAnsi="Times New Roman" w:eastAsia="宋体" w:cs="Times New Roman"/>
                <w:b/>
                <w:bCs/>
                <w:color w:val="auto"/>
                <w:sz w:val="21"/>
                <w:szCs w:val="21"/>
                <w:lang w:val="en-US" w:eastAsia="zh-CN"/>
              </w:rPr>
              <w:t>1</w:t>
            </w:r>
            <w:r>
              <w:rPr>
                <w:rFonts w:ascii="Times New Roman" w:hAnsi="Times New Roman" w:eastAsia="宋体" w:cs="Times New Roman"/>
                <w:b/>
                <w:bCs/>
                <w:color w:val="auto"/>
                <w:sz w:val="21"/>
                <w:szCs w:val="21"/>
              </w:rPr>
              <w:t xml:space="preserve">  矿物油危险特性表</w:t>
            </w:r>
          </w:p>
          <w:tbl>
            <w:tblPr>
              <w:tblStyle w:val="27"/>
              <w:tblW w:w="78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264"/>
              <w:gridCol w:w="1430"/>
              <w:gridCol w:w="811"/>
              <w:gridCol w:w="167"/>
              <w:gridCol w:w="847"/>
              <w:gridCol w:w="754"/>
              <w:gridCol w:w="144"/>
              <w:gridCol w:w="888"/>
              <w:gridCol w:w="129"/>
              <w:gridCol w:w="904"/>
            </w:tblGrid>
            <w:tr w14:paraId="2757A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noWrap w:val="0"/>
                  <w:vAlign w:val="center"/>
                </w:tcPr>
                <w:p w14:paraId="2C945BA9">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2"/>
                      <w:sz w:val="21"/>
                      <w:szCs w:val="21"/>
                    </w:rPr>
                    <w:t>标</w:t>
                  </w:r>
                  <w:r>
                    <w:rPr>
                      <w:rFonts w:hint="default" w:ascii="Times New Roman" w:hAnsi="Times New Roman" w:cs="Times New Roman"/>
                      <w:b/>
                      <w:bCs/>
                      <w:color w:val="auto"/>
                      <w:sz w:val="21"/>
                      <w:szCs w:val="21"/>
                    </w:rPr>
                    <w:t>识</w:t>
                  </w:r>
                </w:p>
              </w:tc>
              <w:tc>
                <w:tcPr>
                  <w:tcW w:w="802" w:type="pct"/>
                  <w:noWrap w:val="0"/>
                  <w:vAlign w:val="center"/>
                </w:tcPr>
                <w:p w14:paraId="4ABA7211">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中文名</w:t>
                  </w:r>
                </w:p>
              </w:tc>
              <w:tc>
                <w:tcPr>
                  <w:tcW w:w="907" w:type="pct"/>
                  <w:noWrap w:val="0"/>
                  <w:vAlign w:val="center"/>
                </w:tcPr>
                <w:p w14:paraId="3E07B3A7">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矿物油</w:t>
                  </w:r>
                </w:p>
              </w:tc>
              <w:tc>
                <w:tcPr>
                  <w:tcW w:w="514" w:type="pct"/>
                  <w:noWrap w:val="0"/>
                  <w:vAlign w:val="center"/>
                </w:tcPr>
                <w:p w14:paraId="7C8022D4">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英文名</w:t>
                  </w:r>
                </w:p>
              </w:tc>
              <w:tc>
                <w:tcPr>
                  <w:tcW w:w="1212" w:type="pct"/>
                  <w:gridSpan w:val="4"/>
                  <w:noWrap w:val="0"/>
                  <w:vAlign w:val="center"/>
                </w:tcPr>
                <w:p w14:paraId="46C91114">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w:t>
                  </w:r>
                </w:p>
              </w:tc>
              <w:tc>
                <w:tcPr>
                  <w:tcW w:w="563" w:type="pct"/>
                  <w:noWrap w:val="0"/>
                  <w:vAlign w:val="center"/>
                </w:tcPr>
                <w:p w14:paraId="4B62D1BD">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分子量</w:t>
                  </w:r>
                </w:p>
              </w:tc>
              <w:tc>
                <w:tcPr>
                  <w:tcW w:w="652" w:type="pct"/>
                  <w:gridSpan w:val="2"/>
                  <w:noWrap w:val="0"/>
                  <w:vAlign w:val="center"/>
                </w:tcPr>
                <w:p w14:paraId="463E33F9">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230～500</w:t>
                  </w:r>
                </w:p>
              </w:tc>
            </w:tr>
            <w:tr w14:paraId="08B59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restart"/>
                  <w:noWrap w:val="0"/>
                  <w:vAlign w:val="center"/>
                </w:tcPr>
                <w:p w14:paraId="607873AC">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2"/>
                      <w:sz w:val="21"/>
                      <w:szCs w:val="21"/>
                    </w:rPr>
                    <w:t>理</w:t>
                  </w:r>
                  <w:r>
                    <w:rPr>
                      <w:rFonts w:hint="default" w:ascii="Times New Roman" w:hAnsi="Times New Roman" w:cs="Times New Roman"/>
                      <w:b/>
                      <w:bCs/>
                      <w:color w:val="auto"/>
                      <w:sz w:val="21"/>
                      <w:szCs w:val="21"/>
                    </w:rPr>
                    <w:t>化</w:t>
                  </w:r>
                </w:p>
                <w:p w14:paraId="002D8D50">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pacing w:val="2"/>
                      <w:sz w:val="21"/>
                      <w:szCs w:val="21"/>
                    </w:rPr>
                    <w:t>性</w:t>
                  </w:r>
                  <w:r>
                    <w:rPr>
                      <w:rFonts w:hint="default" w:ascii="Times New Roman" w:hAnsi="Times New Roman" w:cs="Times New Roman"/>
                      <w:b/>
                      <w:bCs/>
                      <w:color w:val="auto"/>
                      <w:sz w:val="21"/>
                      <w:szCs w:val="21"/>
                    </w:rPr>
                    <w:t>质</w:t>
                  </w:r>
                </w:p>
              </w:tc>
              <w:tc>
                <w:tcPr>
                  <w:tcW w:w="802" w:type="pct"/>
                  <w:noWrap w:val="0"/>
                  <w:vAlign w:val="center"/>
                </w:tcPr>
                <w:p w14:paraId="3B083502">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性状</w:t>
                  </w:r>
                </w:p>
              </w:tc>
              <w:tc>
                <w:tcPr>
                  <w:tcW w:w="3850" w:type="pct"/>
                  <w:gridSpan w:val="9"/>
                  <w:noWrap w:val="0"/>
                  <w:vAlign w:val="center"/>
                </w:tcPr>
                <w:p w14:paraId="641BD05F">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油状液体, 淡黄色至褐色</w:t>
                  </w:r>
                  <w:r>
                    <w:rPr>
                      <w:rFonts w:hint="eastAsia" w:ascii="Times New Roman" w:hAnsi="Times New Roman" w:cs="Times New Roman"/>
                      <w:color w:val="auto"/>
                      <w:spacing w:val="-1"/>
                      <w:sz w:val="21"/>
                      <w:szCs w:val="21"/>
                      <w:lang w:eastAsia="zh-CN"/>
                    </w:rPr>
                    <w:t>，</w:t>
                  </w:r>
                  <w:r>
                    <w:rPr>
                      <w:rFonts w:hint="default" w:ascii="Times New Roman" w:hAnsi="Times New Roman" w:cs="Times New Roman"/>
                      <w:color w:val="auto"/>
                      <w:spacing w:val="-1"/>
                      <w:sz w:val="21"/>
                      <w:szCs w:val="21"/>
                    </w:rPr>
                    <w:t>无气味或略带异味。</w:t>
                  </w:r>
                </w:p>
              </w:tc>
            </w:tr>
            <w:tr w14:paraId="1D219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noWrap w:val="0"/>
                  <w:vAlign w:val="center"/>
                </w:tcPr>
                <w:p w14:paraId="719876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cs="Times New Roman"/>
                      <w:color w:val="auto"/>
                      <w:sz w:val="21"/>
                      <w:szCs w:val="21"/>
                    </w:rPr>
                  </w:pPr>
                </w:p>
              </w:tc>
              <w:tc>
                <w:tcPr>
                  <w:tcW w:w="802" w:type="pct"/>
                  <w:noWrap w:val="0"/>
                  <w:vAlign w:val="center"/>
                </w:tcPr>
                <w:p w14:paraId="6E23A086">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溶解性</w:t>
                  </w:r>
                </w:p>
              </w:tc>
              <w:tc>
                <w:tcPr>
                  <w:tcW w:w="1421" w:type="pct"/>
                  <w:gridSpan w:val="2"/>
                  <w:noWrap w:val="0"/>
                  <w:vAlign w:val="center"/>
                </w:tcPr>
                <w:p w14:paraId="1C6D6A79">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不溶于水</w:t>
                  </w:r>
                </w:p>
              </w:tc>
              <w:tc>
                <w:tcPr>
                  <w:tcW w:w="1775" w:type="pct"/>
                  <w:gridSpan w:val="5"/>
                  <w:noWrap w:val="0"/>
                  <w:vAlign w:val="center"/>
                </w:tcPr>
                <w:p w14:paraId="3EE7AB43">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相对密度（水＝1）</w:t>
                  </w:r>
                </w:p>
              </w:tc>
              <w:tc>
                <w:tcPr>
                  <w:tcW w:w="652" w:type="pct"/>
                  <w:gridSpan w:val="2"/>
                  <w:noWrap w:val="0"/>
                  <w:vAlign w:val="center"/>
                </w:tcPr>
                <w:p w14:paraId="5FB39D5B">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＜1</w:t>
                  </w:r>
                </w:p>
              </w:tc>
            </w:tr>
            <w:tr w14:paraId="05E10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restart"/>
                  <w:noWrap w:val="0"/>
                  <w:vAlign w:val="center"/>
                </w:tcPr>
                <w:p w14:paraId="39BEC2A9">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燃烧爆炸 危险性</w:t>
                  </w:r>
                </w:p>
              </w:tc>
              <w:tc>
                <w:tcPr>
                  <w:tcW w:w="802" w:type="pct"/>
                  <w:noWrap w:val="0"/>
                  <w:vAlign w:val="center"/>
                </w:tcPr>
                <w:p w14:paraId="52166ACC">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燃烧性</w:t>
                  </w:r>
                </w:p>
              </w:tc>
              <w:tc>
                <w:tcPr>
                  <w:tcW w:w="1421" w:type="pct"/>
                  <w:gridSpan w:val="2"/>
                  <w:noWrap w:val="0"/>
                  <w:vAlign w:val="center"/>
                </w:tcPr>
                <w:p w14:paraId="348DD5C5">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可燃</w:t>
                  </w:r>
                </w:p>
              </w:tc>
              <w:tc>
                <w:tcPr>
                  <w:tcW w:w="1775" w:type="pct"/>
                  <w:gridSpan w:val="5"/>
                  <w:noWrap w:val="0"/>
                  <w:vAlign w:val="center"/>
                </w:tcPr>
                <w:p w14:paraId="6B604D80">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闪点（℃）</w:t>
                  </w:r>
                </w:p>
              </w:tc>
              <w:tc>
                <w:tcPr>
                  <w:tcW w:w="652" w:type="pct"/>
                  <w:gridSpan w:val="2"/>
                  <w:noWrap w:val="0"/>
                  <w:vAlign w:val="center"/>
                </w:tcPr>
                <w:p w14:paraId="70F49C31">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76</w:t>
                  </w:r>
                </w:p>
              </w:tc>
            </w:tr>
            <w:tr w14:paraId="739A4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noWrap w:val="0"/>
                  <w:vAlign w:val="center"/>
                </w:tcPr>
                <w:p w14:paraId="29B6CA43">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p>
              </w:tc>
              <w:tc>
                <w:tcPr>
                  <w:tcW w:w="802" w:type="pct"/>
                  <w:noWrap w:val="0"/>
                  <w:vAlign w:val="center"/>
                </w:tcPr>
                <w:p w14:paraId="646EF0A4">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爆炸极限（％）</w:t>
                  </w:r>
                </w:p>
              </w:tc>
              <w:tc>
                <w:tcPr>
                  <w:tcW w:w="1421" w:type="pct"/>
                  <w:gridSpan w:val="2"/>
                  <w:noWrap w:val="0"/>
                  <w:vAlign w:val="center"/>
                </w:tcPr>
                <w:p w14:paraId="42820918">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无资料</w:t>
                  </w:r>
                </w:p>
              </w:tc>
              <w:tc>
                <w:tcPr>
                  <w:tcW w:w="1775" w:type="pct"/>
                  <w:gridSpan w:val="5"/>
                  <w:noWrap w:val="0"/>
                  <w:vAlign w:val="center"/>
                </w:tcPr>
                <w:p w14:paraId="1DDC9011">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引燃温度（℃）</w:t>
                  </w:r>
                </w:p>
              </w:tc>
              <w:tc>
                <w:tcPr>
                  <w:tcW w:w="652" w:type="pct"/>
                  <w:gridSpan w:val="2"/>
                  <w:noWrap w:val="0"/>
                  <w:vAlign w:val="center"/>
                </w:tcPr>
                <w:p w14:paraId="0175F8E7">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248</w:t>
                  </w:r>
                </w:p>
              </w:tc>
            </w:tr>
            <w:tr w14:paraId="1719F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noWrap w:val="0"/>
                  <w:vAlign w:val="center"/>
                </w:tcPr>
                <w:p w14:paraId="69125C7B">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p>
              </w:tc>
              <w:tc>
                <w:tcPr>
                  <w:tcW w:w="802" w:type="pct"/>
                  <w:noWrap w:val="0"/>
                  <w:vAlign w:val="center"/>
                </w:tcPr>
                <w:p w14:paraId="24394495">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危险特性</w:t>
                  </w:r>
                </w:p>
              </w:tc>
              <w:tc>
                <w:tcPr>
                  <w:tcW w:w="3850" w:type="pct"/>
                  <w:gridSpan w:val="9"/>
                  <w:noWrap w:val="0"/>
                  <w:vAlign w:val="center"/>
                </w:tcPr>
                <w:p w14:paraId="53435C8F">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遇明火、高热可燃。</w:t>
                  </w:r>
                </w:p>
              </w:tc>
            </w:tr>
            <w:tr w14:paraId="78E34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noWrap w:val="0"/>
                  <w:vAlign w:val="center"/>
                </w:tcPr>
                <w:p w14:paraId="7EEA3DCB">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p>
              </w:tc>
              <w:tc>
                <w:tcPr>
                  <w:tcW w:w="802" w:type="pct"/>
                  <w:noWrap w:val="0"/>
                  <w:vAlign w:val="center"/>
                </w:tcPr>
                <w:p w14:paraId="6D65E8C5">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灭火方法</w:t>
                  </w:r>
                </w:p>
              </w:tc>
              <w:tc>
                <w:tcPr>
                  <w:tcW w:w="3850" w:type="pct"/>
                  <w:gridSpan w:val="9"/>
                  <w:noWrap w:val="0"/>
                  <w:vAlign w:val="center"/>
                </w:tcPr>
                <w:p w14:paraId="58AAE69C">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消防人员须佩戴防毒面具、穿全身消防服，在上风向灭火。尽可能将容器从火场移至空旷处。喷水保持火场容器冷却，直至灭火结束。处在火 场中的容器若已变色或从安全泄压装置中产生声音，必须马上撤离。灭火剂：雾状水、泡沫、干粉、二氧化碳、砂土。</w:t>
                  </w:r>
                </w:p>
              </w:tc>
            </w:tr>
            <w:tr w14:paraId="34EEF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noWrap w:val="0"/>
                  <w:vAlign w:val="center"/>
                </w:tcPr>
                <w:p w14:paraId="3D61A26D">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p>
              </w:tc>
              <w:tc>
                <w:tcPr>
                  <w:tcW w:w="802" w:type="pct"/>
                  <w:noWrap w:val="0"/>
                  <w:vAlign w:val="center"/>
                </w:tcPr>
                <w:p w14:paraId="71B26FF4">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禁忌物</w:t>
                  </w:r>
                </w:p>
              </w:tc>
              <w:tc>
                <w:tcPr>
                  <w:tcW w:w="2542" w:type="pct"/>
                  <w:gridSpan w:val="5"/>
                  <w:noWrap w:val="0"/>
                  <w:vAlign w:val="center"/>
                </w:tcPr>
                <w:p w14:paraId="70794ED8">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w:t>
                  </w:r>
                </w:p>
              </w:tc>
              <w:tc>
                <w:tcPr>
                  <w:tcW w:w="736" w:type="pct"/>
                  <w:gridSpan w:val="3"/>
                  <w:noWrap w:val="0"/>
                  <w:vAlign w:val="center"/>
                </w:tcPr>
                <w:p w14:paraId="28D22977">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稳定性</w:t>
                  </w:r>
                </w:p>
              </w:tc>
              <w:tc>
                <w:tcPr>
                  <w:tcW w:w="570" w:type="pct"/>
                  <w:noWrap w:val="0"/>
                  <w:vAlign w:val="center"/>
                </w:tcPr>
                <w:p w14:paraId="75BDAC37">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稳定</w:t>
                  </w:r>
                </w:p>
              </w:tc>
            </w:tr>
            <w:tr w14:paraId="317ED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noWrap w:val="0"/>
                  <w:vAlign w:val="center"/>
                </w:tcPr>
                <w:p w14:paraId="5B5B2838">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p>
              </w:tc>
              <w:tc>
                <w:tcPr>
                  <w:tcW w:w="802" w:type="pct"/>
                  <w:noWrap w:val="0"/>
                  <w:vAlign w:val="center"/>
                </w:tcPr>
                <w:p w14:paraId="6A6C244A">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燃烧产物</w:t>
                  </w:r>
                </w:p>
              </w:tc>
              <w:tc>
                <w:tcPr>
                  <w:tcW w:w="2542" w:type="pct"/>
                  <w:gridSpan w:val="5"/>
                  <w:noWrap w:val="0"/>
                  <w:vAlign w:val="center"/>
                </w:tcPr>
                <w:p w14:paraId="515C2880">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一氧化碳、二氧化碳</w:t>
                  </w:r>
                </w:p>
              </w:tc>
              <w:tc>
                <w:tcPr>
                  <w:tcW w:w="736" w:type="pct"/>
                  <w:gridSpan w:val="3"/>
                  <w:noWrap w:val="0"/>
                  <w:vAlign w:val="center"/>
                </w:tcPr>
                <w:p w14:paraId="78DFB343">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聚合危害</w:t>
                  </w:r>
                </w:p>
              </w:tc>
              <w:tc>
                <w:tcPr>
                  <w:tcW w:w="570" w:type="pct"/>
                  <w:noWrap w:val="0"/>
                  <w:vAlign w:val="center"/>
                </w:tcPr>
                <w:p w14:paraId="433CCF29">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不聚合</w:t>
                  </w:r>
                </w:p>
              </w:tc>
            </w:tr>
            <w:tr w14:paraId="0E5E0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restart"/>
                  <w:noWrap w:val="0"/>
                  <w:vAlign w:val="center"/>
                </w:tcPr>
                <w:p w14:paraId="15BF503B">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毒性及健康危 害</w:t>
                  </w:r>
                </w:p>
              </w:tc>
              <w:tc>
                <w:tcPr>
                  <w:tcW w:w="802" w:type="pct"/>
                  <w:noWrap w:val="0"/>
                  <w:vAlign w:val="center"/>
                </w:tcPr>
                <w:p w14:paraId="41A79936">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急性毒性</w:t>
                  </w:r>
                </w:p>
              </w:tc>
              <w:tc>
                <w:tcPr>
                  <w:tcW w:w="1527" w:type="pct"/>
                  <w:gridSpan w:val="3"/>
                  <w:noWrap w:val="0"/>
                  <w:vAlign w:val="center"/>
                </w:tcPr>
                <w:p w14:paraId="18694348">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LD50（mg/kg，大鼠经口）</w:t>
                  </w:r>
                </w:p>
              </w:tc>
              <w:tc>
                <w:tcPr>
                  <w:tcW w:w="537" w:type="pct"/>
                  <w:noWrap w:val="0"/>
                  <w:vAlign w:val="center"/>
                </w:tcPr>
                <w:p w14:paraId="5C2B2657">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无资料</w:t>
                  </w:r>
                </w:p>
              </w:tc>
              <w:tc>
                <w:tcPr>
                  <w:tcW w:w="1214" w:type="pct"/>
                  <w:gridSpan w:val="4"/>
                  <w:noWrap w:val="0"/>
                  <w:vAlign w:val="center"/>
                </w:tcPr>
                <w:p w14:paraId="7146B685">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LC50（mg/kg）</w:t>
                  </w:r>
                </w:p>
              </w:tc>
              <w:tc>
                <w:tcPr>
                  <w:tcW w:w="570" w:type="pct"/>
                  <w:noWrap w:val="0"/>
                  <w:vAlign w:val="center"/>
                </w:tcPr>
                <w:p w14:paraId="2BEEA7C5">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无资料</w:t>
                  </w:r>
                </w:p>
              </w:tc>
            </w:tr>
            <w:tr w14:paraId="182AB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noWrap w:val="0"/>
                  <w:vAlign w:val="center"/>
                </w:tcPr>
                <w:p w14:paraId="5B4E53AD">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p>
              </w:tc>
              <w:tc>
                <w:tcPr>
                  <w:tcW w:w="802" w:type="pct"/>
                  <w:vMerge w:val="restart"/>
                  <w:noWrap w:val="0"/>
                  <w:vAlign w:val="center"/>
                </w:tcPr>
                <w:p w14:paraId="70D579FE">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健康危害</w:t>
                  </w:r>
                </w:p>
              </w:tc>
              <w:tc>
                <w:tcPr>
                  <w:tcW w:w="2064" w:type="pct"/>
                  <w:gridSpan w:val="4"/>
                  <w:noWrap w:val="0"/>
                  <w:vAlign w:val="center"/>
                </w:tcPr>
                <w:p w14:paraId="24233A97">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车间卫生标准</w:t>
                  </w:r>
                </w:p>
              </w:tc>
              <w:tc>
                <w:tcPr>
                  <w:tcW w:w="1785" w:type="pct"/>
                  <w:gridSpan w:val="5"/>
                  <w:noWrap w:val="0"/>
                  <w:vAlign w:val="center"/>
                </w:tcPr>
                <w:p w14:paraId="7EFA37C4">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w:t>
                  </w:r>
                </w:p>
              </w:tc>
            </w:tr>
            <w:tr w14:paraId="752BE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noWrap w:val="0"/>
                  <w:vAlign w:val="center"/>
                </w:tcPr>
                <w:p w14:paraId="2B768DBB">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p>
              </w:tc>
              <w:tc>
                <w:tcPr>
                  <w:tcW w:w="802" w:type="pct"/>
                  <w:vMerge w:val="continue"/>
                  <w:noWrap w:val="0"/>
                  <w:vAlign w:val="center"/>
                </w:tcPr>
                <w:p w14:paraId="7FE1E3D2">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p>
              </w:tc>
              <w:tc>
                <w:tcPr>
                  <w:tcW w:w="3850" w:type="pct"/>
                  <w:gridSpan w:val="9"/>
                  <w:noWrap w:val="0"/>
                  <w:vAlign w:val="center"/>
                </w:tcPr>
                <w:p w14:paraId="3BFEE0CD">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侵入途径：吸如、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3A45E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noWrap w:val="0"/>
                  <w:vAlign w:val="center"/>
                </w:tcPr>
                <w:p w14:paraId="66BFDFE8">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急救</w:t>
                  </w:r>
                </w:p>
              </w:tc>
              <w:tc>
                <w:tcPr>
                  <w:tcW w:w="4653" w:type="pct"/>
                  <w:gridSpan w:val="10"/>
                  <w:noWrap w:val="0"/>
                  <w:vAlign w:val="center"/>
                </w:tcPr>
                <w:p w14:paraId="11156857">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皮肤接触：立即脱去被污染的衣着，用大量清水冲洗；</w:t>
                  </w:r>
                </w:p>
                <w:p w14:paraId="4E048D0A">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眼睛接触：立即提起眼睑，用大量流动清水或生理盐水冲洗，就医；吸入：迅速脱离现场至空气新鲜处，保持呼吸道通畅，如呼吸困难，给输氧；如呼吸停止，立即进行人工呼吸，就医；食入：饮足量温水，催吐，就医。</w:t>
                  </w:r>
                </w:p>
              </w:tc>
            </w:tr>
            <w:tr w14:paraId="3E277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noWrap w:val="0"/>
                  <w:vAlign w:val="center"/>
                </w:tcPr>
                <w:p w14:paraId="69DB2910">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防护</w:t>
                  </w:r>
                </w:p>
              </w:tc>
              <w:tc>
                <w:tcPr>
                  <w:tcW w:w="4653" w:type="pct"/>
                  <w:gridSpan w:val="10"/>
                  <w:noWrap w:val="0"/>
                  <w:vAlign w:val="center"/>
                </w:tcPr>
                <w:p w14:paraId="64627CC7">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工程控制：密闭操作，注意通风；</w:t>
                  </w:r>
                </w:p>
                <w:p w14:paraId="2C183F55">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呼吸系统防护：空气中浓度超标时，建议佩戴自吸过滤式防毒面具（半面罩）。紧急事态抢救或撤离时，应该佩戴空气呼吸器。</w:t>
                  </w:r>
                </w:p>
                <w:p w14:paraId="676D9564">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眼睛防护：戴化学安全防护眼镜。</w:t>
                  </w:r>
                </w:p>
                <w:p w14:paraId="6BFC047B">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身体防护：穿防毒物渗透工作服；</w:t>
                  </w:r>
                </w:p>
                <w:p w14:paraId="735935AA">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手防护：戴橡胶耐油手套；</w:t>
                  </w:r>
                </w:p>
                <w:p w14:paraId="23BE3014">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其他：工作现场严禁吸烟。避免长期反复接触。</w:t>
                  </w:r>
                </w:p>
              </w:tc>
            </w:tr>
            <w:tr w14:paraId="44AA2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noWrap w:val="0"/>
                  <w:vAlign w:val="center"/>
                </w:tcPr>
                <w:p w14:paraId="4631D891">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泄漏处理</w:t>
                  </w:r>
                </w:p>
              </w:tc>
              <w:tc>
                <w:tcPr>
                  <w:tcW w:w="4653" w:type="pct"/>
                  <w:gridSpan w:val="10"/>
                  <w:noWrap w:val="0"/>
                  <w:vAlign w:val="center"/>
                </w:tcPr>
                <w:p w14:paraId="43624399">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迅速撤离泄漏污染区人员至安全区，并进行隔离，严格限制出入。切断火源。建议应急处理人员戴自给正压式呼吸器，穿防毒服。尽可能切断泄漏源。防止流入下水道、排洪沟等限制性空间。</w:t>
                  </w:r>
                </w:p>
                <w:p w14:paraId="1FF8C79D">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小量泄漏：用砂土或其它不燃材料吸附或吸收。</w:t>
                  </w:r>
                </w:p>
                <w:p w14:paraId="37F783E2">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大量泄漏：构筑围堤或挖坑收容。用泵转移至槽车或专用收集器内，回收或运至废物处理场所处置。</w:t>
                  </w:r>
                </w:p>
              </w:tc>
            </w:tr>
            <w:tr w14:paraId="6CA17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noWrap w:val="0"/>
                  <w:vAlign w:val="center"/>
                </w:tcPr>
                <w:p w14:paraId="0F406965">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储运</w:t>
                  </w:r>
                </w:p>
              </w:tc>
              <w:tc>
                <w:tcPr>
                  <w:tcW w:w="4653" w:type="pct"/>
                  <w:gridSpan w:val="10"/>
                  <w:noWrap w:val="0"/>
                  <w:vAlign w:val="center"/>
                </w:tcPr>
                <w:p w14:paraId="7C6D659D">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储存于阴凉、通风的库房。远离火种、热源。应与氧化剂分开存放，切忌混储。配备相应品种和数量的消防器材。储区应备有泄漏应急处理设备和合适的收容材料。</w:t>
                  </w:r>
                </w:p>
                <w:p w14:paraId="3626DBE8">
                  <w:pPr>
                    <w:pStyle w:val="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1"/>
                      <w:sz w:val="21"/>
                      <w:szCs w:val="21"/>
                    </w:rPr>
                  </w:pPr>
                  <w:r>
                    <w:rPr>
                      <w:rFonts w:hint="default" w:ascii="Times New Roman" w:hAnsi="Times New Roman" w:cs="Times New Roman"/>
                      <w:color w:val="auto"/>
                      <w:spacing w:val="-1"/>
                      <w:sz w:val="21"/>
                      <w:szCs w:val="21"/>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357F40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4-12 二氧化硫及二氧化氮危险</w:t>
            </w:r>
            <w:r>
              <w:rPr>
                <w:rFonts w:hint="default" w:ascii="Times New Roman" w:hAnsi="Times New Roman" w:eastAsia="宋体" w:cs="Times New Roman"/>
                <w:b/>
                <w:bCs/>
                <w:color w:val="auto"/>
                <w:sz w:val="21"/>
                <w:szCs w:val="21"/>
              </w:rPr>
              <w:t>特性一览表</w:t>
            </w:r>
          </w:p>
          <w:tbl>
            <w:tblPr>
              <w:tblStyle w:val="27"/>
              <w:tblW w:w="8074" w:type="dxa"/>
              <w:tblInd w:w="0" w:type="dxa"/>
              <w:tblLayout w:type="fixed"/>
              <w:tblCellMar>
                <w:top w:w="0" w:type="dxa"/>
                <w:left w:w="108" w:type="dxa"/>
                <w:bottom w:w="0" w:type="dxa"/>
                <w:right w:w="108" w:type="dxa"/>
              </w:tblCellMar>
            </w:tblPr>
            <w:tblGrid>
              <w:gridCol w:w="370"/>
              <w:gridCol w:w="606"/>
              <w:gridCol w:w="761"/>
              <w:gridCol w:w="490"/>
              <w:gridCol w:w="490"/>
              <w:gridCol w:w="533"/>
              <w:gridCol w:w="541"/>
              <w:gridCol w:w="377"/>
              <w:gridCol w:w="533"/>
              <w:gridCol w:w="459"/>
              <w:gridCol w:w="373"/>
              <w:gridCol w:w="1136"/>
              <w:gridCol w:w="1033"/>
              <w:gridCol w:w="372"/>
            </w:tblGrid>
            <w:tr w14:paraId="3E72939C">
              <w:tblPrEx>
                <w:tblCellMar>
                  <w:top w:w="0" w:type="dxa"/>
                  <w:left w:w="108" w:type="dxa"/>
                  <w:bottom w:w="0" w:type="dxa"/>
                  <w:right w:w="108" w:type="dxa"/>
                </w:tblCellMar>
              </w:tblPrEx>
              <w:trPr>
                <w:trHeight w:val="284" w:hRule="atLeast"/>
                <w:tblHeader/>
              </w:trPr>
              <w:tc>
                <w:tcPr>
                  <w:tcW w:w="229" w:type="pct"/>
                  <w:vMerge w:val="restart"/>
                  <w:tcBorders>
                    <w:top w:val="single" w:color="auto" w:sz="4" w:space="0"/>
                    <w:left w:val="single" w:color="auto" w:sz="4" w:space="0"/>
                    <w:bottom w:val="single" w:color="auto" w:sz="4" w:space="0"/>
                    <w:right w:val="single" w:color="auto" w:sz="4" w:space="0"/>
                  </w:tcBorders>
                  <w:noWrap w:val="0"/>
                  <w:vAlign w:val="center"/>
                </w:tcPr>
                <w:p w14:paraId="39E947B2">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75" w:type="pct"/>
                  <w:vMerge w:val="restart"/>
                  <w:tcBorders>
                    <w:top w:val="single" w:color="auto" w:sz="4" w:space="0"/>
                    <w:left w:val="single" w:color="auto" w:sz="4" w:space="0"/>
                    <w:bottom w:val="single" w:color="auto" w:sz="4" w:space="0"/>
                    <w:right w:val="single" w:color="auto" w:sz="4" w:space="0"/>
                  </w:tcBorders>
                  <w:noWrap w:val="0"/>
                  <w:vAlign w:val="center"/>
                </w:tcPr>
                <w:p w14:paraId="296DAC7D">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471" w:type="pct"/>
                  <w:vMerge w:val="restart"/>
                  <w:tcBorders>
                    <w:top w:val="single" w:color="auto" w:sz="4" w:space="0"/>
                    <w:left w:val="single" w:color="auto" w:sz="4" w:space="0"/>
                    <w:bottom w:val="single" w:color="auto" w:sz="4" w:space="0"/>
                    <w:right w:val="single" w:color="auto" w:sz="4" w:space="0"/>
                  </w:tcBorders>
                  <w:noWrap w:val="0"/>
                  <w:vAlign w:val="center"/>
                </w:tcPr>
                <w:p w14:paraId="15004D1F">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相态</w:t>
                  </w:r>
                </w:p>
              </w:tc>
              <w:tc>
                <w:tcPr>
                  <w:tcW w:w="606" w:type="pct"/>
                  <w:gridSpan w:val="2"/>
                  <w:tcBorders>
                    <w:top w:val="single" w:color="auto" w:sz="4" w:space="0"/>
                    <w:left w:val="nil"/>
                    <w:bottom w:val="single" w:color="auto" w:sz="4" w:space="0"/>
                    <w:right w:val="single" w:color="auto" w:sz="4" w:space="0"/>
                  </w:tcBorders>
                  <w:noWrap w:val="0"/>
                  <w:vAlign w:val="center"/>
                </w:tcPr>
                <w:p w14:paraId="0A65C8A9">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w:t>
                  </w:r>
                </w:p>
              </w:tc>
              <w:tc>
                <w:tcPr>
                  <w:tcW w:w="330" w:type="pct"/>
                  <w:vMerge w:val="restart"/>
                  <w:tcBorders>
                    <w:top w:val="single" w:color="auto" w:sz="4" w:space="0"/>
                    <w:left w:val="single" w:color="auto" w:sz="4" w:space="0"/>
                    <w:bottom w:val="single" w:color="auto" w:sz="4" w:space="0"/>
                    <w:right w:val="single" w:color="auto" w:sz="4" w:space="0"/>
                  </w:tcBorders>
                  <w:noWrap w:val="0"/>
                  <w:vAlign w:val="center"/>
                </w:tcPr>
                <w:p w14:paraId="2895BA4C">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335" w:type="pct"/>
                  <w:vMerge w:val="restart"/>
                  <w:tcBorders>
                    <w:top w:val="single" w:color="auto" w:sz="4" w:space="0"/>
                    <w:left w:val="single" w:color="auto" w:sz="4" w:space="0"/>
                    <w:bottom w:val="single" w:color="auto" w:sz="4" w:space="0"/>
                    <w:right w:val="single" w:color="auto" w:sz="4" w:space="0"/>
                  </w:tcBorders>
                  <w:noWrap w:val="0"/>
                  <w:vAlign w:val="center"/>
                </w:tcPr>
                <w:p w14:paraId="52B2CD60">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w:t>
                  </w:r>
                </w:p>
              </w:tc>
              <w:tc>
                <w:tcPr>
                  <w:tcW w:w="1078" w:type="pct"/>
                  <w:gridSpan w:val="4"/>
                  <w:tcBorders>
                    <w:top w:val="single" w:color="auto" w:sz="4" w:space="0"/>
                    <w:left w:val="nil"/>
                    <w:bottom w:val="single" w:color="auto" w:sz="4" w:space="0"/>
                    <w:right w:val="single" w:color="auto" w:sz="4" w:space="0"/>
                  </w:tcBorders>
                  <w:noWrap w:val="0"/>
                  <w:vAlign w:val="center"/>
                </w:tcPr>
                <w:p w14:paraId="35411771">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w:t>
                  </w:r>
                </w:p>
              </w:tc>
              <w:tc>
                <w:tcPr>
                  <w:tcW w:w="1572" w:type="pct"/>
                  <w:gridSpan w:val="3"/>
                  <w:tcBorders>
                    <w:top w:val="single" w:color="auto" w:sz="4" w:space="0"/>
                    <w:left w:val="nil"/>
                    <w:bottom w:val="single" w:color="auto" w:sz="4" w:space="0"/>
                    <w:right w:val="single" w:color="auto" w:sz="4" w:space="0"/>
                  </w:tcBorders>
                  <w:noWrap w:val="0"/>
                  <w:vAlign w:val="center"/>
                </w:tcPr>
                <w:p w14:paraId="16AE4CBD">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毒害性</w:t>
                  </w:r>
                </w:p>
              </w:tc>
            </w:tr>
            <w:tr w14:paraId="08324B9D">
              <w:tblPrEx>
                <w:tblCellMar>
                  <w:top w:w="0" w:type="dxa"/>
                  <w:left w:w="108" w:type="dxa"/>
                  <w:bottom w:w="0" w:type="dxa"/>
                  <w:right w:w="108" w:type="dxa"/>
                </w:tblCellMar>
              </w:tblPrEx>
              <w:trPr>
                <w:trHeight w:val="1586" w:hRule="atLeast"/>
                <w:tblHeader/>
              </w:trPr>
              <w:tc>
                <w:tcPr>
                  <w:tcW w:w="229" w:type="pct"/>
                  <w:vMerge w:val="continue"/>
                  <w:tcBorders>
                    <w:top w:val="single" w:color="auto" w:sz="4" w:space="0"/>
                    <w:left w:val="single" w:color="auto" w:sz="4" w:space="0"/>
                    <w:bottom w:val="single" w:color="auto" w:sz="4" w:space="0"/>
                    <w:right w:val="single" w:color="auto" w:sz="4" w:space="0"/>
                  </w:tcBorders>
                  <w:noWrap w:val="0"/>
                  <w:vAlign w:val="center"/>
                </w:tcPr>
                <w:p w14:paraId="2A40BFAD">
                  <w:pPr>
                    <w:pStyle w:val="72"/>
                    <w:rPr>
                      <w:rFonts w:hint="default" w:ascii="Times New Roman" w:hAnsi="Times New Roman" w:cs="Times New Roman"/>
                      <w:color w:val="auto"/>
                      <w:sz w:val="21"/>
                      <w:szCs w:val="21"/>
                    </w:rPr>
                  </w:pPr>
                </w:p>
              </w:tc>
              <w:tc>
                <w:tcPr>
                  <w:tcW w:w="375" w:type="pct"/>
                  <w:vMerge w:val="continue"/>
                  <w:tcBorders>
                    <w:top w:val="single" w:color="auto" w:sz="4" w:space="0"/>
                    <w:left w:val="single" w:color="auto" w:sz="4" w:space="0"/>
                    <w:bottom w:val="single" w:color="auto" w:sz="4" w:space="0"/>
                    <w:right w:val="single" w:color="auto" w:sz="4" w:space="0"/>
                  </w:tcBorders>
                  <w:noWrap w:val="0"/>
                  <w:vAlign w:val="center"/>
                </w:tcPr>
                <w:p w14:paraId="20A4B4F3">
                  <w:pPr>
                    <w:pStyle w:val="72"/>
                    <w:rPr>
                      <w:rFonts w:hint="default" w:ascii="Times New Roman" w:hAnsi="Times New Roman" w:cs="Times New Roman"/>
                      <w:color w:val="auto"/>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14:paraId="083E5DA2">
                  <w:pPr>
                    <w:pStyle w:val="72"/>
                    <w:rPr>
                      <w:rFonts w:hint="default" w:ascii="Times New Roman" w:hAnsi="Times New Roman" w:cs="Times New Roman"/>
                      <w:color w:val="auto"/>
                      <w:sz w:val="21"/>
                      <w:szCs w:val="21"/>
                    </w:rPr>
                  </w:pPr>
                </w:p>
              </w:tc>
              <w:tc>
                <w:tcPr>
                  <w:tcW w:w="303" w:type="pct"/>
                  <w:tcBorders>
                    <w:top w:val="nil"/>
                    <w:left w:val="nil"/>
                    <w:bottom w:val="single" w:color="auto" w:sz="4" w:space="0"/>
                    <w:right w:val="single" w:color="auto" w:sz="4" w:space="0"/>
                  </w:tcBorders>
                  <w:noWrap w:val="0"/>
                  <w:vAlign w:val="center"/>
                </w:tcPr>
                <w:p w14:paraId="1FBBF480">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空气=1</w:t>
                  </w:r>
                </w:p>
              </w:tc>
              <w:tc>
                <w:tcPr>
                  <w:tcW w:w="303" w:type="pct"/>
                  <w:tcBorders>
                    <w:top w:val="nil"/>
                    <w:left w:val="nil"/>
                    <w:bottom w:val="single" w:color="auto" w:sz="4" w:space="0"/>
                    <w:right w:val="single" w:color="auto" w:sz="4" w:space="0"/>
                  </w:tcBorders>
                  <w:noWrap w:val="0"/>
                  <w:vAlign w:val="center"/>
                </w:tcPr>
                <w:p w14:paraId="151713FF">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水=1</w:t>
                  </w:r>
                </w:p>
              </w:tc>
              <w:tc>
                <w:tcPr>
                  <w:tcW w:w="330" w:type="pct"/>
                  <w:vMerge w:val="continue"/>
                  <w:tcBorders>
                    <w:top w:val="single" w:color="auto" w:sz="4" w:space="0"/>
                    <w:left w:val="single" w:color="auto" w:sz="4" w:space="0"/>
                    <w:bottom w:val="single" w:color="auto" w:sz="4" w:space="0"/>
                    <w:right w:val="single" w:color="auto" w:sz="4" w:space="0"/>
                  </w:tcBorders>
                  <w:noWrap w:val="0"/>
                  <w:vAlign w:val="center"/>
                </w:tcPr>
                <w:p w14:paraId="729DEC95">
                  <w:pPr>
                    <w:pStyle w:val="72"/>
                    <w:rPr>
                      <w:rFonts w:hint="default" w:ascii="Times New Roman" w:hAnsi="Times New Roman" w:cs="Times New Roman"/>
                      <w:color w:val="auto"/>
                      <w:sz w:val="21"/>
                      <w:szCs w:val="21"/>
                    </w:rPr>
                  </w:pPr>
                </w:p>
              </w:tc>
              <w:tc>
                <w:tcPr>
                  <w:tcW w:w="335" w:type="pct"/>
                  <w:vMerge w:val="continue"/>
                  <w:tcBorders>
                    <w:top w:val="single" w:color="auto" w:sz="4" w:space="0"/>
                    <w:left w:val="single" w:color="auto" w:sz="4" w:space="0"/>
                    <w:bottom w:val="single" w:color="auto" w:sz="4" w:space="0"/>
                    <w:right w:val="single" w:color="auto" w:sz="4" w:space="0"/>
                  </w:tcBorders>
                  <w:noWrap w:val="0"/>
                  <w:vAlign w:val="center"/>
                </w:tcPr>
                <w:p w14:paraId="513DC9A6">
                  <w:pPr>
                    <w:pStyle w:val="72"/>
                    <w:rPr>
                      <w:rFonts w:hint="default" w:ascii="Times New Roman" w:hAnsi="Times New Roman" w:cs="Times New Roman"/>
                      <w:color w:val="auto"/>
                      <w:sz w:val="21"/>
                      <w:szCs w:val="21"/>
                    </w:rPr>
                  </w:pPr>
                </w:p>
              </w:tc>
              <w:tc>
                <w:tcPr>
                  <w:tcW w:w="233" w:type="pct"/>
                  <w:tcBorders>
                    <w:top w:val="nil"/>
                    <w:left w:val="nil"/>
                    <w:bottom w:val="single" w:color="auto" w:sz="4" w:space="0"/>
                    <w:right w:val="single" w:color="auto" w:sz="4" w:space="0"/>
                  </w:tcBorders>
                  <w:noWrap w:val="0"/>
                  <w:vAlign w:val="center"/>
                </w:tcPr>
                <w:p w14:paraId="57C1ADA9">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p w14:paraId="718007CF">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30" w:type="pct"/>
                  <w:tcBorders>
                    <w:top w:val="nil"/>
                    <w:left w:val="nil"/>
                    <w:bottom w:val="single" w:color="auto" w:sz="4" w:space="0"/>
                    <w:right w:val="single" w:color="auto" w:sz="4" w:space="0"/>
                  </w:tcBorders>
                  <w:noWrap w:val="0"/>
                  <w:vAlign w:val="center"/>
                </w:tcPr>
                <w:p w14:paraId="38F7EE41">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引燃温度℃</w:t>
                  </w:r>
                </w:p>
              </w:tc>
              <w:tc>
                <w:tcPr>
                  <w:tcW w:w="284" w:type="pct"/>
                  <w:tcBorders>
                    <w:top w:val="nil"/>
                    <w:left w:val="nil"/>
                    <w:bottom w:val="single" w:color="auto" w:sz="4" w:space="0"/>
                    <w:right w:val="single" w:color="auto" w:sz="4" w:space="0"/>
                  </w:tcBorders>
                  <w:noWrap w:val="0"/>
                  <w:vAlign w:val="center"/>
                </w:tcPr>
                <w:p w14:paraId="79959C6C">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爆炸极限V%</w:t>
                  </w:r>
                </w:p>
              </w:tc>
              <w:tc>
                <w:tcPr>
                  <w:tcW w:w="230" w:type="pct"/>
                  <w:tcBorders>
                    <w:top w:val="nil"/>
                    <w:left w:val="nil"/>
                    <w:bottom w:val="single" w:color="auto" w:sz="4" w:space="0"/>
                    <w:right w:val="single" w:color="auto" w:sz="4" w:space="0"/>
                  </w:tcBorders>
                  <w:noWrap w:val="0"/>
                  <w:vAlign w:val="center"/>
                </w:tcPr>
                <w:p w14:paraId="6DBA1BA5">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火灾危险类别</w:t>
                  </w:r>
                </w:p>
              </w:tc>
              <w:tc>
                <w:tcPr>
                  <w:tcW w:w="703" w:type="pct"/>
                  <w:tcBorders>
                    <w:top w:val="nil"/>
                    <w:left w:val="nil"/>
                    <w:bottom w:val="single" w:color="auto" w:sz="4" w:space="0"/>
                    <w:right w:val="single" w:color="auto" w:sz="4" w:space="0"/>
                  </w:tcBorders>
                  <w:noWrap w:val="0"/>
                  <w:vAlign w:val="center"/>
                </w:tcPr>
                <w:p w14:paraId="6270F2D6">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毒理学</w:t>
                  </w:r>
                </w:p>
              </w:tc>
              <w:tc>
                <w:tcPr>
                  <w:tcW w:w="639" w:type="pct"/>
                  <w:tcBorders>
                    <w:top w:val="nil"/>
                    <w:left w:val="nil"/>
                    <w:bottom w:val="single" w:color="auto" w:sz="4" w:space="0"/>
                    <w:right w:val="single" w:color="auto" w:sz="4" w:space="0"/>
                  </w:tcBorders>
                  <w:noWrap w:val="0"/>
                  <w:vAlign w:val="center"/>
                </w:tcPr>
                <w:p w14:paraId="741F4446">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职业接触限值mg/m</w:t>
                  </w:r>
                  <w:r>
                    <w:rPr>
                      <w:rFonts w:hint="default" w:ascii="Times New Roman" w:hAnsi="Times New Roman" w:cs="Times New Roman"/>
                      <w:color w:val="auto"/>
                      <w:sz w:val="21"/>
                      <w:szCs w:val="21"/>
                      <w:vertAlign w:val="superscript"/>
                    </w:rPr>
                    <w:t>3</w:t>
                  </w:r>
                </w:p>
              </w:tc>
              <w:tc>
                <w:tcPr>
                  <w:tcW w:w="230" w:type="pct"/>
                  <w:tcBorders>
                    <w:top w:val="nil"/>
                    <w:left w:val="nil"/>
                    <w:bottom w:val="single" w:color="auto" w:sz="4" w:space="0"/>
                    <w:right w:val="single" w:color="auto" w:sz="4" w:space="0"/>
                  </w:tcBorders>
                  <w:noWrap w:val="0"/>
                  <w:vAlign w:val="center"/>
                </w:tcPr>
                <w:p w14:paraId="63C46F39">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w:t>
                  </w:r>
                </w:p>
                <w:p w14:paraId="3F7BF2B0">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等级</w:t>
                  </w:r>
                </w:p>
              </w:tc>
            </w:tr>
            <w:tr w14:paraId="708C06DB">
              <w:tblPrEx>
                <w:tblCellMar>
                  <w:top w:w="0" w:type="dxa"/>
                  <w:left w:w="108" w:type="dxa"/>
                  <w:bottom w:w="0" w:type="dxa"/>
                  <w:right w:w="108" w:type="dxa"/>
                </w:tblCellMar>
              </w:tblPrEx>
              <w:trPr>
                <w:trHeight w:val="284" w:hRule="atLeast"/>
              </w:trPr>
              <w:tc>
                <w:tcPr>
                  <w:tcW w:w="229" w:type="pct"/>
                  <w:tcBorders>
                    <w:top w:val="nil"/>
                    <w:left w:val="single" w:color="auto" w:sz="4" w:space="0"/>
                    <w:bottom w:val="single" w:color="auto" w:sz="4" w:space="0"/>
                    <w:right w:val="single" w:color="auto" w:sz="4" w:space="0"/>
                  </w:tcBorders>
                  <w:noWrap w:val="0"/>
                  <w:vAlign w:val="center"/>
                </w:tcPr>
                <w:p w14:paraId="4F135C71">
                  <w:pPr>
                    <w:pStyle w:val="72"/>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75" w:type="pct"/>
                  <w:tcBorders>
                    <w:top w:val="nil"/>
                    <w:left w:val="nil"/>
                    <w:bottom w:val="single" w:color="auto" w:sz="4" w:space="0"/>
                    <w:right w:val="single" w:color="auto" w:sz="4" w:space="0"/>
                  </w:tcBorders>
                  <w:noWrap/>
                  <w:vAlign w:val="center"/>
                </w:tcPr>
                <w:p w14:paraId="20E6B737">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二氧化硫</w:t>
                  </w:r>
                </w:p>
              </w:tc>
              <w:tc>
                <w:tcPr>
                  <w:tcW w:w="471" w:type="pct"/>
                  <w:tcBorders>
                    <w:top w:val="nil"/>
                    <w:left w:val="nil"/>
                    <w:bottom w:val="single" w:color="auto" w:sz="4" w:space="0"/>
                    <w:right w:val="single" w:color="auto" w:sz="4" w:space="0"/>
                  </w:tcBorders>
                  <w:noWrap w:val="0"/>
                  <w:vAlign w:val="center"/>
                </w:tcPr>
                <w:p w14:paraId="41D891DE">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无色气体，特臭</w:t>
                  </w:r>
                </w:p>
              </w:tc>
              <w:tc>
                <w:tcPr>
                  <w:tcW w:w="303" w:type="pct"/>
                  <w:tcBorders>
                    <w:top w:val="nil"/>
                    <w:left w:val="nil"/>
                    <w:bottom w:val="single" w:color="auto" w:sz="4" w:space="0"/>
                    <w:right w:val="single" w:color="auto" w:sz="4" w:space="0"/>
                  </w:tcBorders>
                  <w:noWrap w:val="0"/>
                  <w:vAlign w:val="center"/>
                </w:tcPr>
                <w:p w14:paraId="542B7F24">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2.26</w:t>
                  </w:r>
                </w:p>
              </w:tc>
              <w:tc>
                <w:tcPr>
                  <w:tcW w:w="303" w:type="pct"/>
                  <w:tcBorders>
                    <w:top w:val="nil"/>
                    <w:left w:val="nil"/>
                    <w:bottom w:val="single" w:color="auto" w:sz="4" w:space="0"/>
                    <w:right w:val="single" w:color="auto" w:sz="4" w:space="0"/>
                  </w:tcBorders>
                  <w:noWrap w:val="0"/>
                  <w:vAlign w:val="center"/>
                </w:tcPr>
                <w:p w14:paraId="3EF1A12A">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1.43</w:t>
                  </w:r>
                </w:p>
              </w:tc>
              <w:tc>
                <w:tcPr>
                  <w:tcW w:w="330" w:type="pct"/>
                  <w:tcBorders>
                    <w:top w:val="nil"/>
                    <w:left w:val="nil"/>
                    <w:bottom w:val="single" w:color="auto" w:sz="4" w:space="0"/>
                    <w:right w:val="single" w:color="auto" w:sz="4" w:space="0"/>
                  </w:tcBorders>
                  <w:noWrap w:val="0"/>
                  <w:vAlign w:val="center"/>
                </w:tcPr>
                <w:p w14:paraId="1D7506FF">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35" w:type="pct"/>
                  <w:tcBorders>
                    <w:top w:val="nil"/>
                    <w:left w:val="nil"/>
                    <w:bottom w:val="single" w:color="auto" w:sz="4" w:space="0"/>
                    <w:right w:val="single" w:color="auto" w:sz="4" w:space="0"/>
                  </w:tcBorders>
                  <w:noWrap w:val="0"/>
                  <w:vAlign w:val="center"/>
                </w:tcPr>
                <w:p w14:paraId="7114F2B0">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-75.5</w:t>
                  </w:r>
                </w:p>
              </w:tc>
              <w:tc>
                <w:tcPr>
                  <w:tcW w:w="233" w:type="pct"/>
                  <w:tcBorders>
                    <w:top w:val="nil"/>
                    <w:left w:val="nil"/>
                    <w:bottom w:val="single" w:color="auto" w:sz="4" w:space="0"/>
                    <w:right w:val="single" w:color="auto" w:sz="4" w:space="0"/>
                  </w:tcBorders>
                  <w:noWrap w:val="0"/>
                  <w:vAlign w:val="center"/>
                </w:tcPr>
                <w:p w14:paraId="78BC43F3">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30" w:type="pct"/>
                  <w:tcBorders>
                    <w:top w:val="nil"/>
                    <w:left w:val="nil"/>
                    <w:bottom w:val="single" w:color="auto" w:sz="4" w:space="0"/>
                    <w:right w:val="single" w:color="auto" w:sz="4" w:space="0"/>
                  </w:tcBorders>
                  <w:noWrap w:val="0"/>
                  <w:vAlign w:val="center"/>
                </w:tcPr>
                <w:p w14:paraId="0B593839">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84" w:type="pct"/>
                  <w:tcBorders>
                    <w:top w:val="nil"/>
                    <w:left w:val="nil"/>
                    <w:bottom w:val="single" w:color="auto" w:sz="4" w:space="0"/>
                    <w:right w:val="single" w:color="auto" w:sz="4" w:space="0"/>
                  </w:tcBorders>
                  <w:noWrap w:val="0"/>
                  <w:vAlign w:val="center"/>
                </w:tcPr>
                <w:p w14:paraId="0B1B97E5">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30" w:type="pct"/>
                  <w:tcBorders>
                    <w:top w:val="nil"/>
                    <w:left w:val="nil"/>
                    <w:bottom w:val="single" w:color="auto" w:sz="4" w:space="0"/>
                    <w:right w:val="single" w:color="auto" w:sz="4" w:space="0"/>
                  </w:tcBorders>
                  <w:noWrap w:val="0"/>
                  <w:vAlign w:val="center"/>
                </w:tcPr>
                <w:p w14:paraId="1723015A">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乙</w:t>
                  </w:r>
                </w:p>
              </w:tc>
              <w:tc>
                <w:tcPr>
                  <w:tcW w:w="703" w:type="pct"/>
                  <w:tcBorders>
                    <w:top w:val="nil"/>
                    <w:left w:val="nil"/>
                    <w:bottom w:val="single" w:color="auto" w:sz="4" w:space="0"/>
                    <w:right w:val="single" w:color="auto" w:sz="4" w:space="0"/>
                  </w:tcBorders>
                  <w:noWrap w:val="0"/>
                  <w:vAlign w:val="center"/>
                </w:tcPr>
                <w:p w14:paraId="336627A1">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w:t>
                  </w:r>
                  <w:r>
                    <w:rPr>
                      <w:rFonts w:hint="default" w:ascii="Times New Roman" w:hAnsi="Times New Roman" w:cs="Times New Roman"/>
                      <w:color w:val="auto"/>
                      <w:sz w:val="21"/>
                      <w:szCs w:val="21"/>
                      <w:vertAlign w:val="subscript"/>
                    </w:rPr>
                    <w:t>50</w:t>
                  </w:r>
                  <w:r>
                    <w:rPr>
                      <w:rFonts w:hint="default" w:ascii="Times New Roman" w:hAnsi="Times New Roman" w:cs="Times New Roman"/>
                      <w:color w:val="auto"/>
                      <w:sz w:val="21"/>
                      <w:szCs w:val="21"/>
                    </w:rPr>
                    <w:t>：2520mg/kg(大鼠吸入）</w:t>
                  </w:r>
                </w:p>
              </w:tc>
              <w:tc>
                <w:tcPr>
                  <w:tcW w:w="639" w:type="pct"/>
                  <w:tcBorders>
                    <w:top w:val="nil"/>
                    <w:left w:val="nil"/>
                    <w:bottom w:val="single" w:color="auto" w:sz="4" w:space="0"/>
                    <w:right w:val="single" w:color="auto" w:sz="4" w:space="0"/>
                  </w:tcBorders>
                  <w:noWrap w:val="0"/>
                  <w:vAlign w:val="center"/>
                </w:tcPr>
                <w:p w14:paraId="30BFA5A2">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PC-TWA:5 PC-STEL:10</w:t>
                  </w:r>
                </w:p>
              </w:tc>
              <w:tc>
                <w:tcPr>
                  <w:tcW w:w="230" w:type="pct"/>
                  <w:tcBorders>
                    <w:top w:val="nil"/>
                    <w:left w:val="nil"/>
                    <w:bottom w:val="single" w:color="auto" w:sz="4" w:space="0"/>
                    <w:right w:val="single" w:color="auto" w:sz="4" w:space="0"/>
                  </w:tcBorders>
                  <w:noWrap w:val="0"/>
                  <w:vAlign w:val="center"/>
                </w:tcPr>
                <w:p w14:paraId="5E1D053D">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II级</w:t>
                  </w:r>
                </w:p>
              </w:tc>
            </w:tr>
            <w:tr w14:paraId="71C521B5">
              <w:tblPrEx>
                <w:tblCellMar>
                  <w:top w:w="0" w:type="dxa"/>
                  <w:left w:w="108" w:type="dxa"/>
                  <w:bottom w:w="0" w:type="dxa"/>
                  <w:right w:w="108" w:type="dxa"/>
                </w:tblCellMar>
              </w:tblPrEx>
              <w:trPr>
                <w:trHeight w:val="284" w:hRule="atLeast"/>
              </w:trPr>
              <w:tc>
                <w:tcPr>
                  <w:tcW w:w="229" w:type="pct"/>
                  <w:tcBorders>
                    <w:top w:val="nil"/>
                    <w:left w:val="single" w:color="auto" w:sz="4" w:space="0"/>
                    <w:bottom w:val="single" w:color="auto" w:sz="4" w:space="0"/>
                    <w:right w:val="single" w:color="auto" w:sz="4" w:space="0"/>
                  </w:tcBorders>
                  <w:noWrap w:val="0"/>
                  <w:vAlign w:val="center"/>
                </w:tcPr>
                <w:p w14:paraId="6C428327">
                  <w:pPr>
                    <w:pStyle w:val="72"/>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75" w:type="pct"/>
                  <w:tcBorders>
                    <w:top w:val="nil"/>
                    <w:left w:val="nil"/>
                    <w:bottom w:val="single" w:color="auto" w:sz="4" w:space="0"/>
                    <w:right w:val="single" w:color="auto" w:sz="4" w:space="0"/>
                  </w:tcBorders>
                  <w:noWrap/>
                  <w:vAlign w:val="center"/>
                </w:tcPr>
                <w:p w14:paraId="69E6DC76">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二氧化氮</w:t>
                  </w:r>
                </w:p>
              </w:tc>
              <w:tc>
                <w:tcPr>
                  <w:tcW w:w="471" w:type="pct"/>
                  <w:tcBorders>
                    <w:top w:val="nil"/>
                    <w:left w:val="nil"/>
                    <w:bottom w:val="single" w:color="auto" w:sz="4" w:space="0"/>
                    <w:right w:val="single" w:color="auto" w:sz="4" w:space="0"/>
                  </w:tcBorders>
                  <w:noWrap w:val="0"/>
                  <w:vAlign w:val="center"/>
                </w:tcPr>
                <w:p w14:paraId="4DA99054">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无色气体，有刺激性气味</w:t>
                  </w:r>
                </w:p>
              </w:tc>
              <w:tc>
                <w:tcPr>
                  <w:tcW w:w="303" w:type="pct"/>
                  <w:tcBorders>
                    <w:top w:val="nil"/>
                    <w:left w:val="nil"/>
                    <w:bottom w:val="single" w:color="auto" w:sz="4" w:space="0"/>
                    <w:right w:val="single" w:color="auto" w:sz="4" w:space="0"/>
                  </w:tcBorders>
                  <w:noWrap w:val="0"/>
                  <w:vAlign w:val="center"/>
                </w:tcPr>
                <w:p w14:paraId="4B6A216D">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303" w:type="pct"/>
                  <w:tcBorders>
                    <w:top w:val="nil"/>
                    <w:left w:val="nil"/>
                    <w:bottom w:val="single" w:color="auto" w:sz="4" w:space="0"/>
                    <w:right w:val="single" w:color="auto" w:sz="4" w:space="0"/>
                  </w:tcBorders>
                  <w:noWrap w:val="0"/>
                  <w:vAlign w:val="center"/>
                </w:tcPr>
                <w:p w14:paraId="485DB95C">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1.45</w:t>
                  </w:r>
                </w:p>
              </w:tc>
              <w:tc>
                <w:tcPr>
                  <w:tcW w:w="330" w:type="pct"/>
                  <w:tcBorders>
                    <w:top w:val="nil"/>
                    <w:left w:val="nil"/>
                    <w:bottom w:val="single" w:color="auto" w:sz="4" w:space="0"/>
                    <w:right w:val="single" w:color="auto" w:sz="4" w:space="0"/>
                  </w:tcBorders>
                  <w:noWrap w:val="0"/>
                  <w:vAlign w:val="center"/>
                </w:tcPr>
                <w:p w14:paraId="4E5A2D37">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22.4</w:t>
                  </w:r>
                </w:p>
              </w:tc>
              <w:tc>
                <w:tcPr>
                  <w:tcW w:w="335" w:type="pct"/>
                  <w:tcBorders>
                    <w:top w:val="nil"/>
                    <w:left w:val="nil"/>
                    <w:bottom w:val="single" w:color="auto" w:sz="4" w:space="0"/>
                    <w:right w:val="single" w:color="auto" w:sz="4" w:space="0"/>
                  </w:tcBorders>
                  <w:noWrap w:val="0"/>
                  <w:vAlign w:val="center"/>
                </w:tcPr>
                <w:p w14:paraId="676499AC">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w:t>
                  </w:r>
                </w:p>
              </w:tc>
              <w:tc>
                <w:tcPr>
                  <w:tcW w:w="233" w:type="pct"/>
                  <w:tcBorders>
                    <w:top w:val="nil"/>
                    <w:left w:val="nil"/>
                    <w:bottom w:val="single" w:color="auto" w:sz="4" w:space="0"/>
                    <w:right w:val="single" w:color="auto" w:sz="4" w:space="0"/>
                  </w:tcBorders>
                  <w:noWrap w:val="0"/>
                  <w:vAlign w:val="center"/>
                </w:tcPr>
                <w:p w14:paraId="48C83BBC">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30" w:type="pct"/>
                  <w:tcBorders>
                    <w:top w:val="nil"/>
                    <w:left w:val="nil"/>
                    <w:bottom w:val="single" w:color="auto" w:sz="4" w:space="0"/>
                    <w:right w:val="single" w:color="auto" w:sz="4" w:space="0"/>
                  </w:tcBorders>
                  <w:noWrap w:val="0"/>
                  <w:vAlign w:val="center"/>
                </w:tcPr>
                <w:p w14:paraId="3D17D530">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84" w:type="pct"/>
                  <w:tcBorders>
                    <w:top w:val="nil"/>
                    <w:left w:val="nil"/>
                    <w:bottom w:val="single" w:color="auto" w:sz="4" w:space="0"/>
                    <w:right w:val="single" w:color="auto" w:sz="4" w:space="0"/>
                  </w:tcBorders>
                  <w:noWrap w:val="0"/>
                  <w:vAlign w:val="center"/>
                </w:tcPr>
                <w:p w14:paraId="696F9DAC">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30" w:type="pct"/>
                  <w:tcBorders>
                    <w:top w:val="nil"/>
                    <w:left w:val="nil"/>
                    <w:bottom w:val="single" w:color="auto" w:sz="4" w:space="0"/>
                    <w:right w:val="single" w:color="auto" w:sz="4" w:space="0"/>
                  </w:tcBorders>
                  <w:noWrap w:val="0"/>
                  <w:vAlign w:val="center"/>
                </w:tcPr>
                <w:p w14:paraId="5A69A161">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乙</w:t>
                  </w:r>
                </w:p>
              </w:tc>
              <w:tc>
                <w:tcPr>
                  <w:tcW w:w="703" w:type="pct"/>
                  <w:tcBorders>
                    <w:top w:val="nil"/>
                    <w:left w:val="nil"/>
                    <w:bottom w:val="single" w:color="auto" w:sz="4" w:space="0"/>
                    <w:right w:val="single" w:color="auto" w:sz="4" w:space="0"/>
                  </w:tcBorders>
                  <w:noWrap w:val="0"/>
                  <w:vAlign w:val="center"/>
                </w:tcPr>
                <w:p w14:paraId="65FC29DC">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w:t>
                  </w:r>
                  <w:r>
                    <w:rPr>
                      <w:rFonts w:hint="default" w:ascii="Times New Roman" w:hAnsi="Times New Roman" w:cs="Times New Roman"/>
                      <w:color w:val="auto"/>
                      <w:sz w:val="21"/>
                      <w:szCs w:val="21"/>
                      <w:vertAlign w:val="subscript"/>
                    </w:rPr>
                    <w:t>50</w:t>
                  </w:r>
                  <w:r>
                    <w:rPr>
                      <w:rFonts w:hint="default" w:ascii="Times New Roman" w:hAnsi="Times New Roman" w:cs="Times New Roman"/>
                      <w:color w:val="auto"/>
                      <w:sz w:val="21"/>
                      <w:szCs w:val="21"/>
                    </w:rPr>
                    <w:t>：67ppm(大鼠吸入）</w:t>
                  </w:r>
                </w:p>
              </w:tc>
              <w:tc>
                <w:tcPr>
                  <w:tcW w:w="639" w:type="pct"/>
                  <w:tcBorders>
                    <w:top w:val="nil"/>
                    <w:left w:val="nil"/>
                    <w:bottom w:val="single" w:color="auto" w:sz="4" w:space="0"/>
                    <w:right w:val="single" w:color="auto" w:sz="4" w:space="0"/>
                  </w:tcBorders>
                  <w:noWrap w:val="0"/>
                  <w:vAlign w:val="center"/>
                </w:tcPr>
                <w:p w14:paraId="2BF011D4">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MAC:5</w:t>
                  </w:r>
                </w:p>
              </w:tc>
              <w:tc>
                <w:tcPr>
                  <w:tcW w:w="230" w:type="pct"/>
                  <w:tcBorders>
                    <w:top w:val="nil"/>
                    <w:left w:val="nil"/>
                    <w:bottom w:val="single" w:color="auto" w:sz="4" w:space="0"/>
                    <w:right w:val="single" w:color="auto" w:sz="4" w:space="0"/>
                  </w:tcBorders>
                  <w:noWrap w:val="0"/>
                  <w:vAlign w:val="center"/>
                </w:tcPr>
                <w:p w14:paraId="71E60FE3">
                  <w:pPr>
                    <w:pStyle w:val="7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II级</w:t>
                  </w:r>
                </w:p>
              </w:tc>
            </w:tr>
          </w:tbl>
          <w:p w14:paraId="6151ED43">
            <w:pPr>
              <w:autoSpaceDE w:val="0"/>
              <w:autoSpaceDN w:val="0"/>
              <w:snapToGrid w:val="0"/>
              <w:spacing w:line="360" w:lineRule="auto"/>
              <w:ind w:firstLine="442" w:firstLineChars="200"/>
              <w:rPr>
                <w:rFonts w:ascii="Times New Roman" w:hAnsi="Times New Roman"/>
                <w:b/>
                <w:bCs/>
                <w:color w:val="auto"/>
                <w:spacing w:val="-10"/>
                <w:szCs w:val="21"/>
              </w:rPr>
            </w:pPr>
          </w:p>
          <w:p w14:paraId="7740215B">
            <w:pPr>
              <w:autoSpaceDE w:val="0"/>
              <w:autoSpaceDN w:val="0"/>
              <w:snapToGrid w:val="0"/>
              <w:spacing w:line="360" w:lineRule="auto"/>
              <w:ind w:firstLine="442" w:firstLineChars="200"/>
              <w:rPr>
                <w:rFonts w:ascii="Times New Roman" w:hAnsi="Times New Roman"/>
                <w:bCs/>
                <w:color w:val="auto"/>
                <w:spacing w:val="-10"/>
                <w:szCs w:val="21"/>
              </w:rPr>
            </w:pPr>
            <w:r>
              <w:rPr>
                <w:rFonts w:ascii="Times New Roman" w:hAnsi="Times New Roman"/>
                <w:b/>
                <w:bCs/>
                <w:color w:val="auto"/>
                <w:spacing w:val="-10"/>
                <w:szCs w:val="21"/>
              </w:rPr>
              <w:t>（2）生产系统危险性识别</w:t>
            </w:r>
          </w:p>
          <w:p w14:paraId="215A6880">
            <w:pPr>
              <w:autoSpaceDE w:val="0"/>
              <w:autoSpaceDN w:val="0"/>
              <w:snapToGrid w:val="0"/>
              <w:spacing w:line="360" w:lineRule="auto"/>
              <w:ind w:firstLine="480" w:firstLineChars="200"/>
              <w:rPr>
                <w:rFonts w:ascii="Times New Roman" w:hAnsi="Times New Roman"/>
                <w:bCs/>
                <w:color w:val="auto"/>
                <w:spacing w:val="0"/>
                <w:sz w:val="24"/>
                <w:szCs w:val="21"/>
              </w:rPr>
            </w:pPr>
            <w:r>
              <w:rPr>
                <w:rFonts w:ascii="Times New Roman" w:hAnsi="Times New Roman"/>
                <w:bCs/>
                <w:color w:val="auto"/>
                <w:spacing w:val="0"/>
                <w:sz w:val="24"/>
                <w:szCs w:val="21"/>
              </w:rPr>
              <w:t>项目生产系统危险单元识别见表4-1</w:t>
            </w:r>
            <w:r>
              <w:rPr>
                <w:rFonts w:hint="eastAsia" w:ascii="Times New Roman" w:hAnsi="Times New Roman"/>
                <w:bCs/>
                <w:color w:val="auto"/>
                <w:spacing w:val="0"/>
                <w:sz w:val="24"/>
                <w:szCs w:val="21"/>
                <w:lang w:val="en-US" w:eastAsia="zh-CN"/>
              </w:rPr>
              <w:t>3</w:t>
            </w:r>
            <w:r>
              <w:rPr>
                <w:rFonts w:ascii="Times New Roman" w:hAnsi="Times New Roman"/>
                <w:bCs/>
                <w:color w:val="auto"/>
                <w:spacing w:val="0"/>
                <w:sz w:val="24"/>
                <w:szCs w:val="21"/>
              </w:rPr>
              <w:t>。</w:t>
            </w:r>
          </w:p>
          <w:p w14:paraId="61B0AE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表4-1</w:t>
            </w:r>
            <w:r>
              <w:rPr>
                <w:rFonts w:hint="eastAsia" w:ascii="Times New Roman" w:hAnsi="Times New Roman" w:eastAsia="宋体" w:cs="Times New Roman"/>
                <w:b/>
                <w:bCs/>
                <w:color w:val="auto"/>
                <w:sz w:val="21"/>
                <w:szCs w:val="21"/>
                <w:lang w:val="en-US" w:eastAsia="zh-CN"/>
              </w:rPr>
              <w:t>3</w:t>
            </w:r>
            <w:r>
              <w:rPr>
                <w:rFonts w:ascii="Times New Roman" w:hAnsi="Times New Roman" w:eastAsia="宋体" w:cs="Times New Roman"/>
                <w:b/>
                <w:bCs/>
                <w:color w:val="auto"/>
                <w:sz w:val="21"/>
                <w:szCs w:val="21"/>
              </w:rPr>
              <w:t xml:space="preserve">  危险单元划分结果表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293"/>
              <w:gridCol w:w="844"/>
              <w:gridCol w:w="1054"/>
              <w:gridCol w:w="1595"/>
              <w:gridCol w:w="1790"/>
            </w:tblGrid>
            <w:tr w14:paraId="7DA7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9" w:type="pct"/>
                  <w:noWrap w:val="0"/>
                  <w:vAlign w:val="center"/>
                </w:tcPr>
                <w:p w14:paraId="458ECA9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危险源</w:t>
                  </w:r>
                </w:p>
              </w:tc>
              <w:tc>
                <w:tcPr>
                  <w:tcW w:w="849" w:type="pct"/>
                  <w:noWrap w:val="0"/>
                  <w:vAlign w:val="center"/>
                </w:tcPr>
                <w:p w14:paraId="51A0EA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危险物质</w:t>
                  </w:r>
                </w:p>
              </w:tc>
              <w:tc>
                <w:tcPr>
                  <w:tcW w:w="554" w:type="pct"/>
                  <w:noWrap w:val="0"/>
                  <w:vAlign w:val="center"/>
                </w:tcPr>
                <w:p w14:paraId="37E10E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储存量</w:t>
                  </w:r>
                </w:p>
              </w:tc>
              <w:tc>
                <w:tcPr>
                  <w:tcW w:w="692" w:type="pct"/>
                  <w:noWrap w:val="0"/>
                  <w:vAlign w:val="center"/>
                </w:tcPr>
                <w:p w14:paraId="02CB084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储存方式</w:t>
                  </w:r>
                </w:p>
              </w:tc>
              <w:tc>
                <w:tcPr>
                  <w:tcW w:w="1047" w:type="pct"/>
                  <w:noWrap w:val="0"/>
                  <w:vAlign w:val="center"/>
                </w:tcPr>
                <w:p w14:paraId="731C7DA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可能发生的风险事故</w:t>
                  </w:r>
                </w:p>
              </w:tc>
              <w:tc>
                <w:tcPr>
                  <w:tcW w:w="1175" w:type="pct"/>
                  <w:noWrap w:val="0"/>
                  <w:vAlign w:val="center"/>
                </w:tcPr>
                <w:p w14:paraId="08DB314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b/>
                      <w:bCs/>
                      <w:color w:val="auto"/>
                      <w:kern w:val="0"/>
                      <w:sz w:val="21"/>
                      <w:szCs w:val="21"/>
                    </w:rPr>
                  </w:pPr>
                  <w:r>
                    <w:rPr>
                      <w:rFonts w:ascii="Times New Roman" w:hAnsi="Times New Roman"/>
                      <w:b/>
                      <w:bCs/>
                      <w:color w:val="auto"/>
                      <w:kern w:val="0"/>
                      <w:sz w:val="21"/>
                      <w:szCs w:val="21"/>
                    </w:rPr>
                    <w:t>事故触发条件</w:t>
                  </w:r>
                </w:p>
              </w:tc>
            </w:tr>
            <w:tr w14:paraId="412E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9" w:type="pct"/>
                  <w:noWrap w:val="0"/>
                  <w:vAlign w:val="center"/>
                </w:tcPr>
                <w:p w14:paraId="58CB5B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柴油储罐</w:t>
                  </w:r>
                </w:p>
              </w:tc>
              <w:tc>
                <w:tcPr>
                  <w:tcW w:w="849" w:type="pct"/>
                  <w:noWrap w:val="0"/>
                  <w:vAlign w:val="center"/>
                </w:tcPr>
                <w:p w14:paraId="24CB0D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柴油</w:t>
                  </w:r>
                </w:p>
              </w:tc>
              <w:tc>
                <w:tcPr>
                  <w:tcW w:w="554" w:type="pct"/>
                  <w:noWrap w:val="0"/>
                  <w:vAlign w:val="center"/>
                </w:tcPr>
                <w:p w14:paraId="2FF984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hint="eastAsia"/>
                      <w:color w:val="auto"/>
                      <w:kern w:val="0"/>
                      <w:sz w:val="21"/>
                      <w:szCs w:val="21"/>
                      <w:lang w:val="en-US" w:eastAsia="zh-CN"/>
                    </w:rPr>
                    <w:t>80</w:t>
                  </w:r>
                  <w:r>
                    <w:rPr>
                      <w:rFonts w:ascii="Times New Roman" w:hAnsi="Times New Roman"/>
                      <w:color w:val="auto"/>
                      <w:kern w:val="0"/>
                      <w:sz w:val="21"/>
                      <w:szCs w:val="21"/>
                    </w:rPr>
                    <w:t>t</w:t>
                  </w:r>
                </w:p>
              </w:tc>
              <w:tc>
                <w:tcPr>
                  <w:tcW w:w="692" w:type="pct"/>
                  <w:noWrap w:val="0"/>
                  <w:vAlign w:val="center"/>
                </w:tcPr>
                <w:p w14:paraId="1BD8DA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密闭储罐</w:t>
                  </w:r>
                </w:p>
              </w:tc>
              <w:tc>
                <w:tcPr>
                  <w:tcW w:w="1047" w:type="pct"/>
                  <w:noWrap w:val="0"/>
                  <w:vAlign w:val="center"/>
                </w:tcPr>
                <w:p w14:paraId="385121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泄漏和火灾</w:t>
                  </w:r>
                </w:p>
              </w:tc>
              <w:tc>
                <w:tcPr>
                  <w:tcW w:w="1175" w:type="pct"/>
                  <w:noWrap w:val="0"/>
                  <w:vAlign w:val="center"/>
                </w:tcPr>
                <w:p w14:paraId="0C6A8A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容器破损、遇明火</w:t>
                  </w:r>
                </w:p>
              </w:tc>
            </w:tr>
            <w:tr w14:paraId="649A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9" w:type="pct"/>
                  <w:noWrap w:val="0"/>
                  <w:vAlign w:val="center"/>
                </w:tcPr>
                <w:p w14:paraId="571E53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沥青罐</w:t>
                  </w:r>
                </w:p>
              </w:tc>
              <w:tc>
                <w:tcPr>
                  <w:tcW w:w="849" w:type="pct"/>
                  <w:noWrap w:val="0"/>
                  <w:vAlign w:val="center"/>
                </w:tcPr>
                <w:p w14:paraId="2CE5D9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沥青、导热油</w:t>
                  </w:r>
                </w:p>
              </w:tc>
              <w:tc>
                <w:tcPr>
                  <w:tcW w:w="554" w:type="pct"/>
                  <w:noWrap w:val="0"/>
                  <w:vAlign w:val="center"/>
                </w:tcPr>
                <w:p w14:paraId="723F59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hint="eastAsia"/>
                      <w:color w:val="auto"/>
                      <w:kern w:val="0"/>
                      <w:sz w:val="21"/>
                      <w:szCs w:val="21"/>
                      <w:lang w:val="en-US" w:eastAsia="zh-CN"/>
                    </w:rPr>
                    <w:t>28</w:t>
                  </w:r>
                  <w:r>
                    <w:rPr>
                      <w:rFonts w:ascii="Times New Roman" w:hAnsi="Times New Roman"/>
                      <w:color w:val="auto"/>
                      <w:kern w:val="0"/>
                      <w:sz w:val="21"/>
                      <w:szCs w:val="21"/>
                    </w:rPr>
                    <w:t>0t</w:t>
                  </w:r>
                </w:p>
              </w:tc>
              <w:tc>
                <w:tcPr>
                  <w:tcW w:w="692" w:type="pct"/>
                  <w:noWrap w:val="0"/>
                  <w:vAlign w:val="center"/>
                </w:tcPr>
                <w:p w14:paraId="296D21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密闭储罐</w:t>
                  </w:r>
                </w:p>
              </w:tc>
              <w:tc>
                <w:tcPr>
                  <w:tcW w:w="1047" w:type="pct"/>
                  <w:noWrap w:val="0"/>
                  <w:vAlign w:val="center"/>
                </w:tcPr>
                <w:p w14:paraId="2DF59C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泄漏和火灾</w:t>
                  </w:r>
                </w:p>
              </w:tc>
              <w:tc>
                <w:tcPr>
                  <w:tcW w:w="1175" w:type="pct"/>
                  <w:noWrap w:val="0"/>
                  <w:vAlign w:val="center"/>
                </w:tcPr>
                <w:p w14:paraId="74C5D6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容器破损、遇明火</w:t>
                  </w:r>
                </w:p>
              </w:tc>
            </w:tr>
            <w:tr w14:paraId="494A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9" w:type="pct"/>
                  <w:noWrap w:val="0"/>
                  <w:vAlign w:val="center"/>
                </w:tcPr>
                <w:p w14:paraId="6D7AE50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危废暂存间</w:t>
                  </w:r>
                </w:p>
              </w:tc>
              <w:tc>
                <w:tcPr>
                  <w:tcW w:w="849" w:type="pct"/>
                  <w:noWrap w:val="0"/>
                  <w:vAlign w:val="center"/>
                </w:tcPr>
                <w:p w14:paraId="0586B6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矿物油</w:t>
                  </w:r>
                </w:p>
              </w:tc>
              <w:tc>
                <w:tcPr>
                  <w:tcW w:w="554" w:type="pct"/>
                  <w:noWrap w:val="0"/>
                  <w:vAlign w:val="center"/>
                </w:tcPr>
                <w:p w14:paraId="3A4078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0.</w:t>
                  </w:r>
                  <w:r>
                    <w:rPr>
                      <w:rFonts w:hint="eastAsia"/>
                      <w:color w:val="auto"/>
                      <w:kern w:val="0"/>
                      <w:sz w:val="21"/>
                      <w:szCs w:val="21"/>
                      <w:lang w:val="en-US" w:eastAsia="zh-CN"/>
                    </w:rPr>
                    <w:t>5</w:t>
                  </w:r>
                  <w:r>
                    <w:rPr>
                      <w:rFonts w:ascii="Times New Roman" w:hAnsi="Times New Roman"/>
                      <w:color w:val="auto"/>
                      <w:kern w:val="0"/>
                      <w:sz w:val="21"/>
                      <w:szCs w:val="21"/>
                    </w:rPr>
                    <w:t>t</w:t>
                  </w:r>
                </w:p>
              </w:tc>
              <w:tc>
                <w:tcPr>
                  <w:tcW w:w="692" w:type="pct"/>
                  <w:noWrap w:val="0"/>
                  <w:vAlign w:val="center"/>
                </w:tcPr>
                <w:p w14:paraId="4A4BB0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密闭容器</w:t>
                  </w:r>
                </w:p>
              </w:tc>
              <w:tc>
                <w:tcPr>
                  <w:tcW w:w="1047" w:type="pct"/>
                  <w:noWrap w:val="0"/>
                  <w:vAlign w:val="center"/>
                </w:tcPr>
                <w:p w14:paraId="40C488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泄漏和火灾</w:t>
                  </w:r>
                </w:p>
              </w:tc>
              <w:tc>
                <w:tcPr>
                  <w:tcW w:w="1175" w:type="pct"/>
                  <w:noWrap w:val="0"/>
                  <w:vAlign w:val="center"/>
                </w:tcPr>
                <w:p w14:paraId="0F01EA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Times New Roman" w:hAnsi="Times New Roman"/>
                      <w:color w:val="auto"/>
                      <w:kern w:val="0"/>
                      <w:sz w:val="21"/>
                      <w:szCs w:val="21"/>
                    </w:rPr>
                  </w:pPr>
                  <w:r>
                    <w:rPr>
                      <w:rFonts w:ascii="Times New Roman" w:hAnsi="Times New Roman"/>
                      <w:color w:val="auto"/>
                      <w:kern w:val="0"/>
                      <w:sz w:val="21"/>
                      <w:szCs w:val="21"/>
                    </w:rPr>
                    <w:t>容器破损、遇明火</w:t>
                  </w:r>
                </w:p>
              </w:tc>
            </w:tr>
          </w:tbl>
          <w:p w14:paraId="7CFAEF63">
            <w:pPr>
              <w:autoSpaceDE w:val="0"/>
              <w:autoSpaceDN w:val="0"/>
              <w:snapToGrid w:val="0"/>
              <w:spacing w:line="360" w:lineRule="auto"/>
              <w:ind w:firstLine="440" w:firstLineChars="200"/>
              <w:rPr>
                <w:rFonts w:ascii="Times New Roman" w:hAnsi="Times New Roman"/>
                <w:bCs/>
                <w:color w:val="auto"/>
                <w:spacing w:val="-10"/>
                <w:szCs w:val="21"/>
              </w:rPr>
            </w:pPr>
          </w:p>
          <w:p w14:paraId="711B3A27">
            <w:pPr>
              <w:autoSpaceDE w:val="0"/>
              <w:autoSpaceDN w:val="0"/>
              <w:snapToGrid w:val="0"/>
              <w:spacing w:line="360" w:lineRule="auto"/>
              <w:ind w:firstLine="482" w:firstLineChars="200"/>
              <w:rPr>
                <w:rFonts w:ascii="Times New Roman" w:hAnsi="Times New Roman"/>
                <w:b/>
                <w:bCs/>
                <w:color w:val="auto"/>
                <w:spacing w:val="0"/>
                <w:sz w:val="24"/>
                <w:szCs w:val="21"/>
              </w:rPr>
            </w:pPr>
            <w:r>
              <w:rPr>
                <w:rFonts w:ascii="Times New Roman" w:hAnsi="Times New Roman"/>
                <w:b/>
                <w:bCs/>
                <w:color w:val="auto"/>
                <w:spacing w:val="0"/>
                <w:sz w:val="24"/>
                <w:szCs w:val="21"/>
              </w:rPr>
              <w:t>（3）环境风险分析</w:t>
            </w:r>
          </w:p>
          <w:p w14:paraId="7BFCC88B">
            <w:pPr>
              <w:autoSpaceDE w:val="0"/>
              <w:autoSpaceDN w:val="0"/>
              <w:snapToGrid w:val="0"/>
              <w:spacing w:line="360" w:lineRule="auto"/>
              <w:ind w:firstLine="482" w:firstLineChars="200"/>
              <w:rPr>
                <w:rFonts w:ascii="Times New Roman" w:hAnsi="Times New Roman"/>
                <w:bCs/>
                <w:color w:val="auto"/>
                <w:spacing w:val="0"/>
                <w:sz w:val="24"/>
                <w:szCs w:val="21"/>
              </w:rPr>
            </w:pPr>
            <w:r>
              <w:rPr>
                <w:rFonts w:hint="eastAsia" w:ascii="宋体" w:hAnsi="宋体" w:cs="宋体"/>
                <w:b/>
                <w:bCs/>
                <w:color w:val="auto"/>
                <w:spacing w:val="0"/>
                <w:sz w:val="24"/>
                <w:szCs w:val="21"/>
              </w:rPr>
              <w:t>①</w:t>
            </w:r>
            <w:r>
              <w:rPr>
                <w:rFonts w:ascii="Times New Roman" w:hAnsi="Times New Roman"/>
                <w:b/>
                <w:bCs/>
                <w:color w:val="auto"/>
                <w:spacing w:val="0"/>
                <w:sz w:val="24"/>
                <w:szCs w:val="21"/>
              </w:rPr>
              <w:t>大气环境风险分析</w:t>
            </w:r>
          </w:p>
          <w:p w14:paraId="7FCEA1B9">
            <w:pPr>
              <w:keepNext w:val="0"/>
              <w:keepLines w:val="0"/>
              <w:pageBreakBefore w:val="0"/>
              <w:widowControl w:val="0"/>
              <w:kinsoku/>
              <w:wordWrap/>
              <w:overflowPunct/>
              <w:topLinePunct w:val="0"/>
              <w:autoSpaceDE/>
              <w:autoSpaceDN/>
              <w:bidi w:val="0"/>
              <w:adjustRightInd w:val="0"/>
              <w:snapToGrid w:val="0"/>
              <w:ind w:left="0" w:leftChars="0" w:firstLine="480"/>
              <w:textAlignment w:val="auto"/>
              <w:rPr>
                <w:rFonts w:ascii="Times New Roman" w:hAnsi="Times New Roman"/>
                <w:bCs/>
                <w:color w:val="auto"/>
                <w:spacing w:val="0"/>
                <w:sz w:val="24"/>
                <w:szCs w:val="21"/>
              </w:rPr>
            </w:pPr>
            <w:r>
              <w:rPr>
                <w:rFonts w:ascii="Times New Roman" w:hAnsi="Times New Roman"/>
                <w:bCs/>
                <w:color w:val="auto"/>
                <w:spacing w:val="0"/>
                <w:sz w:val="24"/>
                <w:szCs w:val="21"/>
              </w:rPr>
              <w:t>当储罐、暂存容器破损泄漏时，将会挥发有机气体，逸散到空气中对大气环境造成污染。此外，泄漏后柴油、导热油、沥青、废机油等遇明火源，均会发生火灾，火灾事故时会分解产生CO、CO</w:t>
            </w:r>
            <w:r>
              <w:rPr>
                <w:rFonts w:ascii="Times New Roman" w:hAnsi="Times New Roman"/>
                <w:bCs/>
                <w:color w:val="auto"/>
                <w:spacing w:val="0"/>
                <w:sz w:val="24"/>
                <w:szCs w:val="21"/>
                <w:vertAlign w:val="subscript"/>
              </w:rPr>
              <w:t>2</w:t>
            </w:r>
            <w:r>
              <w:rPr>
                <w:rFonts w:ascii="Times New Roman" w:hAnsi="Times New Roman"/>
                <w:bCs/>
                <w:color w:val="auto"/>
                <w:spacing w:val="0"/>
                <w:sz w:val="24"/>
                <w:szCs w:val="21"/>
              </w:rPr>
              <w:t>，将对大气环境造成影响</w:t>
            </w:r>
            <w:r>
              <w:rPr>
                <w:rFonts w:hint="eastAsia"/>
                <w:bCs/>
                <w:color w:val="auto"/>
                <w:spacing w:val="0"/>
                <w:sz w:val="24"/>
                <w:szCs w:val="21"/>
                <w:lang w:eastAsia="zh-CN"/>
              </w:rPr>
              <w:t>。</w:t>
            </w:r>
            <w:r>
              <w:rPr>
                <w:rFonts w:hint="eastAsia"/>
                <w:bCs/>
                <w:color w:val="auto"/>
                <w:spacing w:val="0"/>
                <w:sz w:val="24"/>
                <w:szCs w:val="21"/>
                <w:lang w:val="en-US" w:eastAsia="zh-CN"/>
              </w:rPr>
              <w:t>另外，燃烧器废气</w:t>
            </w:r>
            <w:r>
              <w:rPr>
                <w:rFonts w:hint="default" w:ascii="Times New Roman" w:hAnsi="Times New Roman" w:cs="Times New Roman"/>
                <w:color w:val="auto"/>
              </w:rPr>
              <w:t>管道</w:t>
            </w:r>
            <w:r>
              <w:rPr>
                <w:rFonts w:hint="eastAsia" w:cs="Times New Roman"/>
                <w:color w:val="auto"/>
                <w:lang w:val="en-US" w:eastAsia="zh-CN"/>
              </w:rPr>
              <w:t>中二氧化硫及二氧化氮泄露造成大气污染</w:t>
            </w:r>
            <w:r>
              <w:rPr>
                <w:rFonts w:hint="default" w:ascii="Times New Roman" w:hAnsi="Times New Roman" w:cs="Times New Roman"/>
                <w:color w:val="auto"/>
              </w:rPr>
              <w:t>。</w:t>
            </w:r>
            <w:r>
              <w:rPr>
                <w:rFonts w:ascii="Times New Roman" w:hAnsi="Times New Roman"/>
                <w:bCs/>
                <w:color w:val="auto"/>
                <w:spacing w:val="0"/>
                <w:sz w:val="24"/>
                <w:szCs w:val="21"/>
              </w:rPr>
              <w:t>运营过程中在认真落实风险防范措施，危险单元设置禁止吸烟、禁止明火等标志，加强员工安全防火意识，按照消防要求设置灭火器等相应防火应急措施后，发生风险概率很小，项目大气环境风险可控，对大气环境影响是可以接受的。</w:t>
            </w:r>
          </w:p>
          <w:p w14:paraId="274E575F">
            <w:pPr>
              <w:autoSpaceDE w:val="0"/>
              <w:autoSpaceDN w:val="0"/>
              <w:snapToGrid w:val="0"/>
              <w:spacing w:line="360" w:lineRule="auto"/>
              <w:ind w:firstLine="482" w:firstLineChars="200"/>
              <w:rPr>
                <w:rFonts w:ascii="Times New Roman" w:hAnsi="Times New Roman"/>
                <w:bCs/>
                <w:color w:val="auto"/>
                <w:spacing w:val="0"/>
                <w:sz w:val="24"/>
                <w:szCs w:val="21"/>
              </w:rPr>
            </w:pPr>
            <w:r>
              <w:rPr>
                <w:rFonts w:hint="eastAsia" w:ascii="宋体" w:hAnsi="宋体" w:cs="宋体"/>
                <w:b/>
                <w:bCs/>
                <w:color w:val="auto"/>
                <w:spacing w:val="0"/>
                <w:sz w:val="24"/>
                <w:szCs w:val="21"/>
              </w:rPr>
              <w:t>②</w:t>
            </w:r>
            <w:r>
              <w:rPr>
                <w:rFonts w:ascii="Times New Roman" w:hAnsi="Times New Roman"/>
                <w:b/>
                <w:bCs/>
                <w:color w:val="auto"/>
                <w:spacing w:val="0"/>
                <w:sz w:val="24"/>
                <w:szCs w:val="21"/>
              </w:rPr>
              <w:t>地表水环境风险分析</w:t>
            </w:r>
          </w:p>
          <w:p w14:paraId="75A0747E">
            <w:pPr>
              <w:keepNext w:val="0"/>
              <w:keepLines w:val="0"/>
              <w:pageBreakBefore w:val="0"/>
              <w:widowControl w:val="0"/>
              <w:kinsoku/>
              <w:wordWrap/>
              <w:overflowPunct/>
              <w:topLinePunct w:val="0"/>
              <w:autoSpaceDE/>
              <w:autoSpaceDN/>
              <w:bidi w:val="0"/>
              <w:adjustRightInd w:val="0"/>
              <w:snapToGrid w:val="0"/>
              <w:ind w:left="0" w:leftChars="0" w:firstLine="480"/>
              <w:textAlignment w:val="auto"/>
              <w:rPr>
                <w:rFonts w:ascii="Times New Roman" w:hAnsi="Times New Roman"/>
                <w:bCs/>
                <w:color w:val="auto"/>
                <w:spacing w:val="0"/>
                <w:sz w:val="24"/>
                <w:szCs w:val="21"/>
              </w:rPr>
            </w:pPr>
            <w:r>
              <w:rPr>
                <w:rFonts w:ascii="Times New Roman" w:hAnsi="Times New Roman"/>
                <w:bCs/>
                <w:color w:val="auto"/>
                <w:spacing w:val="0"/>
                <w:sz w:val="24"/>
                <w:szCs w:val="21"/>
              </w:rPr>
              <w:t>柴油、导热油、沥青、废机油等一旦发生泄漏进入水体，将会对水质造成一定的影响，浓度较高时会导致水体中动植物死亡，造成地表水体污染。项目柴油储罐、沥</w:t>
            </w:r>
            <w:r>
              <w:rPr>
                <w:rFonts w:ascii="Times New Roman" w:hAnsi="Times New Roman"/>
                <w:bCs/>
                <w:color w:val="auto"/>
                <w:spacing w:val="0"/>
                <w:sz w:val="24"/>
                <w:szCs w:val="24"/>
              </w:rPr>
              <w:t>青储罐区设置围堰≥0.6m，</w:t>
            </w:r>
            <w:r>
              <w:rPr>
                <w:rFonts w:hint="eastAsia" w:cs="Times New Roman"/>
                <w:color w:val="auto"/>
                <w:sz w:val="24"/>
                <w:szCs w:val="24"/>
                <w:lang w:val="en-US" w:eastAsia="zh-CN"/>
              </w:rPr>
              <w:t>1#和2#</w:t>
            </w:r>
            <w:r>
              <w:rPr>
                <w:rFonts w:hint="default" w:ascii="Times New Roman" w:hAnsi="Times New Roman" w:cs="Times New Roman"/>
                <w:bCs/>
                <w:color w:val="auto"/>
                <w:sz w:val="24"/>
                <w:szCs w:val="24"/>
                <w:lang w:bidi="ar"/>
              </w:rPr>
              <w:t>沥青储罐</w:t>
            </w:r>
            <w:r>
              <w:rPr>
                <w:rFonts w:hint="eastAsia" w:ascii="Times New Roman" w:hAnsi="Times New Roman" w:cs="Times New Roman"/>
                <w:color w:val="auto"/>
                <w:sz w:val="24"/>
                <w:szCs w:val="24"/>
                <w:lang w:val="en-US" w:eastAsia="zh-CN"/>
              </w:rPr>
              <w:t>围堰容积不小于</w:t>
            </w:r>
            <w:r>
              <w:rPr>
                <w:rFonts w:hint="eastAsia" w:ascii="Times New Roman" w:hAnsi="Times New Roman" w:eastAsia="宋体" w:cs="Times New Roman"/>
                <w:color w:val="auto"/>
                <w:sz w:val="24"/>
                <w:szCs w:val="24"/>
                <w:lang w:val="en-US" w:eastAsia="zh-CN"/>
              </w:rPr>
              <w:t>50m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，3#</w:t>
            </w:r>
            <w:r>
              <w:rPr>
                <w:rFonts w:hint="default" w:ascii="Times New Roman" w:hAnsi="Times New Roman" w:cs="Times New Roman"/>
                <w:bCs/>
                <w:color w:val="auto"/>
                <w:sz w:val="24"/>
                <w:szCs w:val="24"/>
                <w:lang w:bidi="ar"/>
              </w:rPr>
              <w:t>沥青储罐</w:t>
            </w:r>
            <w:r>
              <w:rPr>
                <w:rFonts w:hint="eastAsia" w:ascii="Times New Roman" w:hAnsi="Times New Roman" w:cs="Times New Roman"/>
                <w:color w:val="auto"/>
                <w:sz w:val="24"/>
                <w:szCs w:val="24"/>
                <w:lang w:val="en-US" w:eastAsia="zh-CN"/>
              </w:rPr>
              <w:t>围堰容积不小于</w:t>
            </w:r>
            <w:r>
              <w:rPr>
                <w:rFonts w:hint="eastAsia" w:cs="Times New Roman"/>
                <w:color w:val="auto"/>
                <w:sz w:val="24"/>
                <w:szCs w:val="24"/>
                <w:lang w:val="en-US" w:eastAsia="zh-CN"/>
              </w:rPr>
              <w:t>180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bidi="ar"/>
              </w:rPr>
              <w:t>柴油</w:t>
            </w:r>
            <w:r>
              <w:rPr>
                <w:rFonts w:hint="eastAsia" w:cs="Times New Roman"/>
                <w:color w:val="auto"/>
                <w:sz w:val="24"/>
                <w:szCs w:val="24"/>
                <w:lang w:val="en-US" w:eastAsia="zh-CN" w:bidi="ar"/>
              </w:rPr>
              <w:t>撬装加油站</w:t>
            </w:r>
            <w:r>
              <w:rPr>
                <w:rFonts w:hint="eastAsia" w:ascii="Times New Roman" w:hAnsi="Times New Roman" w:cs="Times New Roman"/>
                <w:color w:val="auto"/>
                <w:sz w:val="24"/>
                <w:szCs w:val="24"/>
                <w:lang w:val="en-US" w:eastAsia="zh-CN"/>
              </w:rPr>
              <w:t>围堰容积不小于</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0m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w:t>
            </w:r>
            <w:r>
              <w:rPr>
                <w:rFonts w:hint="eastAsia" w:cs="Times New Roman"/>
                <w:color w:val="auto"/>
                <w:sz w:val="24"/>
                <w:szCs w:val="24"/>
                <w:lang w:val="en-US" w:eastAsia="zh-CN" w:bidi="ar"/>
              </w:rPr>
              <w:t>轻质柴油储罐</w:t>
            </w:r>
            <w:r>
              <w:rPr>
                <w:rFonts w:hint="eastAsia" w:ascii="Times New Roman" w:hAnsi="Times New Roman" w:cs="Times New Roman"/>
                <w:color w:val="auto"/>
                <w:sz w:val="24"/>
                <w:szCs w:val="24"/>
                <w:lang w:val="en-US" w:eastAsia="zh-CN"/>
              </w:rPr>
              <w:t>围堰容积不小于</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0m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w:t>
            </w:r>
            <w:r>
              <w:rPr>
                <w:rFonts w:ascii="Times New Roman" w:hAnsi="Times New Roman"/>
                <w:bCs/>
                <w:color w:val="auto"/>
                <w:spacing w:val="0"/>
                <w:sz w:val="24"/>
                <w:szCs w:val="24"/>
              </w:rPr>
              <w:t>废矿物油</w:t>
            </w:r>
            <w:r>
              <w:rPr>
                <w:rFonts w:ascii="Times New Roman" w:hAnsi="Times New Roman"/>
                <w:bCs/>
                <w:color w:val="auto"/>
                <w:spacing w:val="0"/>
                <w:sz w:val="24"/>
                <w:szCs w:val="21"/>
              </w:rPr>
              <w:t>采用密闭专用容器盛装后暂存至危废暂存间，将柴油储罐、沥青储罐区、危废暂存间设为重点防渗区。</w:t>
            </w:r>
            <w:r>
              <w:rPr>
                <w:rFonts w:hint="default" w:ascii="Times New Roman" w:hAnsi="Times New Roman" w:eastAsia="宋体" w:cs="Times New Roman"/>
                <w:color w:val="auto"/>
                <w:kern w:val="0"/>
                <w:sz w:val="24"/>
                <w:szCs w:val="24"/>
                <w:highlight w:val="none"/>
                <w:lang w:val="en-US" w:eastAsia="zh-CN" w:bidi="ar"/>
              </w:rPr>
              <w:t>在</w:t>
            </w:r>
            <w:r>
              <w:rPr>
                <w:rFonts w:hint="eastAsia" w:ascii="Times New Roman" w:hAnsi="Times New Roman" w:eastAsia="宋体" w:cs="Times New Roman"/>
                <w:color w:val="auto"/>
                <w:kern w:val="0"/>
                <w:sz w:val="24"/>
                <w:szCs w:val="24"/>
                <w:highlight w:val="none"/>
                <w:lang w:val="en-US" w:eastAsia="zh-CN" w:bidi="ar"/>
              </w:rPr>
              <w:t>三级隔油</w:t>
            </w:r>
            <w:r>
              <w:rPr>
                <w:rFonts w:hint="default" w:ascii="Times New Roman" w:hAnsi="Times New Roman" w:eastAsia="宋体" w:cs="Times New Roman"/>
                <w:color w:val="auto"/>
                <w:kern w:val="0"/>
                <w:sz w:val="24"/>
                <w:szCs w:val="24"/>
                <w:highlight w:val="none"/>
                <w:lang w:val="en-US" w:eastAsia="zh-CN" w:bidi="ar"/>
              </w:rPr>
              <w:t>池站旁设置</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座</w:t>
            </w:r>
            <w:r>
              <w:rPr>
                <w:rFonts w:hint="eastAsia" w:ascii="Times New Roman" w:hAnsi="Times New Roman" w:eastAsia="宋体" w:cs="Times New Roman"/>
                <w:color w:val="auto"/>
                <w:kern w:val="0"/>
                <w:sz w:val="24"/>
                <w:szCs w:val="24"/>
                <w:highlight w:val="none"/>
                <w:lang w:val="en-US" w:eastAsia="zh-CN" w:bidi="ar"/>
              </w:rPr>
              <w:t>应急</w:t>
            </w:r>
            <w:r>
              <w:rPr>
                <w:rFonts w:hint="default" w:ascii="Times New Roman" w:hAnsi="Times New Roman" w:eastAsia="宋体" w:cs="Times New Roman"/>
                <w:color w:val="auto"/>
                <w:kern w:val="0"/>
                <w:sz w:val="24"/>
                <w:szCs w:val="24"/>
                <w:highlight w:val="none"/>
                <w:lang w:val="en-US" w:eastAsia="zh-CN" w:bidi="ar"/>
              </w:rPr>
              <w:t>事故池，</w:t>
            </w:r>
            <w:r>
              <w:rPr>
                <w:rFonts w:hint="eastAsia" w:ascii="Times New Roman" w:hAnsi="Times New Roman" w:eastAsia="宋体" w:cs="Times New Roman"/>
                <w:color w:val="auto"/>
                <w:kern w:val="0"/>
                <w:sz w:val="24"/>
                <w:szCs w:val="24"/>
                <w:highlight w:val="none"/>
                <w:lang w:val="en-US" w:eastAsia="zh-CN" w:bidi="ar"/>
              </w:rPr>
              <w:t>三级隔油沉淀</w:t>
            </w:r>
            <w:r>
              <w:rPr>
                <w:rFonts w:hint="default" w:ascii="Times New Roman" w:hAnsi="Times New Roman" w:eastAsia="宋体" w:cs="Times New Roman"/>
                <w:color w:val="auto"/>
                <w:kern w:val="0"/>
                <w:sz w:val="24"/>
                <w:szCs w:val="24"/>
                <w:highlight w:val="none"/>
                <w:lang w:val="en-US" w:eastAsia="zh-CN" w:bidi="ar"/>
              </w:rPr>
              <w:t>池</w:t>
            </w:r>
            <w:r>
              <w:rPr>
                <w:rFonts w:hint="eastAsia" w:cs="Times New Roman"/>
                <w:color w:val="auto"/>
                <w:kern w:val="0"/>
                <w:sz w:val="24"/>
                <w:szCs w:val="24"/>
                <w:highlight w:val="none"/>
                <w:lang w:val="en-US" w:eastAsia="zh-CN" w:bidi="ar"/>
              </w:rPr>
              <w:t>或者污水处理站</w:t>
            </w:r>
            <w:r>
              <w:rPr>
                <w:rFonts w:hint="eastAsia" w:ascii="Times New Roman" w:hAnsi="Times New Roman" w:eastAsia="宋体" w:cs="Times New Roman"/>
                <w:color w:val="auto"/>
                <w:kern w:val="0"/>
                <w:sz w:val="24"/>
                <w:szCs w:val="24"/>
                <w:highlight w:val="none"/>
                <w:lang w:val="en-US" w:eastAsia="zh-CN" w:bidi="ar"/>
              </w:rPr>
              <w:t>运行故障、</w:t>
            </w:r>
            <w:r>
              <w:rPr>
                <w:rFonts w:hint="eastAsia" w:ascii="宋体" w:hAnsi="宋体" w:eastAsia="宋体" w:cs="宋体"/>
                <w:color w:val="auto"/>
                <w:kern w:val="0"/>
                <w:sz w:val="24"/>
                <w:szCs w:val="24"/>
                <w:lang w:val="en-US" w:eastAsia="zh-CN" w:bidi="ar"/>
              </w:rPr>
              <w:t>储罐</w:t>
            </w:r>
            <w:r>
              <w:rPr>
                <w:rFonts w:hint="eastAsia" w:ascii="Times New Roman" w:hAnsi="Times New Roman" w:eastAsia="宋体" w:cs="Times New Roman"/>
                <w:color w:val="auto"/>
                <w:lang w:val="en-US" w:eastAsia="zh-CN"/>
              </w:rPr>
              <w:t>区泄漏物料和消防废水</w:t>
            </w:r>
            <w:r>
              <w:rPr>
                <w:rFonts w:hint="eastAsia" w:ascii="Times New Roman" w:hAnsi="Times New Roman" w:eastAsia="宋体" w:cs="Times New Roman"/>
                <w:color w:val="auto"/>
                <w:kern w:val="0"/>
                <w:sz w:val="24"/>
                <w:szCs w:val="24"/>
                <w:highlight w:val="none"/>
                <w:lang w:val="en-US" w:eastAsia="zh-CN" w:bidi="ar"/>
              </w:rPr>
              <w:t>可排入事故池内。</w:t>
            </w:r>
            <w:r>
              <w:rPr>
                <w:rFonts w:hint="default" w:ascii="Times New Roman" w:hAnsi="Times New Roman" w:cs="Times New Roman"/>
                <w:color w:val="auto"/>
              </w:rPr>
              <w:t>为防止消防废水等从雨水排口或清下水排口直接排出，在排水管网（包括雨水管网、污水管网）全部设置切断装置</w:t>
            </w:r>
            <w:r>
              <w:rPr>
                <w:rFonts w:hint="eastAsia" w:ascii="宋体" w:hAnsi="宋体" w:eastAsia="宋体" w:cs="宋体"/>
                <w:color w:val="auto"/>
                <w:kern w:val="0"/>
                <w:sz w:val="24"/>
                <w:szCs w:val="24"/>
                <w:lang w:val="en-US" w:eastAsia="zh-CN" w:bidi="ar"/>
              </w:rPr>
              <w:t>，紧急状态下可关闭排水管网出水阀。</w:t>
            </w:r>
            <w:r>
              <w:rPr>
                <w:rFonts w:ascii="Times New Roman" w:hAnsi="Times New Roman"/>
                <w:bCs/>
                <w:color w:val="auto"/>
                <w:spacing w:val="0"/>
                <w:sz w:val="24"/>
                <w:szCs w:val="21"/>
              </w:rPr>
              <w:t>因此项目内存在的地表水污染风险较小，不会漫流至地表水中，因此，项目地表水环境风险是可控的。</w:t>
            </w:r>
          </w:p>
          <w:p w14:paraId="45DF3D7D">
            <w:pPr>
              <w:autoSpaceDE w:val="0"/>
              <w:autoSpaceDN w:val="0"/>
              <w:snapToGrid w:val="0"/>
              <w:spacing w:line="360" w:lineRule="auto"/>
              <w:ind w:firstLine="482" w:firstLineChars="200"/>
              <w:rPr>
                <w:rFonts w:ascii="Times New Roman" w:hAnsi="Times New Roman"/>
                <w:b/>
                <w:bCs/>
                <w:color w:val="auto"/>
                <w:spacing w:val="0"/>
                <w:sz w:val="24"/>
                <w:szCs w:val="21"/>
              </w:rPr>
            </w:pPr>
            <w:r>
              <w:rPr>
                <w:rFonts w:hint="eastAsia" w:ascii="宋体" w:hAnsi="宋体" w:cs="宋体"/>
                <w:b/>
                <w:bCs/>
                <w:color w:val="auto"/>
                <w:spacing w:val="0"/>
                <w:sz w:val="24"/>
                <w:szCs w:val="21"/>
              </w:rPr>
              <w:t>③</w:t>
            </w:r>
            <w:r>
              <w:rPr>
                <w:rFonts w:ascii="Times New Roman" w:hAnsi="Times New Roman"/>
                <w:b/>
                <w:bCs/>
                <w:color w:val="auto"/>
                <w:spacing w:val="0"/>
                <w:sz w:val="24"/>
                <w:szCs w:val="21"/>
              </w:rPr>
              <w:t>土壤、地下水环境风险分析</w:t>
            </w:r>
          </w:p>
          <w:p w14:paraId="0297686F">
            <w:pPr>
              <w:autoSpaceDE w:val="0"/>
              <w:autoSpaceDN w:val="0"/>
              <w:snapToGrid w:val="0"/>
              <w:spacing w:line="360" w:lineRule="auto"/>
              <w:ind w:firstLine="480" w:firstLineChars="200"/>
              <w:rPr>
                <w:rFonts w:ascii="Times New Roman" w:hAnsi="Times New Roman"/>
                <w:bCs/>
                <w:color w:val="auto"/>
                <w:sz w:val="24"/>
                <w:szCs w:val="24"/>
              </w:rPr>
            </w:pPr>
            <w:r>
              <w:rPr>
                <w:rFonts w:ascii="Times New Roman" w:hAnsi="Times New Roman"/>
                <w:bCs/>
                <w:color w:val="auto"/>
                <w:spacing w:val="0"/>
                <w:sz w:val="24"/>
                <w:szCs w:val="24"/>
              </w:rPr>
              <w:t>项目柴油储罐、沥青储罐区设置围堰</w:t>
            </w:r>
            <w:r>
              <w:rPr>
                <w:rFonts w:ascii="Times New Roman" w:hAnsi="Times New Roman"/>
                <w:bCs/>
                <w:color w:val="auto"/>
                <w:spacing w:val="0"/>
                <w:sz w:val="24"/>
                <w:szCs w:val="21"/>
              </w:rPr>
              <w:t>≥0.6m</w:t>
            </w:r>
            <w:r>
              <w:rPr>
                <w:rFonts w:ascii="Times New Roman" w:hAnsi="Times New Roman"/>
                <w:bCs/>
                <w:color w:val="auto"/>
                <w:spacing w:val="0"/>
                <w:sz w:val="24"/>
                <w:szCs w:val="24"/>
              </w:rPr>
              <w:t>，</w:t>
            </w:r>
            <w:r>
              <w:rPr>
                <w:rFonts w:hint="eastAsia" w:cs="Times New Roman"/>
                <w:color w:val="auto"/>
                <w:sz w:val="24"/>
                <w:szCs w:val="24"/>
                <w:lang w:val="en-US" w:eastAsia="zh-CN"/>
              </w:rPr>
              <w:t>1#和2#</w:t>
            </w:r>
            <w:r>
              <w:rPr>
                <w:rFonts w:hint="default" w:ascii="Times New Roman" w:hAnsi="Times New Roman" w:cs="Times New Roman"/>
                <w:bCs/>
                <w:color w:val="auto"/>
                <w:sz w:val="24"/>
                <w:szCs w:val="24"/>
                <w:lang w:bidi="ar"/>
              </w:rPr>
              <w:t>沥青储罐</w:t>
            </w:r>
            <w:r>
              <w:rPr>
                <w:rFonts w:hint="eastAsia" w:ascii="Times New Roman" w:hAnsi="Times New Roman" w:cs="Times New Roman"/>
                <w:color w:val="auto"/>
                <w:sz w:val="24"/>
                <w:szCs w:val="24"/>
                <w:lang w:val="en-US" w:eastAsia="zh-CN"/>
              </w:rPr>
              <w:t>围堰容积不小于</w:t>
            </w:r>
            <w:r>
              <w:rPr>
                <w:rFonts w:hint="eastAsia" w:ascii="Times New Roman" w:hAnsi="Times New Roman" w:eastAsia="宋体" w:cs="Times New Roman"/>
                <w:color w:val="auto"/>
                <w:sz w:val="24"/>
                <w:szCs w:val="24"/>
                <w:lang w:val="en-US" w:eastAsia="zh-CN"/>
              </w:rPr>
              <w:t>50m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，3#</w:t>
            </w:r>
            <w:r>
              <w:rPr>
                <w:rFonts w:hint="default" w:ascii="Times New Roman" w:hAnsi="Times New Roman" w:cs="Times New Roman"/>
                <w:bCs/>
                <w:color w:val="auto"/>
                <w:sz w:val="24"/>
                <w:szCs w:val="24"/>
                <w:lang w:bidi="ar"/>
              </w:rPr>
              <w:t>沥青储罐</w:t>
            </w:r>
            <w:r>
              <w:rPr>
                <w:rFonts w:hint="eastAsia" w:ascii="Times New Roman" w:hAnsi="Times New Roman" w:cs="Times New Roman"/>
                <w:color w:val="auto"/>
                <w:sz w:val="24"/>
                <w:szCs w:val="24"/>
                <w:lang w:val="en-US" w:eastAsia="zh-CN"/>
              </w:rPr>
              <w:t>围堰容积不小于</w:t>
            </w:r>
            <w:r>
              <w:rPr>
                <w:rFonts w:hint="eastAsia" w:cs="Times New Roman"/>
                <w:color w:val="auto"/>
                <w:sz w:val="24"/>
                <w:szCs w:val="24"/>
                <w:lang w:val="en-US" w:eastAsia="zh-CN"/>
              </w:rPr>
              <w:t>180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bidi="ar"/>
              </w:rPr>
              <w:t>柴油</w:t>
            </w:r>
            <w:r>
              <w:rPr>
                <w:rFonts w:hint="eastAsia" w:cs="Times New Roman"/>
                <w:color w:val="auto"/>
                <w:sz w:val="24"/>
                <w:szCs w:val="24"/>
                <w:lang w:val="en-US" w:eastAsia="zh-CN" w:bidi="ar"/>
              </w:rPr>
              <w:t>撬装加油站</w:t>
            </w:r>
            <w:r>
              <w:rPr>
                <w:rFonts w:hint="eastAsia" w:ascii="Times New Roman" w:hAnsi="Times New Roman" w:cs="Times New Roman"/>
                <w:color w:val="auto"/>
                <w:sz w:val="24"/>
                <w:szCs w:val="24"/>
                <w:lang w:val="en-US" w:eastAsia="zh-CN"/>
              </w:rPr>
              <w:t>围堰容积不小于</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0m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w:t>
            </w:r>
            <w:r>
              <w:rPr>
                <w:rFonts w:hint="eastAsia" w:cs="Times New Roman"/>
                <w:color w:val="auto"/>
                <w:sz w:val="24"/>
                <w:szCs w:val="24"/>
                <w:lang w:val="en-US" w:eastAsia="zh-CN" w:bidi="ar"/>
              </w:rPr>
              <w:t>轻质柴油储罐</w:t>
            </w:r>
            <w:r>
              <w:rPr>
                <w:rFonts w:hint="eastAsia" w:ascii="Times New Roman" w:hAnsi="Times New Roman" w:cs="Times New Roman"/>
                <w:color w:val="auto"/>
                <w:sz w:val="24"/>
                <w:szCs w:val="24"/>
                <w:lang w:val="en-US" w:eastAsia="zh-CN"/>
              </w:rPr>
              <w:t>围堰容积不小于</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0m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w:t>
            </w:r>
            <w:r>
              <w:rPr>
                <w:rFonts w:ascii="Times New Roman" w:hAnsi="Times New Roman"/>
                <w:bCs/>
                <w:color w:val="auto"/>
                <w:spacing w:val="0"/>
                <w:sz w:val="24"/>
                <w:szCs w:val="21"/>
              </w:rPr>
              <w:t>废矿物油采用密闭专用容器盛装后暂存至危废暂存间，将柴油储罐、沥青储罐区、危废暂存间设为重点防渗区：</w:t>
            </w:r>
            <w:r>
              <w:rPr>
                <w:rFonts w:hint="default" w:ascii="Times New Roman" w:hAnsi="Times New Roman" w:cs="Times New Roman"/>
                <w:bCs/>
                <w:color w:val="auto"/>
                <w:sz w:val="24"/>
                <w:szCs w:val="24"/>
                <w:lang w:val="en-US" w:eastAsia="zh-CN"/>
              </w:rPr>
              <w:t>其中</w:t>
            </w:r>
            <w:r>
              <w:rPr>
                <w:rFonts w:hint="default" w:ascii="Times New Roman" w:hAnsi="Times New Roman" w:cs="Times New Roman"/>
                <w:bCs/>
                <w:color w:val="auto"/>
                <w:sz w:val="24"/>
                <w:szCs w:val="24"/>
              </w:rPr>
              <w:t>危废暂存间基础采取至少2mm厚的防渗人工材料，渗透系数应≤1×10</w:t>
            </w:r>
            <w:r>
              <w:rPr>
                <w:rFonts w:hint="default" w:ascii="Times New Roman" w:hAnsi="Times New Roman" w:cs="Times New Roman"/>
                <w:bCs/>
                <w:color w:val="auto"/>
                <w:sz w:val="24"/>
                <w:szCs w:val="24"/>
                <w:vertAlign w:val="superscript"/>
              </w:rPr>
              <w:t>-10</w:t>
            </w:r>
            <w:r>
              <w:rPr>
                <w:rFonts w:hint="default" w:ascii="Times New Roman" w:hAnsi="Times New Roman" w:cs="Times New Roman"/>
                <w:bCs/>
                <w:color w:val="auto"/>
                <w:sz w:val="24"/>
                <w:szCs w:val="24"/>
              </w:rPr>
              <w:t>cm/s；沥青储罐和柴油储罐区</w:t>
            </w:r>
            <w:r>
              <w:rPr>
                <w:rFonts w:hint="default" w:ascii="Times New Roman" w:hAnsi="Times New Roman" w:cs="Times New Roman"/>
                <w:color w:val="auto"/>
                <w:sz w:val="24"/>
                <w:szCs w:val="24"/>
              </w:rPr>
              <w:t>防渗层防渗要求为等效厚度≥6m，渗透系数≤1.0×10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w:t>
            </w:r>
            <w:r>
              <w:rPr>
                <w:rFonts w:ascii="Times New Roman" w:hAnsi="Times New Roman"/>
                <w:bCs/>
                <w:color w:val="auto"/>
                <w:sz w:val="24"/>
                <w:szCs w:val="24"/>
              </w:rPr>
              <w:t>。</w:t>
            </w:r>
          </w:p>
          <w:p w14:paraId="77A18E8B">
            <w:pPr>
              <w:autoSpaceDE w:val="0"/>
              <w:autoSpaceDN w:val="0"/>
              <w:snapToGrid w:val="0"/>
              <w:spacing w:line="360" w:lineRule="auto"/>
              <w:ind w:firstLine="480" w:firstLineChars="200"/>
              <w:rPr>
                <w:rFonts w:ascii="Times New Roman" w:hAnsi="Times New Roman"/>
                <w:bCs/>
                <w:color w:val="auto"/>
                <w:spacing w:val="0"/>
                <w:sz w:val="24"/>
                <w:szCs w:val="21"/>
              </w:rPr>
            </w:pPr>
            <w:r>
              <w:rPr>
                <w:rFonts w:ascii="Times New Roman" w:hAnsi="Times New Roman"/>
                <w:bCs/>
                <w:color w:val="auto"/>
                <w:spacing w:val="0"/>
                <w:sz w:val="24"/>
                <w:szCs w:val="21"/>
              </w:rPr>
              <w:t>运营过程中在认真落实风险防范措施，采取按照操作规程操作，危废做好登记管理，加强巡查，禁止出现跑冒滴漏等措施后，对地下水、土壤环境风险是可控的。</w:t>
            </w:r>
          </w:p>
          <w:p w14:paraId="2E6326B0">
            <w:pPr>
              <w:autoSpaceDE w:val="0"/>
              <w:autoSpaceDN w:val="0"/>
              <w:snapToGrid w:val="0"/>
              <w:spacing w:line="360" w:lineRule="auto"/>
              <w:ind w:firstLine="482" w:firstLineChars="200"/>
              <w:rPr>
                <w:rFonts w:ascii="Times New Roman" w:hAnsi="Times New Roman"/>
                <w:bCs/>
                <w:color w:val="auto"/>
                <w:spacing w:val="0"/>
                <w:sz w:val="24"/>
                <w:szCs w:val="21"/>
              </w:rPr>
            </w:pPr>
            <w:r>
              <w:rPr>
                <w:rFonts w:ascii="Times New Roman" w:hAnsi="Times New Roman"/>
                <w:b/>
                <w:bCs/>
                <w:color w:val="auto"/>
                <w:spacing w:val="0"/>
                <w:sz w:val="24"/>
                <w:szCs w:val="21"/>
              </w:rPr>
              <w:t>（4）环境风险防范措施及应急要求</w:t>
            </w:r>
          </w:p>
          <w:p w14:paraId="11288A79">
            <w:pPr>
              <w:autoSpaceDE w:val="0"/>
              <w:autoSpaceDN w:val="0"/>
              <w:snapToGrid w:val="0"/>
              <w:spacing w:line="360" w:lineRule="auto"/>
              <w:ind w:firstLine="482" w:firstLineChars="200"/>
              <w:rPr>
                <w:rFonts w:hint="default" w:ascii="Times New Roman" w:hAnsi="Times New Roman" w:eastAsia="宋体" w:cs="Times New Roman"/>
                <w:b/>
                <w:bCs/>
                <w:color w:val="auto"/>
                <w:spacing w:val="0"/>
                <w:sz w:val="24"/>
                <w:szCs w:val="21"/>
                <w:lang w:eastAsia="zh-CN"/>
              </w:rPr>
            </w:pPr>
            <w:r>
              <w:rPr>
                <w:rFonts w:hint="default" w:ascii="Times New Roman" w:hAnsi="Times New Roman" w:cs="Times New Roman"/>
                <w:b/>
                <w:bCs/>
                <w:color w:val="auto"/>
                <w:spacing w:val="0"/>
                <w:sz w:val="24"/>
                <w:szCs w:val="21"/>
              </w:rPr>
              <w:t>环境风险防范措施</w:t>
            </w:r>
            <w:r>
              <w:rPr>
                <w:rFonts w:hint="default" w:ascii="Times New Roman" w:hAnsi="Times New Roman" w:cs="Times New Roman"/>
                <w:b/>
                <w:bCs/>
                <w:color w:val="auto"/>
                <w:spacing w:val="0"/>
                <w:sz w:val="24"/>
                <w:szCs w:val="21"/>
                <w:lang w:eastAsia="zh-CN"/>
              </w:rPr>
              <w:t>：</w:t>
            </w:r>
          </w:p>
          <w:p w14:paraId="15B10CE3">
            <w:pPr>
              <w:autoSpaceDE w:val="0"/>
              <w:autoSpaceDN w:val="0"/>
              <w:snapToGrid w:val="0"/>
              <w:spacing w:line="360" w:lineRule="auto"/>
              <w:ind w:firstLine="480" w:firstLineChars="200"/>
              <w:rPr>
                <w:rFonts w:hint="default" w:ascii="Times New Roman" w:hAnsi="Times New Roman" w:cs="Times New Roman"/>
                <w:b/>
                <w:bCs/>
                <w:color w:val="auto"/>
                <w:spacing w:val="0"/>
                <w:sz w:val="24"/>
                <w:szCs w:val="21"/>
              </w:rPr>
            </w:pPr>
            <w:r>
              <w:rPr>
                <w:rFonts w:hint="default" w:ascii="Times New Roman" w:hAnsi="Times New Roman" w:cs="Times New Roman"/>
                <w:bCs/>
                <w:color w:val="auto"/>
                <w:spacing w:val="0"/>
                <w:sz w:val="24"/>
                <w:szCs w:val="21"/>
                <w:lang w:val="en-US" w:eastAsia="zh-CN"/>
              </w:rPr>
              <w:t>1</w:t>
            </w:r>
            <w:r>
              <w:rPr>
                <w:rFonts w:hint="default" w:ascii="Times New Roman" w:hAnsi="Times New Roman" w:cs="Times New Roman"/>
                <w:bCs/>
                <w:color w:val="auto"/>
                <w:spacing w:val="0"/>
                <w:sz w:val="24"/>
                <w:szCs w:val="21"/>
                <w:lang w:eastAsia="zh-CN"/>
              </w:rPr>
              <w:t>）</w:t>
            </w:r>
            <w:r>
              <w:rPr>
                <w:rFonts w:hint="default" w:ascii="Times New Roman" w:hAnsi="Times New Roman" w:cs="Times New Roman"/>
                <w:bCs/>
                <w:color w:val="auto"/>
                <w:spacing w:val="0"/>
                <w:sz w:val="24"/>
                <w:szCs w:val="21"/>
              </w:rPr>
              <w:t>柴油储罐、沥青罐采用符合设计规范的储罐储存，严格按照操作规程进行操作，建立台账记录；废机油更换后采用专用密闭容器收集，暂存在危废暂存间；导热油由相关资质厂家更换后回收处置，禁止私自倾倒。</w:t>
            </w:r>
          </w:p>
          <w:p w14:paraId="61512C14">
            <w:pPr>
              <w:autoSpaceDE w:val="0"/>
              <w:autoSpaceDN w:val="0"/>
              <w:snapToGrid w:val="0"/>
              <w:spacing w:line="360" w:lineRule="auto"/>
              <w:ind w:firstLine="480" w:firstLineChars="200"/>
              <w:rPr>
                <w:rFonts w:hint="default" w:ascii="Times New Roman" w:hAnsi="Times New Roman" w:cs="Times New Roman"/>
                <w:bCs/>
                <w:color w:val="auto"/>
                <w:spacing w:val="0"/>
                <w:sz w:val="24"/>
                <w:szCs w:val="21"/>
              </w:rPr>
            </w:pPr>
            <w:r>
              <w:rPr>
                <w:rFonts w:hint="default" w:ascii="Times New Roman" w:hAnsi="Times New Roman" w:cs="Times New Roman"/>
                <w:bCs/>
                <w:color w:val="auto"/>
                <w:spacing w:val="0"/>
                <w:sz w:val="24"/>
                <w:szCs w:val="21"/>
                <w:lang w:val="en-US" w:eastAsia="zh-CN"/>
              </w:rPr>
              <w:t>2</w:t>
            </w:r>
            <w:r>
              <w:rPr>
                <w:rFonts w:hint="default" w:ascii="Times New Roman" w:hAnsi="Times New Roman" w:cs="Times New Roman"/>
                <w:bCs/>
                <w:color w:val="auto"/>
                <w:spacing w:val="0"/>
                <w:sz w:val="24"/>
                <w:szCs w:val="21"/>
                <w:lang w:eastAsia="zh-CN"/>
              </w:rPr>
              <w:t>）</w:t>
            </w:r>
            <w:r>
              <w:rPr>
                <w:rFonts w:hint="default" w:ascii="Times New Roman" w:hAnsi="Times New Roman" w:cs="Times New Roman"/>
                <w:bCs/>
                <w:color w:val="auto"/>
                <w:spacing w:val="0"/>
                <w:sz w:val="24"/>
                <w:szCs w:val="21"/>
              </w:rPr>
              <w:t>对操作人员进行有关的法律、法规、规章和安全知识、专业技术、职业卫生防护和应急救援知识的培训，并定期进行考核。</w:t>
            </w:r>
          </w:p>
          <w:p w14:paraId="62A1C191">
            <w:pPr>
              <w:autoSpaceDE w:val="0"/>
              <w:autoSpaceDN w:val="0"/>
              <w:snapToGrid w:val="0"/>
              <w:spacing w:line="360" w:lineRule="auto"/>
              <w:ind w:firstLine="480" w:firstLineChars="200"/>
              <w:rPr>
                <w:rFonts w:hint="default" w:ascii="Times New Roman" w:hAnsi="Times New Roman" w:cs="Times New Roman"/>
                <w:bCs/>
                <w:color w:val="auto"/>
                <w:spacing w:val="0"/>
                <w:sz w:val="24"/>
                <w:szCs w:val="21"/>
              </w:rPr>
            </w:pPr>
            <w:r>
              <w:rPr>
                <w:rFonts w:hint="default" w:ascii="Times New Roman" w:hAnsi="Times New Roman" w:cs="Times New Roman"/>
                <w:bCs/>
                <w:color w:val="auto"/>
                <w:spacing w:val="0"/>
                <w:sz w:val="24"/>
                <w:szCs w:val="21"/>
                <w:lang w:val="en-US" w:eastAsia="zh-CN"/>
              </w:rPr>
              <w:t>3</w:t>
            </w:r>
            <w:r>
              <w:rPr>
                <w:rFonts w:hint="default" w:ascii="Times New Roman" w:hAnsi="Times New Roman" w:cs="Times New Roman"/>
                <w:bCs/>
                <w:color w:val="auto"/>
                <w:spacing w:val="0"/>
                <w:sz w:val="24"/>
                <w:szCs w:val="21"/>
                <w:lang w:eastAsia="zh-CN"/>
              </w:rPr>
              <w:t>）</w:t>
            </w:r>
            <w:r>
              <w:rPr>
                <w:rFonts w:hint="default" w:ascii="Times New Roman" w:hAnsi="Times New Roman" w:cs="Times New Roman"/>
                <w:bCs/>
                <w:color w:val="auto"/>
                <w:spacing w:val="0"/>
                <w:sz w:val="24"/>
                <w:szCs w:val="21"/>
              </w:rPr>
              <w:t>储罐区、危废暂存间等风险单元设置禁火标识牌等，严格禁火制度；</w:t>
            </w:r>
          </w:p>
          <w:p w14:paraId="481AE231">
            <w:pPr>
              <w:autoSpaceDE w:val="0"/>
              <w:autoSpaceDN w:val="0"/>
              <w:snapToGrid w:val="0"/>
              <w:spacing w:line="360" w:lineRule="auto"/>
              <w:ind w:firstLine="480" w:firstLineChars="200"/>
              <w:rPr>
                <w:rFonts w:hint="default" w:ascii="Times New Roman" w:hAnsi="Times New Roman" w:cs="Times New Roman"/>
                <w:bCs/>
                <w:color w:val="auto"/>
                <w:spacing w:val="0"/>
                <w:sz w:val="24"/>
                <w:szCs w:val="21"/>
              </w:rPr>
            </w:pPr>
            <w:r>
              <w:rPr>
                <w:rFonts w:hint="default" w:ascii="Times New Roman" w:hAnsi="Times New Roman" w:cs="Times New Roman"/>
                <w:bCs/>
                <w:color w:val="auto"/>
                <w:spacing w:val="0"/>
                <w:sz w:val="24"/>
                <w:szCs w:val="21"/>
                <w:lang w:val="en-US" w:eastAsia="zh-CN"/>
              </w:rPr>
              <w:t>4</w:t>
            </w:r>
            <w:r>
              <w:rPr>
                <w:rFonts w:hint="default" w:ascii="Times New Roman" w:hAnsi="Times New Roman" w:cs="Times New Roman"/>
                <w:bCs/>
                <w:color w:val="auto"/>
                <w:spacing w:val="0"/>
                <w:sz w:val="24"/>
                <w:szCs w:val="21"/>
                <w:lang w:eastAsia="zh-CN"/>
              </w:rPr>
              <w:t>）</w:t>
            </w:r>
            <w:r>
              <w:rPr>
                <w:rFonts w:hint="default" w:ascii="Times New Roman" w:hAnsi="Times New Roman" w:cs="Times New Roman"/>
                <w:bCs/>
                <w:color w:val="auto"/>
                <w:spacing w:val="0"/>
                <w:sz w:val="24"/>
                <w:szCs w:val="21"/>
              </w:rPr>
              <w:t>加强对各类风险物质使用的管理，加强安全检查，安排专人定期对柴油储罐、沥青储罐、危废暂存间、危废收集桶进行排查，出现跑冒滴漏等情况立即开展调查及处理。</w:t>
            </w:r>
          </w:p>
          <w:p w14:paraId="75547341">
            <w:pPr>
              <w:autoSpaceDE w:val="0"/>
              <w:autoSpaceDN w:val="0"/>
              <w:snapToGrid w:val="0"/>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pacing w:val="0"/>
                <w:sz w:val="24"/>
                <w:szCs w:val="21"/>
                <w:lang w:val="en-US" w:eastAsia="zh-CN"/>
              </w:rPr>
              <w:t>5</w:t>
            </w:r>
            <w:r>
              <w:rPr>
                <w:rFonts w:hint="default" w:ascii="Times New Roman" w:hAnsi="Times New Roman" w:cs="Times New Roman"/>
                <w:bCs/>
                <w:color w:val="auto"/>
                <w:spacing w:val="0"/>
                <w:sz w:val="24"/>
                <w:szCs w:val="21"/>
                <w:lang w:eastAsia="zh-CN"/>
              </w:rPr>
              <w:t>）</w:t>
            </w:r>
            <w:r>
              <w:rPr>
                <w:rFonts w:hint="default" w:ascii="Times New Roman" w:hAnsi="Times New Roman" w:cs="Times New Roman"/>
                <w:bCs/>
                <w:color w:val="auto"/>
                <w:spacing w:val="0"/>
                <w:sz w:val="24"/>
                <w:szCs w:val="21"/>
              </w:rPr>
              <w:t>柴油储罐区、沥青储罐区、危废暂存间按照重点防渗要求建设：</w:t>
            </w:r>
            <w:r>
              <w:rPr>
                <w:rFonts w:hint="default" w:ascii="Times New Roman" w:hAnsi="Times New Roman" w:cs="Times New Roman"/>
                <w:bCs/>
                <w:color w:val="auto"/>
                <w:sz w:val="24"/>
                <w:szCs w:val="24"/>
                <w:lang w:val="en-US" w:eastAsia="zh-CN"/>
              </w:rPr>
              <w:t>其中</w:t>
            </w:r>
            <w:r>
              <w:rPr>
                <w:rFonts w:hint="default" w:ascii="Times New Roman" w:hAnsi="Times New Roman" w:cs="Times New Roman"/>
                <w:bCs/>
                <w:color w:val="auto"/>
                <w:sz w:val="24"/>
                <w:szCs w:val="24"/>
              </w:rPr>
              <w:t>危废暂存间基础采取至少2mm厚的防渗人工材料，渗透系数应≤1×10</w:t>
            </w:r>
            <w:r>
              <w:rPr>
                <w:rFonts w:hint="default" w:ascii="Times New Roman" w:hAnsi="Times New Roman" w:cs="Times New Roman"/>
                <w:bCs/>
                <w:color w:val="auto"/>
                <w:sz w:val="24"/>
                <w:szCs w:val="24"/>
                <w:vertAlign w:val="superscript"/>
              </w:rPr>
              <w:t>-10</w:t>
            </w:r>
            <w:r>
              <w:rPr>
                <w:rFonts w:hint="default" w:ascii="Times New Roman" w:hAnsi="Times New Roman" w:cs="Times New Roman"/>
                <w:bCs/>
                <w:color w:val="auto"/>
                <w:sz w:val="24"/>
                <w:szCs w:val="24"/>
              </w:rPr>
              <w:t>cm/s；沥青储罐和柴油储罐区</w:t>
            </w:r>
            <w:r>
              <w:rPr>
                <w:rFonts w:hint="default" w:ascii="Times New Roman" w:hAnsi="Times New Roman" w:cs="Times New Roman"/>
                <w:color w:val="auto"/>
                <w:sz w:val="24"/>
                <w:szCs w:val="24"/>
              </w:rPr>
              <w:t>防渗层防渗要求为等效厚度≥6m，渗透系数≤1.0×10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w:t>
            </w:r>
            <w:r>
              <w:rPr>
                <w:rFonts w:hint="default" w:ascii="Times New Roman" w:hAnsi="Times New Roman" w:cs="Times New Roman"/>
                <w:bCs/>
                <w:color w:val="auto"/>
                <w:sz w:val="24"/>
                <w:szCs w:val="24"/>
              </w:rPr>
              <w:t>。</w:t>
            </w:r>
          </w:p>
          <w:p w14:paraId="714B19F6">
            <w:pPr>
              <w:autoSpaceDE w:val="0"/>
              <w:autoSpaceDN w:val="0"/>
              <w:snapToGrid w:val="0"/>
              <w:spacing w:line="360" w:lineRule="auto"/>
              <w:ind w:firstLine="480" w:firstLineChars="200"/>
              <w:rPr>
                <w:rFonts w:hint="default" w:ascii="Times New Roman" w:hAnsi="Times New Roman" w:cs="Times New Roman"/>
                <w:bCs/>
                <w:color w:val="auto"/>
                <w:spacing w:val="0"/>
                <w:sz w:val="24"/>
                <w:szCs w:val="21"/>
              </w:rPr>
            </w:pPr>
            <w:r>
              <w:rPr>
                <w:rFonts w:hint="default" w:ascii="Times New Roman" w:hAnsi="Times New Roman" w:cs="Times New Roman"/>
                <w:bCs/>
                <w:color w:val="auto"/>
                <w:spacing w:val="0"/>
                <w:sz w:val="24"/>
                <w:szCs w:val="21"/>
                <w:lang w:val="en-US" w:eastAsia="zh-CN"/>
              </w:rPr>
              <w:t>6</w:t>
            </w:r>
            <w:r>
              <w:rPr>
                <w:rFonts w:hint="eastAsia" w:ascii="Times New Roman" w:hAnsi="Times New Roman" w:cs="Times New Roman"/>
                <w:bCs/>
                <w:color w:val="auto"/>
                <w:spacing w:val="0"/>
                <w:sz w:val="24"/>
                <w:szCs w:val="21"/>
                <w:lang w:val="en-US" w:eastAsia="zh-CN"/>
              </w:rPr>
              <w:t>）</w:t>
            </w:r>
            <w:r>
              <w:rPr>
                <w:rFonts w:hint="default" w:ascii="Times New Roman" w:hAnsi="Times New Roman" w:cs="Times New Roman"/>
                <w:bCs/>
                <w:color w:val="auto"/>
                <w:spacing w:val="0"/>
                <w:sz w:val="24"/>
                <w:szCs w:val="21"/>
              </w:rPr>
              <w:t>建立健全安全、环境管理体系及高效的安全生产机构，一旦发生事故，要做到快速、高效、安全处置。</w:t>
            </w:r>
          </w:p>
          <w:p w14:paraId="1BA728A0">
            <w:pPr>
              <w:keepNext w:val="0"/>
              <w:keepLines w:val="0"/>
              <w:pageBreakBefore w:val="0"/>
              <w:widowControl w:val="0"/>
              <w:kinsoku/>
              <w:wordWrap/>
              <w:overflowPunct/>
              <w:topLinePunct w:val="0"/>
              <w:autoSpaceDE/>
              <w:autoSpaceDN/>
              <w:bidi w:val="0"/>
              <w:adjustRightInd w:val="0"/>
              <w:snapToGrid w:val="0"/>
              <w:ind w:left="0" w:leftChars="0" w:firstLine="480"/>
              <w:textAlignment w:val="auto"/>
              <w:rPr>
                <w:rFonts w:hint="default" w:ascii="Times New Roman" w:hAnsi="Times New Roman" w:cs="Times New Roman"/>
                <w:color w:val="auto"/>
              </w:rPr>
            </w:pPr>
            <w:r>
              <w:rPr>
                <w:rFonts w:hint="eastAsia" w:cs="Times New Roman"/>
                <w:color w:val="auto"/>
                <w:lang w:val="en-US" w:eastAsia="zh-CN"/>
              </w:rPr>
              <w:t>7）</w:t>
            </w:r>
            <w:r>
              <w:rPr>
                <w:rFonts w:hint="eastAsia"/>
                <w:bCs/>
                <w:color w:val="auto"/>
                <w:spacing w:val="0"/>
                <w:sz w:val="24"/>
                <w:szCs w:val="21"/>
                <w:lang w:val="en-US" w:eastAsia="zh-CN"/>
              </w:rPr>
              <w:t>燃烧器废气</w:t>
            </w:r>
            <w:r>
              <w:rPr>
                <w:rFonts w:hint="default" w:ascii="Times New Roman" w:hAnsi="Times New Roman" w:cs="Times New Roman"/>
                <w:color w:val="auto"/>
              </w:rPr>
              <w:t>管道沿线应专门安排人员定时巡视，并实施定期检测、修缮制度</w:t>
            </w:r>
            <w:r>
              <w:rPr>
                <w:rFonts w:hint="eastAsia" w:cs="Times New Roman"/>
                <w:color w:val="auto"/>
                <w:lang w:eastAsia="zh-CN"/>
              </w:rPr>
              <w:t>，</w:t>
            </w:r>
            <w:r>
              <w:rPr>
                <w:rFonts w:hint="eastAsia" w:cs="Times New Roman"/>
                <w:color w:val="auto"/>
                <w:lang w:val="en-US" w:eastAsia="zh-CN"/>
              </w:rPr>
              <w:t>防控二氧化硫及二氧化氮泄露造成大气污染</w:t>
            </w:r>
            <w:r>
              <w:rPr>
                <w:rFonts w:hint="default" w:ascii="Times New Roman" w:hAnsi="Times New Roman" w:cs="Times New Roman"/>
                <w:color w:val="auto"/>
              </w:rPr>
              <w:t>。</w:t>
            </w:r>
          </w:p>
          <w:p w14:paraId="4C2A196C">
            <w:pPr>
              <w:autoSpaceDE w:val="0"/>
              <w:autoSpaceDN w:val="0"/>
              <w:snapToGrid w:val="0"/>
              <w:spacing w:line="360" w:lineRule="auto"/>
              <w:ind w:firstLine="480" w:firstLineChars="200"/>
              <w:rPr>
                <w:rFonts w:hint="default" w:ascii="Times New Roman" w:hAnsi="Times New Roman" w:cs="Times New Roman"/>
                <w:bCs/>
                <w:color w:val="auto"/>
                <w:spacing w:val="0"/>
                <w:sz w:val="24"/>
                <w:szCs w:val="21"/>
                <w:lang w:val="en-US"/>
              </w:rPr>
            </w:pPr>
            <w:r>
              <w:rPr>
                <w:rFonts w:hint="eastAsia" w:cs="Times New Roman"/>
                <w:bCs/>
                <w:color w:val="auto"/>
                <w:spacing w:val="0"/>
                <w:sz w:val="24"/>
                <w:szCs w:val="21"/>
                <w:lang w:val="en-US" w:eastAsia="zh-CN"/>
              </w:rPr>
              <w:t>8</w:t>
            </w:r>
            <w:r>
              <w:rPr>
                <w:rFonts w:hint="eastAsia" w:ascii="Times New Roman" w:hAnsi="Times New Roman" w:eastAsia="宋体" w:cs="Times New Roman"/>
                <w:bCs/>
                <w:color w:val="auto"/>
                <w:spacing w:val="0"/>
                <w:sz w:val="24"/>
                <w:szCs w:val="21"/>
                <w:lang w:val="en-US" w:eastAsia="zh-CN"/>
              </w:rPr>
              <w:t>）</w:t>
            </w:r>
            <w:r>
              <w:rPr>
                <w:rFonts w:hint="default" w:ascii="Times New Roman" w:hAnsi="Times New Roman" w:eastAsia="宋体" w:cs="Times New Roman"/>
                <w:color w:val="auto"/>
                <w:lang w:val="en-US" w:eastAsia="zh-CN"/>
              </w:rPr>
              <w:t>地表水风险防范措施</w:t>
            </w:r>
          </w:p>
          <w:p w14:paraId="0B09963D">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该项目地表水风险防范按照</w:t>
            </w:r>
            <w:r>
              <w:rPr>
                <w:rFonts w:hint="eastAsia" w:ascii="Times New Roman" w:hAnsi="Times New Roman" w:eastAsia="宋体" w:cs="Times New Roman"/>
                <w:color w:val="auto"/>
              </w:rPr>
              <w:t>环境风险</w:t>
            </w:r>
            <w:r>
              <w:rPr>
                <w:rFonts w:hint="default" w:ascii="Times New Roman" w:hAnsi="Times New Roman" w:eastAsia="宋体" w:cs="Times New Roman"/>
                <w:color w:val="auto"/>
              </w:rPr>
              <w:t>“</w:t>
            </w:r>
            <w:r>
              <w:rPr>
                <w:rFonts w:hint="eastAsia" w:ascii="Times New Roman" w:hAnsi="Times New Roman" w:eastAsia="宋体" w:cs="Times New Roman"/>
                <w:color w:val="auto"/>
              </w:rPr>
              <w:t>三级</w:t>
            </w:r>
            <w:r>
              <w:rPr>
                <w:rFonts w:hint="default" w:ascii="Times New Roman" w:hAnsi="Times New Roman" w:eastAsia="宋体" w:cs="Times New Roman"/>
                <w:color w:val="auto"/>
              </w:rPr>
              <w:t>”</w:t>
            </w:r>
            <w:r>
              <w:rPr>
                <w:rFonts w:hint="eastAsia" w:ascii="Times New Roman" w:hAnsi="Times New Roman" w:eastAsia="宋体" w:cs="Times New Roman"/>
                <w:color w:val="auto"/>
              </w:rPr>
              <w:t>防控要求</w:t>
            </w:r>
            <w:r>
              <w:rPr>
                <w:rFonts w:hint="eastAsia" w:ascii="Times New Roman" w:hAnsi="Times New Roman" w:eastAsia="宋体" w:cs="Times New Roman"/>
                <w:color w:val="auto"/>
                <w:lang w:val="en-US" w:eastAsia="zh-CN"/>
              </w:rPr>
              <w:t>进行，</w:t>
            </w:r>
            <w:r>
              <w:rPr>
                <w:rFonts w:hint="default" w:ascii="Times New Roman" w:hAnsi="Times New Roman" w:eastAsia="宋体" w:cs="Times New Roman"/>
                <w:color w:val="auto"/>
                <w:lang w:val="en-US" w:eastAsia="zh-CN"/>
              </w:rPr>
              <w:t>三级防控是指水环</w:t>
            </w:r>
            <w:r>
              <w:rPr>
                <w:rFonts w:hint="eastAsia" w:ascii="Times New Roman" w:hAnsi="Times New Roman" w:eastAsia="宋体" w:cs="Times New Roman"/>
                <w:color w:val="auto"/>
                <w:lang w:val="en-US" w:eastAsia="zh-CN"/>
              </w:rPr>
              <w:t>境风险控制实现源头、过程、终端三级防控。一级防控体系必须建设装置区围堰、罐区防火堤及其配套设施（如备用罐、储液池、隔油池、导流设施、清污水切换设施等），防止污染雨水和轻微事故泄漏造成的环境污染；二级防控体系必须建设应急事故水池、拦污坝及其配套设施（如事故导排系统），防止单套生产装置（罐区）较大事故泄漏物料和消防废水造成的环境污染；三级防控体系必须建设末端事故缓冲设施及其配套设施，防控两套及以上生产装置（罐区）重大事故泄漏物料和消防废水造成的环境污染。</w:t>
            </w:r>
          </w:p>
          <w:p w14:paraId="49B73CDF">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b/>
                <w:color w:val="auto"/>
                <w:lang w:val="en-US" w:eastAsia="zh-CN"/>
              </w:rPr>
            </w:pPr>
            <w:r>
              <w:rPr>
                <w:rFonts w:hint="eastAsia" w:ascii="Times New Roman" w:hAnsi="Times New Roman" w:eastAsia="宋体" w:cs="Times New Roman"/>
                <w:color w:val="auto"/>
                <w:lang w:val="en-US" w:eastAsia="zh-CN"/>
              </w:rPr>
              <w:t>该项目地表水风险</w:t>
            </w:r>
            <w:r>
              <w:rPr>
                <w:rFonts w:hint="default" w:ascii="Times New Roman" w:hAnsi="Times New Roman" w:eastAsia="宋体" w:cs="Times New Roman"/>
                <w:color w:val="auto"/>
              </w:rPr>
              <w:t>“</w:t>
            </w:r>
            <w:r>
              <w:rPr>
                <w:rFonts w:hint="eastAsia" w:ascii="Times New Roman" w:hAnsi="Times New Roman" w:eastAsia="宋体" w:cs="Times New Roman"/>
                <w:color w:val="auto"/>
              </w:rPr>
              <w:t>三级</w:t>
            </w:r>
            <w:r>
              <w:rPr>
                <w:rFonts w:hint="default" w:ascii="Times New Roman" w:hAnsi="Times New Roman" w:eastAsia="宋体" w:cs="Times New Roman"/>
                <w:color w:val="auto"/>
              </w:rPr>
              <w:t>”</w:t>
            </w:r>
            <w:r>
              <w:rPr>
                <w:rFonts w:hint="eastAsia" w:ascii="Times New Roman" w:hAnsi="Times New Roman" w:eastAsia="宋体" w:cs="Times New Roman"/>
                <w:color w:val="auto"/>
              </w:rPr>
              <w:t>防控</w:t>
            </w:r>
            <w:r>
              <w:rPr>
                <w:rFonts w:hint="eastAsia" w:ascii="Times New Roman" w:hAnsi="Times New Roman" w:eastAsia="宋体" w:cs="Times New Roman"/>
                <w:color w:val="auto"/>
                <w:lang w:val="en-US" w:eastAsia="zh-CN"/>
              </w:rPr>
              <w:t>措施如下：</w:t>
            </w:r>
          </w:p>
          <w:p w14:paraId="4E3E7619">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b w:val="0"/>
                <w:bCs/>
                <w:color w:val="auto"/>
              </w:rPr>
            </w:pPr>
            <w:r>
              <w:rPr>
                <w:rFonts w:hint="eastAsia" w:ascii="Times New Roman" w:hAnsi="Times New Roman" w:cs="Times New Roman"/>
                <w:b w:val="0"/>
                <w:bCs/>
                <w:color w:val="auto"/>
                <w:lang w:val="en-US" w:eastAsia="zh-CN"/>
              </w:rPr>
              <w:t>①</w:t>
            </w:r>
            <w:r>
              <w:rPr>
                <w:rFonts w:hint="default" w:ascii="Times New Roman" w:hAnsi="Times New Roman" w:cs="Times New Roman"/>
                <w:b w:val="0"/>
                <w:bCs/>
                <w:color w:val="auto"/>
              </w:rPr>
              <w:t>在各储罐设置围堰</w:t>
            </w:r>
          </w:p>
          <w:p w14:paraId="6535B0B4">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在各储罐设置围堰，严格落实《建筑设计防火规范》、《化工装置设备布置设计技术规定》、《石油化工企业设计防火规范》中相关化工储罐围堰的设置要求。围堰内的有效容积，不小于围堰内1个最大储罐的容积。</w:t>
            </w:r>
          </w:p>
          <w:p w14:paraId="3FDC32BC">
            <w:pPr>
              <w:adjustRightInd w:val="0"/>
              <w:snapToGrid w:val="0"/>
              <w:ind w:firstLine="2319" w:firstLineChars="1100"/>
              <w:rPr>
                <w:rFonts w:hint="default" w:ascii="Times New Roman" w:hAnsi="Times New Roman" w:eastAsia="宋体" w:cs="Times New Roman"/>
                <w:b/>
                <w:snapToGrid w:val="0"/>
                <w:color w:val="auto"/>
                <w:kern w:val="0"/>
                <w:sz w:val="21"/>
                <w:szCs w:val="21"/>
                <w:lang w:val="en-US" w:eastAsia="zh-CN" w:bidi="ar-SA"/>
              </w:rPr>
            </w:pPr>
            <w:r>
              <w:rPr>
                <w:rFonts w:hint="eastAsia" w:ascii="Times New Roman" w:hAnsi="Times New Roman" w:eastAsia="宋体" w:cs="Times New Roman"/>
                <w:b/>
                <w:snapToGrid w:val="0"/>
                <w:color w:val="auto"/>
                <w:kern w:val="0"/>
                <w:sz w:val="21"/>
                <w:szCs w:val="21"/>
                <w:lang w:val="en-US" w:eastAsia="zh-CN" w:bidi="ar-SA"/>
              </w:rPr>
              <w:t>表4-14 项目储罐围堰设置情况表</w:t>
            </w:r>
          </w:p>
          <w:tbl>
            <w:tblPr>
              <w:tblStyle w:val="28"/>
              <w:tblW w:w="7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993"/>
              <w:gridCol w:w="1112"/>
              <w:gridCol w:w="784"/>
              <w:gridCol w:w="914"/>
              <w:gridCol w:w="1602"/>
              <w:gridCol w:w="1638"/>
            </w:tblGrid>
            <w:tr w14:paraId="65B1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74" w:type="dxa"/>
                  <w:noWrap w:val="0"/>
                  <w:vAlign w:val="center"/>
                </w:tcPr>
                <w:p w14:paraId="0492AB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cs="Times New Roman"/>
                      <w:b/>
                      <w:color w:val="auto"/>
                      <w:sz w:val="21"/>
                      <w:szCs w:val="21"/>
                      <w:vertAlign w:val="baseline"/>
                      <w:lang w:val="en-US" w:eastAsia="zh-CN"/>
                    </w:rPr>
                    <w:t>序号</w:t>
                  </w:r>
                </w:p>
              </w:tc>
              <w:tc>
                <w:tcPr>
                  <w:tcW w:w="993" w:type="dxa"/>
                  <w:noWrap w:val="0"/>
                  <w:vAlign w:val="center"/>
                </w:tcPr>
                <w:p w14:paraId="057C08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cs="Times New Roman"/>
                      <w:b/>
                      <w:color w:val="auto"/>
                      <w:sz w:val="21"/>
                      <w:szCs w:val="21"/>
                      <w:vertAlign w:val="baseline"/>
                      <w:lang w:val="en-US" w:eastAsia="zh-CN"/>
                    </w:rPr>
                    <w:t>物料名称</w:t>
                  </w:r>
                </w:p>
              </w:tc>
              <w:tc>
                <w:tcPr>
                  <w:tcW w:w="1112" w:type="dxa"/>
                  <w:noWrap w:val="0"/>
                  <w:vAlign w:val="center"/>
                </w:tcPr>
                <w:p w14:paraId="319B40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cs="Times New Roman"/>
                      <w:b/>
                      <w:color w:val="auto"/>
                      <w:sz w:val="21"/>
                      <w:szCs w:val="21"/>
                      <w:vertAlign w:val="baseline"/>
                      <w:lang w:val="en-US" w:eastAsia="zh-CN"/>
                    </w:rPr>
                    <w:t>储罐形式</w:t>
                  </w:r>
                </w:p>
              </w:tc>
              <w:tc>
                <w:tcPr>
                  <w:tcW w:w="784" w:type="dxa"/>
                  <w:noWrap w:val="0"/>
                  <w:vAlign w:val="center"/>
                </w:tcPr>
                <w:p w14:paraId="2B75E0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cs="Times New Roman"/>
                      <w:b/>
                      <w:color w:val="auto"/>
                      <w:sz w:val="21"/>
                      <w:szCs w:val="21"/>
                      <w:vertAlign w:val="baseline"/>
                      <w:lang w:val="en-US" w:eastAsia="zh-CN"/>
                    </w:rPr>
                    <w:t>数量</w:t>
                  </w:r>
                </w:p>
              </w:tc>
              <w:tc>
                <w:tcPr>
                  <w:tcW w:w="914" w:type="dxa"/>
                  <w:noWrap w:val="0"/>
                  <w:vAlign w:val="center"/>
                </w:tcPr>
                <w:p w14:paraId="22DE5EC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cs="Times New Roman"/>
                      <w:b/>
                      <w:color w:val="auto"/>
                      <w:sz w:val="21"/>
                      <w:szCs w:val="21"/>
                      <w:vertAlign w:val="baseline"/>
                      <w:lang w:val="en-US" w:eastAsia="zh-CN"/>
                    </w:rPr>
                    <w:t>单个容积</w:t>
                  </w:r>
                </w:p>
              </w:tc>
              <w:tc>
                <w:tcPr>
                  <w:tcW w:w="1602" w:type="dxa"/>
                  <w:noWrap w:val="0"/>
                  <w:vAlign w:val="center"/>
                </w:tcPr>
                <w:p w14:paraId="05D2B1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ascii="Times New Roman" w:hAnsi="Times New Roman" w:cs="Times New Roman"/>
                      <w:b/>
                      <w:color w:val="auto"/>
                      <w:sz w:val="21"/>
                      <w:szCs w:val="21"/>
                      <w:vertAlign w:val="baseline"/>
                      <w:lang w:val="en-US" w:eastAsia="zh-CN"/>
                    </w:rPr>
                    <w:t>围堰容积</w:t>
                  </w:r>
                </w:p>
              </w:tc>
              <w:tc>
                <w:tcPr>
                  <w:tcW w:w="1638" w:type="dxa"/>
                  <w:noWrap w:val="0"/>
                  <w:vAlign w:val="center"/>
                </w:tcPr>
                <w:p w14:paraId="748FC6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auto"/>
                      <w:sz w:val="21"/>
                      <w:szCs w:val="21"/>
                      <w:vertAlign w:val="baseline"/>
                    </w:rPr>
                  </w:pPr>
                  <w:r>
                    <w:rPr>
                      <w:rFonts w:hint="eastAsia" w:ascii="宋体" w:hAnsi="宋体" w:eastAsia="宋体" w:cs="宋体"/>
                      <w:b/>
                      <w:bCs/>
                      <w:color w:val="auto"/>
                      <w:kern w:val="0"/>
                      <w:sz w:val="21"/>
                      <w:szCs w:val="21"/>
                      <w:lang w:val="en-US" w:eastAsia="zh-CN" w:bidi="ar"/>
                    </w:rPr>
                    <w:t>是否满足单个储罐物料泄露存储</w:t>
                  </w:r>
                </w:p>
              </w:tc>
            </w:tr>
            <w:tr w14:paraId="6208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74" w:type="dxa"/>
                  <w:vMerge w:val="restart"/>
                  <w:noWrap w:val="0"/>
                  <w:vAlign w:val="center"/>
                </w:tcPr>
                <w:p w14:paraId="46ECC45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cs="Times New Roman"/>
                      <w:b/>
                      <w:color w:val="auto"/>
                      <w:sz w:val="21"/>
                      <w:szCs w:val="21"/>
                      <w:vertAlign w:val="baseline"/>
                      <w:lang w:val="en-US" w:eastAsia="zh-CN"/>
                    </w:rPr>
                    <w:t>1</w:t>
                  </w:r>
                </w:p>
              </w:tc>
              <w:tc>
                <w:tcPr>
                  <w:tcW w:w="993" w:type="dxa"/>
                  <w:vMerge w:val="restart"/>
                  <w:noWrap w:val="0"/>
                  <w:vAlign w:val="center"/>
                </w:tcPr>
                <w:p w14:paraId="3BE9E24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color w:val="auto"/>
                      <w:sz w:val="21"/>
                      <w:szCs w:val="21"/>
                      <w:vertAlign w:val="baseline"/>
                      <w:lang w:eastAsia="zh-CN"/>
                    </w:rPr>
                  </w:pPr>
                  <w:r>
                    <w:rPr>
                      <w:rFonts w:hint="eastAsia" w:ascii="Times New Roman" w:hAnsi="Times New Roman" w:cs="Times New Roman"/>
                      <w:color w:val="auto"/>
                      <w:kern w:val="0"/>
                      <w:sz w:val="21"/>
                      <w:szCs w:val="21"/>
                      <w:lang w:val="en-US" w:eastAsia="zh-CN"/>
                    </w:rPr>
                    <w:t>沥青</w:t>
                  </w:r>
                </w:p>
              </w:tc>
              <w:tc>
                <w:tcPr>
                  <w:tcW w:w="1112" w:type="dxa"/>
                  <w:noWrap w:val="0"/>
                  <w:vAlign w:val="center"/>
                </w:tcPr>
                <w:p w14:paraId="3761DE2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卧式储罐</w:t>
                  </w:r>
                </w:p>
              </w:tc>
              <w:tc>
                <w:tcPr>
                  <w:tcW w:w="784" w:type="dxa"/>
                  <w:noWrap w:val="0"/>
                  <w:vAlign w:val="center"/>
                </w:tcPr>
                <w:p w14:paraId="3C35CB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2</w:t>
                  </w:r>
                </w:p>
              </w:tc>
              <w:tc>
                <w:tcPr>
                  <w:tcW w:w="914" w:type="dxa"/>
                  <w:noWrap w:val="0"/>
                  <w:vAlign w:val="center"/>
                </w:tcPr>
                <w:p w14:paraId="233E8B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vertAlign w:val="baseline"/>
                    </w:rPr>
                  </w:pPr>
                  <w:r>
                    <w:rPr>
                      <w:rFonts w:hint="eastAsia" w:cs="Times New Roman"/>
                      <w:color w:val="auto"/>
                      <w:kern w:val="0"/>
                      <w:sz w:val="21"/>
                      <w:szCs w:val="21"/>
                      <w:lang w:val="en-US" w:eastAsia="zh-CN"/>
                    </w:rPr>
                    <w:t>10</w:t>
                  </w:r>
                  <w:r>
                    <w:rPr>
                      <w:rFonts w:hint="eastAsia" w:ascii="Times New Roman" w:hAnsi="Times New Roman" w:cs="Times New Roman"/>
                      <w:color w:val="auto"/>
                      <w:kern w:val="0"/>
                      <w:sz w:val="21"/>
                      <w:szCs w:val="21"/>
                      <w:lang w:val="en-US" w:eastAsia="zh-CN"/>
                    </w:rPr>
                    <w:t>0</w:t>
                  </w:r>
                  <w:r>
                    <w:rPr>
                      <w:rFonts w:hint="default" w:ascii="Times New Roman" w:hAnsi="Times New Roman" w:cs="Times New Roman"/>
                      <w:color w:val="auto"/>
                      <w:kern w:val="0"/>
                      <w:sz w:val="21"/>
                      <w:szCs w:val="21"/>
                    </w:rPr>
                    <w:t>m³</w:t>
                  </w:r>
                </w:p>
              </w:tc>
              <w:tc>
                <w:tcPr>
                  <w:tcW w:w="1602" w:type="dxa"/>
                  <w:noWrap w:val="0"/>
                  <w:vAlign w:val="center"/>
                </w:tcPr>
                <w:p w14:paraId="4AAF9AB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auto"/>
                      <w:sz w:val="21"/>
                      <w:szCs w:val="21"/>
                      <w:vertAlign w:val="baseline"/>
                      <w:lang w:val="en-US"/>
                    </w:rPr>
                  </w:pPr>
                  <w:r>
                    <w:rPr>
                      <w:rFonts w:hint="eastAsia"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10</w:t>
                  </w:r>
                  <w:r>
                    <w:rPr>
                      <w:rFonts w:hint="eastAsia" w:ascii="Times New Roman" w:hAnsi="Times New Roman" w:eastAsia="宋体" w:cs="Times New Roman"/>
                      <w:color w:val="auto"/>
                      <w:kern w:val="0"/>
                      <w:sz w:val="21"/>
                      <w:szCs w:val="21"/>
                      <w:lang w:val="en-US" w:eastAsia="zh-CN" w:bidi="ar"/>
                    </w:rPr>
                    <w:t>0</w:t>
                  </w:r>
                  <w:r>
                    <w:rPr>
                      <w:rFonts w:hint="default" w:ascii="Times New Roman" w:hAnsi="Times New Roman" w:cs="Times New Roman"/>
                      <w:color w:val="auto"/>
                      <w:kern w:val="0"/>
                      <w:sz w:val="21"/>
                      <w:szCs w:val="21"/>
                    </w:rPr>
                    <w:t>m³</w:t>
                  </w:r>
                </w:p>
              </w:tc>
              <w:tc>
                <w:tcPr>
                  <w:tcW w:w="1638" w:type="dxa"/>
                  <w:noWrap w:val="0"/>
                  <w:vAlign w:val="center"/>
                </w:tcPr>
                <w:p w14:paraId="79D2C8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满足</w:t>
                  </w:r>
                </w:p>
              </w:tc>
            </w:tr>
            <w:tr w14:paraId="5C2F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74" w:type="dxa"/>
                  <w:vMerge w:val="continue"/>
                  <w:noWrap w:val="0"/>
                  <w:vAlign w:val="center"/>
                </w:tcPr>
                <w:p w14:paraId="257FFDF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p>
              </w:tc>
              <w:tc>
                <w:tcPr>
                  <w:tcW w:w="993" w:type="dxa"/>
                  <w:vMerge w:val="continue"/>
                  <w:noWrap w:val="0"/>
                  <w:vAlign w:val="center"/>
                </w:tcPr>
                <w:p w14:paraId="7E9A36C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color w:val="auto"/>
                      <w:sz w:val="21"/>
                      <w:szCs w:val="21"/>
                      <w:vertAlign w:val="baseline"/>
                      <w:lang w:eastAsia="zh-CN"/>
                    </w:rPr>
                  </w:pPr>
                </w:p>
              </w:tc>
              <w:tc>
                <w:tcPr>
                  <w:tcW w:w="1112" w:type="dxa"/>
                  <w:noWrap w:val="0"/>
                  <w:vAlign w:val="center"/>
                </w:tcPr>
                <w:p w14:paraId="3772867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卧式储罐</w:t>
                  </w:r>
                </w:p>
              </w:tc>
              <w:tc>
                <w:tcPr>
                  <w:tcW w:w="784" w:type="dxa"/>
                  <w:noWrap w:val="0"/>
                  <w:vAlign w:val="center"/>
                </w:tcPr>
                <w:p w14:paraId="3264EB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1</w:t>
                  </w:r>
                </w:p>
              </w:tc>
              <w:tc>
                <w:tcPr>
                  <w:tcW w:w="914" w:type="dxa"/>
                  <w:noWrap w:val="0"/>
                  <w:vAlign w:val="center"/>
                </w:tcPr>
                <w:p w14:paraId="14E14C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color w:val="auto"/>
                      <w:kern w:val="0"/>
                      <w:sz w:val="21"/>
                      <w:szCs w:val="21"/>
                      <w:lang w:val="en-US" w:eastAsia="zh-CN"/>
                    </w:rPr>
                    <w:t>18</w:t>
                  </w:r>
                  <w:r>
                    <w:rPr>
                      <w:rFonts w:hint="eastAsia" w:ascii="Times New Roman" w:hAnsi="Times New Roman" w:cs="Times New Roman"/>
                      <w:color w:val="auto"/>
                      <w:kern w:val="0"/>
                      <w:sz w:val="21"/>
                      <w:szCs w:val="21"/>
                      <w:lang w:val="en-US" w:eastAsia="zh-CN"/>
                    </w:rPr>
                    <w:t>0</w:t>
                  </w:r>
                  <w:r>
                    <w:rPr>
                      <w:rFonts w:hint="default" w:ascii="Times New Roman" w:hAnsi="Times New Roman" w:cs="Times New Roman"/>
                      <w:color w:val="auto"/>
                      <w:kern w:val="0"/>
                      <w:sz w:val="21"/>
                      <w:szCs w:val="21"/>
                    </w:rPr>
                    <w:t>m³</w:t>
                  </w:r>
                </w:p>
              </w:tc>
              <w:tc>
                <w:tcPr>
                  <w:tcW w:w="1602" w:type="dxa"/>
                  <w:noWrap w:val="0"/>
                  <w:vAlign w:val="center"/>
                </w:tcPr>
                <w:p w14:paraId="05B2B4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18</w:t>
                  </w:r>
                  <w:r>
                    <w:rPr>
                      <w:rFonts w:hint="eastAsia" w:ascii="Times New Roman" w:hAnsi="Times New Roman" w:eastAsia="宋体" w:cs="Times New Roman"/>
                      <w:color w:val="auto"/>
                      <w:kern w:val="0"/>
                      <w:sz w:val="21"/>
                      <w:szCs w:val="21"/>
                      <w:lang w:val="en-US" w:eastAsia="zh-CN" w:bidi="ar"/>
                    </w:rPr>
                    <w:t>0</w:t>
                  </w:r>
                  <w:r>
                    <w:rPr>
                      <w:rFonts w:hint="default" w:ascii="Times New Roman" w:hAnsi="Times New Roman" w:cs="Times New Roman"/>
                      <w:color w:val="auto"/>
                      <w:kern w:val="0"/>
                      <w:sz w:val="21"/>
                      <w:szCs w:val="21"/>
                    </w:rPr>
                    <w:t>m³</w:t>
                  </w:r>
                </w:p>
              </w:tc>
              <w:tc>
                <w:tcPr>
                  <w:tcW w:w="1638" w:type="dxa"/>
                  <w:noWrap w:val="0"/>
                  <w:vAlign w:val="center"/>
                </w:tcPr>
                <w:p w14:paraId="591EF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vertAlign w:val="baseline"/>
                    </w:rPr>
                  </w:pPr>
                  <w:r>
                    <w:rPr>
                      <w:rFonts w:hint="eastAsia" w:ascii="Times New Roman" w:hAnsi="Times New Roman" w:cs="Times New Roman"/>
                      <w:b w:val="0"/>
                      <w:bCs/>
                      <w:color w:val="auto"/>
                      <w:sz w:val="21"/>
                      <w:szCs w:val="21"/>
                      <w:vertAlign w:val="baseline"/>
                      <w:lang w:val="en-US" w:eastAsia="zh-CN"/>
                    </w:rPr>
                    <w:t>满足</w:t>
                  </w:r>
                </w:p>
              </w:tc>
            </w:tr>
            <w:tr w14:paraId="5BE5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474" w:type="dxa"/>
                  <w:vMerge w:val="restart"/>
                  <w:noWrap w:val="0"/>
                  <w:vAlign w:val="center"/>
                </w:tcPr>
                <w:p w14:paraId="1CB728B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b/>
                      <w:color w:val="auto"/>
                      <w:sz w:val="21"/>
                      <w:szCs w:val="21"/>
                      <w:vertAlign w:val="baseline"/>
                      <w:lang w:val="en-US" w:eastAsia="zh-CN"/>
                    </w:rPr>
                  </w:pPr>
                  <w:r>
                    <w:rPr>
                      <w:rFonts w:hint="eastAsia" w:ascii="Times New Roman" w:hAnsi="Times New Roman" w:cs="Times New Roman"/>
                      <w:b/>
                      <w:color w:val="auto"/>
                      <w:sz w:val="21"/>
                      <w:szCs w:val="21"/>
                      <w:vertAlign w:val="baseline"/>
                      <w:lang w:val="en-US" w:eastAsia="zh-CN"/>
                    </w:rPr>
                    <w:t>2</w:t>
                  </w:r>
                </w:p>
              </w:tc>
              <w:tc>
                <w:tcPr>
                  <w:tcW w:w="993" w:type="dxa"/>
                  <w:vMerge w:val="restart"/>
                  <w:noWrap w:val="0"/>
                  <w:vAlign w:val="center"/>
                </w:tcPr>
                <w:p w14:paraId="2B89FA3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柴油</w:t>
                  </w:r>
                </w:p>
              </w:tc>
              <w:tc>
                <w:tcPr>
                  <w:tcW w:w="1112" w:type="dxa"/>
                  <w:noWrap w:val="0"/>
                  <w:vAlign w:val="center"/>
                </w:tcPr>
                <w:p w14:paraId="274BB4C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sz w:val="21"/>
                      <w:szCs w:val="21"/>
                      <w:lang w:val="en-US" w:eastAsia="zh-CN" w:bidi="ar"/>
                    </w:rPr>
                    <w:t>柴油</w:t>
                  </w:r>
                  <w:r>
                    <w:rPr>
                      <w:rFonts w:hint="eastAsia" w:cs="Times New Roman"/>
                      <w:color w:val="auto"/>
                      <w:sz w:val="21"/>
                      <w:szCs w:val="21"/>
                      <w:lang w:val="en-US" w:eastAsia="zh-CN" w:bidi="ar"/>
                    </w:rPr>
                    <w:t>撬装加油站</w:t>
                  </w:r>
                  <w:r>
                    <w:rPr>
                      <w:rFonts w:hint="eastAsia" w:ascii="Times New Roman" w:hAnsi="Times New Roman" w:eastAsia="宋体" w:cs="Times New Roman"/>
                      <w:color w:val="auto"/>
                      <w:kern w:val="0"/>
                      <w:sz w:val="21"/>
                      <w:szCs w:val="21"/>
                      <w:lang w:val="en-US" w:eastAsia="zh-CN"/>
                    </w:rPr>
                    <w:t>卧式储罐</w:t>
                  </w:r>
                </w:p>
              </w:tc>
              <w:tc>
                <w:tcPr>
                  <w:tcW w:w="784" w:type="dxa"/>
                  <w:noWrap w:val="0"/>
                  <w:vAlign w:val="center"/>
                </w:tcPr>
                <w:p w14:paraId="2AD57E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1</w:t>
                  </w:r>
                </w:p>
              </w:tc>
              <w:tc>
                <w:tcPr>
                  <w:tcW w:w="914" w:type="dxa"/>
                  <w:noWrap w:val="0"/>
                  <w:vAlign w:val="center"/>
                </w:tcPr>
                <w:p w14:paraId="162754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0m³</w:t>
                  </w:r>
                </w:p>
              </w:tc>
              <w:tc>
                <w:tcPr>
                  <w:tcW w:w="1602" w:type="dxa"/>
                  <w:noWrap w:val="0"/>
                  <w:vAlign w:val="center"/>
                </w:tcPr>
                <w:p w14:paraId="613813A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≥50</w:t>
                  </w:r>
                  <w:r>
                    <w:rPr>
                      <w:rFonts w:hint="default" w:ascii="Times New Roman" w:hAnsi="Times New Roman" w:cs="Times New Roman"/>
                      <w:color w:val="auto"/>
                      <w:kern w:val="0"/>
                      <w:sz w:val="21"/>
                      <w:szCs w:val="21"/>
                    </w:rPr>
                    <w:t>m³</w:t>
                  </w:r>
                </w:p>
              </w:tc>
              <w:tc>
                <w:tcPr>
                  <w:tcW w:w="1638" w:type="dxa"/>
                  <w:noWrap w:val="0"/>
                  <w:vAlign w:val="center"/>
                </w:tcPr>
                <w:p w14:paraId="7BF0FD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满足</w:t>
                  </w:r>
                </w:p>
              </w:tc>
            </w:tr>
            <w:tr w14:paraId="1956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74" w:type="dxa"/>
                  <w:vMerge w:val="continue"/>
                  <w:noWrap w:val="0"/>
                  <w:vAlign w:val="center"/>
                </w:tcPr>
                <w:p w14:paraId="14190F5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b/>
                      <w:color w:val="auto"/>
                      <w:sz w:val="21"/>
                      <w:szCs w:val="21"/>
                      <w:vertAlign w:val="baseline"/>
                      <w:lang w:val="en-US" w:eastAsia="zh-CN"/>
                    </w:rPr>
                  </w:pPr>
                </w:p>
              </w:tc>
              <w:tc>
                <w:tcPr>
                  <w:tcW w:w="993" w:type="dxa"/>
                  <w:vMerge w:val="continue"/>
                  <w:noWrap w:val="0"/>
                  <w:vAlign w:val="center"/>
                </w:tcPr>
                <w:p w14:paraId="2936682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p>
              </w:tc>
              <w:tc>
                <w:tcPr>
                  <w:tcW w:w="1112" w:type="dxa"/>
                  <w:noWrap w:val="0"/>
                  <w:vAlign w:val="center"/>
                </w:tcPr>
                <w:p w14:paraId="51F33A5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sz w:val="21"/>
                      <w:szCs w:val="21"/>
                      <w:lang w:val="en-US" w:eastAsia="zh-CN" w:bidi="ar"/>
                    </w:rPr>
                    <w:t>轻质柴油</w:t>
                  </w:r>
                  <w:r>
                    <w:rPr>
                      <w:rFonts w:hint="eastAsia" w:ascii="Times New Roman" w:hAnsi="Times New Roman" w:eastAsia="宋体" w:cs="Times New Roman"/>
                      <w:color w:val="auto"/>
                      <w:kern w:val="0"/>
                      <w:sz w:val="21"/>
                      <w:szCs w:val="21"/>
                      <w:lang w:val="en-US" w:eastAsia="zh-CN"/>
                    </w:rPr>
                    <w:t>卧式</w:t>
                  </w:r>
                  <w:r>
                    <w:rPr>
                      <w:rFonts w:hint="eastAsia" w:cs="Times New Roman"/>
                      <w:color w:val="auto"/>
                      <w:sz w:val="21"/>
                      <w:szCs w:val="21"/>
                      <w:lang w:val="en-US" w:eastAsia="zh-CN" w:bidi="ar"/>
                    </w:rPr>
                    <w:t>储罐</w:t>
                  </w:r>
                </w:p>
              </w:tc>
              <w:tc>
                <w:tcPr>
                  <w:tcW w:w="784" w:type="dxa"/>
                  <w:noWrap w:val="0"/>
                  <w:vAlign w:val="center"/>
                </w:tcPr>
                <w:p w14:paraId="293351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1</w:t>
                  </w:r>
                </w:p>
              </w:tc>
              <w:tc>
                <w:tcPr>
                  <w:tcW w:w="914" w:type="dxa"/>
                  <w:noWrap w:val="0"/>
                  <w:vAlign w:val="center"/>
                </w:tcPr>
                <w:p w14:paraId="4103D9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0m³</w:t>
                  </w:r>
                </w:p>
              </w:tc>
              <w:tc>
                <w:tcPr>
                  <w:tcW w:w="1602" w:type="dxa"/>
                  <w:noWrap w:val="0"/>
                  <w:vAlign w:val="center"/>
                </w:tcPr>
                <w:p w14:paraId="001AE04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≥50</w:t>
                  </w:r>
                  <w:r>
                    <w:rPr>
                      <w:rFonts w:hint="default" w:ascii="Times New Roman" w:hAnsi="Times New Roman" w:cs="Times New Roman"/>
                      <w:color w:val="auto"/>
                      <w:kern w:val="0"/>
                      <w:sz w:val="21"/>
                      <w:szCs w:val="21"/>
                    </w:rPr>
                    <w:t>m³</w:t>
                  </w:r>
                </w:p>
              </w:tc>
              <w:tc>
                <w:tcPr>
                  <w:tcW w:w="1638" w:type="dxa"/>
                  <w:noWrap w:val="0"/>
                  <w:vAlign w:val="center"/>
                </w:tcPr>
                <w:p w14:paraId="5903BB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满足</w:t>
                  </w:r>
                </w:p>
              </w:tc>
            </w:tr>
          </w:tbl>
          <w:p w14:paraId="71D1428B">
            <w:pPr>
              <w:autoSpaceDE w:val="0"/>
              <w:autoSpaceDN w:val="0"/>
              <w:snapToGrid w:val="0"/>
              <w:spacing w:line="360" w:lineRule="auto"/>
              <w:ind w:firstLine="480" w:firstLineChars="200"/>
              <w:rPr>
                <w:rFonts w:hint="eastAsia" w:ascii="宋体" w:hAnsi="宋体" w:cs="宋体"/>
                <w:bCs/>
                <w:color w:val="auto"/>
                <w:spacing w:val="0"/>
                <w:sz w:val="24"/>
                <w:szCs w:val="21"/>
              </w:rPr>
            </w:pPr>
            <w:r>
              <w:rPr>
                <w:rFonts w:hint="eastAsia" w:ascii="宋体" w:hAnsi="宋体" w:eastAsia="宋体" w:cs="宋体"/>
                <w:color w:val="auto"/>
                <w:kern w:val="0"/>
                <w:sz w:val="24"/>
                <w:szCs w:val="24"/>
                <w:lang w:val="en-US" w:eastAsia="zh-CN" w:bidi="ar"/>
              </w:rPr>
              <w:t>根据上表分析可知，各储罐区处均独立设置的围堰，围堰有效容积满足单个储罐物料泄露的存储需求，厂区内一旦发生物料泄露的情况，均能有效的收储在围堰内。</w:t>
            </w:r>
          </w:p>
          <w:p w14:paraId="18C70DB9">
            <w:pPr>
              <w:adjustRightInd w:val="0"/>
              <w:snapToGrid w:val="0"/>
              <w:ind w:firstLine="480"/>
              <w:rPr>
                <w:rFonts w:hint="eastAsia" w:ascii="Times New Roman" w:hAnsi="Times New Roman" w:eastAsia="宋体" w:cs="Times New Roman"/>
                <w:b w:val="0"/>
                <w:bCs/>
                <w:color w:val="auto"/>
                <w:lang w:val="en-US" w:eastAsia="zh-CN"/>
              </w:rPr>
            </w:pPr>
            <w:r>
              <w:rPr>
                <w:rFonts w:hint="eastAsia" w:ascii="Times New Roman" w:hAnsi="Times New Roman" w:cs="Times New Roman"/>
                <w:b w:val="0"/>
                <w:bCs/>
                <w:color w:val="auto"/>
                <w:lang w:val="en-US" w:eastAsia="zh-CN"/>
              </w:rPr>
              <w:t>②</w:t>
            </w:r>
            <w:r>
              <w:rPr>
                <w:rFonts w:hint="default" w:ascii="Times New Roman" w:hAnsi="Times New Roman" w:cs="Times New Roman"/>
                <w:b w:val="0"/>
                <w:bCs/>
                <w:color w:val="auto"/>
              </w:rPr>
              <w:t>事故废水收集</w:t>
            </w:r>
            <w:r>
              <w:rPr>
                <w:rFonts w:hint="eastAsia" w:ascii="Times New Roman" w:hAnsi="Times New Roman" w:cs="Times New Roman"/>
                <w:b w:val="0"/>
                <w:bCs/>
                <w:color w:val="auto"/>
                <w:lang w:val="en-US" w:eastAsia="zh-CN"/>
              </w:rPr>
              <w:t>池</w:t>
            </w:r>
          </w:p>
          <w:p w14:paraId="47D04677">
            <w:pPr>
              <w:keepNext w:val="0"/>
              <w:keepLines w:val="0"/>
              <w:pageBreakBefore w:val="0"/>
              <w:widowControl w:val="0"/>
              <w:kinsoku/>
              <w:wordWrap/>
              <w:overflowPunct/>
              <w:topLinePunct w:val="0"/>
              <w:autoSpaceDE/>
              <w:autoSpaceDN/>
              <w:bidi w:val="0"/>
              <w:adjustRightInd w:val="0"/>
              <w:snapToGrid w:val="0"/>
              <w:ind w:left="0" w:leftChars="0" w:firstLine="480"/>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highlight w:val="none"/>
                <w:lang w:val="en-US" w:eastAsia="zh-CN" w:bidi="ar"/>
              </w:rPr>
              <w:t>本项目在</w:t>
            </w:r>
            <w:r>
              <w:rPr>
                <w:rFonts w:hint="eastAsia" w:ascii="Times New Roman" w:hAnsi="Times New Roman" w:eastAsia="宋体" w:cs="Times New Roman"/>
                <w:color w:val="auto"/>
                <w:kern w:val="0"/>
                <w:sz w:val="24"/>
                <w:szCs w:val="24"/>
                <w:highlight w:val="none"/>
                <w:lang w:val="en-US" w:eastAsia="zh-CN" w:bidi="ar"/>
              </w:rPr>
              <w:t>三级隔油</w:t>
            </w:r>
            <w:r>
              <w:rPr>
                <w:rFonts w:hint="default" w:ascii="Times New Roman" w:hAnsi="Times New Roman" w:eastAsia="宋体" w:cs="Times New Roman"/>
                <w:color w:val="auto"/>
                <w:kern w:val="0"/>
                <w:sz w:val="24"/>
                <w:szCs w:val="24"/>
                <w:highlight w:val="none"/>
                <w:lang w:val="en-US" w:eastAsia="zh-CN" w:bidi="ar"/>
              </w:rPr>
              <w:t>池站旁设置</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座</w:t>
            </w:r>
            <w:r>
              <w:rPr>
                <w:rFonts w:hint="eastAsia" w:ascii="Times New Roman" w:hAnsi="Times New Roman" w:eastAsia="宋体" w:cs="Times New Roman"/>
                <w:color w:val="auto"/>
                <w:kern w:val="0"/>
                <w:sz w:val="24"/>
                <w:szCs w:val="24"/>
                <w:highlight w:val="none"/>
                <w:lang w:val="en-US" w:eastAsia="zh-CN" w:bidi="ar"/>
              </w:rPr>
              <w:t>应急</w:t>
            </w:r>
            <w:r>
              <w:rPr>
                <w:rFonts w:hint="default" w:ascii="Times New Roman" w:hAnsi="Times New Roman" w:eastAsia="宋体" w:cs="Times New Roman"/>
                <w:color w:val="auto"/>
                <w:kern w:val="0"/>
                <w:sz w:val="24"/>
                <w:szCs w:val="24"/>
                <w:highlight w:val="none"/>
                <w:lang w:val="en-US" w:eastAsia="zh-CN" w:bidi="ar"/>
              </w:rPr>
              <w:t>事故池，</w:t>
            </w:r>
            <w:r>
              <w:rPr>
                <w:rFonts w:hint="eastAsia" w:ascii="Times New Roman" w:hAnsi="Times New Roman" w:eastAsia="宋体" w:cs="Times New Roman"/>
                <w:color w:val="auto"/>
                <w:kern w:val="0"/>
                <w:sz w:val="24"/>
                <w:szCs w:val="24"/>
                <w:highlight w:val="none"/>
                <w:lang w:val="en-US" w:eastAsia="zh-CN" w:bidi="ar"/>
              </w:rPr>
              <w:t>三级隔油</w:t>
            </w:r>
            <w:r>
              <w:rPr>
                <w:rFonts w:hint="default" w:ascii="Times New Roman" w:hAnsi="Times New Roman" w:eastAsia="宋体" w:cs="Times New Roman"/>
                <w:color w:val="auto"/>
                <w:kern w:val="0"/>
                <w:sz w:val="24"/>
                <w:szCs w:val="24"/>
                <w:highlight w:val="none"/>
                <w:lang w:val="en-US" w:eastAsia="zh-CN" w:bidi="ar"/>
              </w:rPr>
              <w:t>池</w:t>
            </w:r>
            <w:r>
              <w:rPr>
                <w:rFonts w:hint="eastAsia" w:ascii="Times New Roman" w:hAnsi="Times New Roman" w:eastAsia="宋体" w:cs="Times New Roman"/>
                <w:color w:val="auto"/>
                <w:kern w:val="0"/>
                <w:sz w:val="24"/>
                <w:szCs w:val="24"/>
                <w:highlight w:val="none"/>
                <w:lang w:val="en-US" w:eastAsia="zh-CN" w:bidi="ar"/>
              </w:rPr>
              <w:t>运行故障</w:t>
            </w:r>
            <w:r>
              <w:rPr>
                <w:rFonts w:hint="eastAsia" w:cs="Times New Roman"/>
                <w:color w:val="auto"/>
                <w:kern w:val="0"/>
                <w:sz w:val="24"/>
                <w:szCs w:val="24"/>
                <w:highlight w:val="none"/>
                <w:lang w:val="en-US" w:eastAsia="zh-CN" w:bidi="ar"/>
              </w:rPr>
              <w:t>或者污水处理站</w:t>
            </w:r>
            <w:r>
              <w:rPr>
                <w:rFonts w:hint="eastAsia" w:ascii="Times New Roman" w:hAnsi="Times New Roman" w:eastAsia="宋体" w:cs="Times New Roman"/>
                <w:color w:val="auto"/>
                <w:kern w:val="0"/>
                <w:sz w:val="24"/>
                <w:szCs w:val="24"/>
                <w:highlight w:val="none"/>
                <w:lang w:val="en-US" w:eastAsia="zh-CN" w:bidi="ar"/>
              </w:rPr>
              <w:t>运行故障、</w:t>
            </w:r>
            <w:r>
              <w:rPr>
                <w:rFonts w:hint="eastAsia" w:ascii="宋体" w:hAnsi="宋体" w:eastAsia="宋体" w:cs="宋体"/>
                <w:color w:val="auto"/>
                <w:kern w:val="0"/>
                <w:sz w:val="24"/>
                <w:szCs w:val="24"/>
                <w:lang w:val="en-US" w:eastAsia="zh-CN" w:bidi="ar"/>
              </w:rPr>
              <w:t>储罐</w:t>
            </w:r>
            <w:r>
              <w:rPr>
                <w:rFonts w:hint="eastAsia" w:ascii="Times New Roman" w:hAnsi="Times New Roman" w:eastAsia="宋体" w:cs="Times New Roman"/>
                <w:color w:val="auto"/>
                <w:lang w:val="en-US" w:eastAsia="zh-CN"/>
              </w:rPr>
              <w:t>区泄漏物料和消防废水</w:t>
            </w:r>
            <w:r>
              <w:rPr>
                <w:rFonts w:hint="eastAsia" w:ascii="Times New Roman" w:hAnsi="Times New Roman" w:eastAsia="宋体" w:cs="Times New Roman"/>
                <w:color w:val="auto"/>
                <w:kern w:val="0"/>
                <w:sz w:val="24"/>
                <w:szCs w:val="24"/>
                <w:highlight w:val="none"/>
                <w:lang w:val="en-US" w:eastAsia="zh-CN" w:bidi="ar"/>
              </w:rPr>
              <w:t>可排入事故池内。</w:t>
            </w:r>
            <w:r>
              <w:rPr>
                <w:rFonts w:hint="default" w:ascii="Times New Roman" w:hAnsi="Times New Roman" w:eastAsia="宋体" w:cs="Times New Roman"/>
                <w:color w:val="auto"/>
                <w:kern w:val="0"/>
                <w:sz w:val="24"/>
                <w:szCs w:val="24"/>
                <w:highlight w:val="none"/>
                <w:lang w:val="en-US" w:eastAsia="zh-CN" w:bidi="ar"/>
              </w:rPr>
              <w:t>事故池容积</w:t>
            </w:r>
            <w:r>
              <w:rPr>
                <w:rFonts w:hint="eastAsia" w:ascii="Times New Roman" w:hAnsi="Times New Roman" w:eastAsia="宋体" w:cs="Times New Roman"/>
                <w:color w:val="auto"/>
                <w:kern w:val="0"/>
                <w:sz w:val="24"/>
                <w:szCs w:val="24"/>
                <w:highlight w:val="none"/>
                <w:lang w:val="en-US" w:eastAsia="zh-CN" w:bidi="ar"/>
              </w:rPr>
              <w:t>为</w:t>
            </w:r>
            <w:r>
              <w:rPr>
                <w:rFonts w:hint="eastAsia" w:cs="Times New Roman"/>
                <w:color w:val="auto"/>
                <w:sz w:val="24"/>
                <w:szCs w:val="24"/>
                <w:lang w:val="en-US" w:eastAsia="zh-CN" w:bidi="ar"/>
              </w:rPr>
              <w:t>3</w:t>
            </w:r>
            <w:r>
              <w:rPr>
                <w:rFonts w:hint="eastAsia" w:ascii="Times New Roman" w:hAnsi="Times New Roman" w:cs="Times New Roman"/>
                <w:color w:val="auto"/>
                <w:sz w:val="24"/>
                <w:szCs w:val="24"/>
                <w:lang w:val="en-US" w:eastAsia="zh-CN" w:bidi="ar"/>
              </w:rPr>
              <w:t>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，可</w:t>
            </w:r>
            <w:r>
              <w:rPr>
                <w:rFonts w:hint="default" w:ascii="Times New Roman" w:hAnsi="Times New Roman" w:eastAsia="宋体" w:cs="Times New Roman"/>
                <w:color w:val="auto"/>
                <w:kern w:val="0"/>
                <w:sz w:val="24"/>
                <w:szCs w:val="24"/>
                <w:highlight w:val="none"/>
                <w:lang w:val="en-US" w:eastAsia="zh-CN" w:bidi="ar"/>
              </w:rPr>
              <w:t>保证</w:t>
            </w:r>
            <w:r>
              <w:rPr>
                <w:rFonts w:hint="eastAsia" w:ascii="Times New Roman" w:hAnsi="Times New Roman" w:eastAsia="宋体" w:cs="Times New Roman"/>
                <w:color w:val="auto"/>
                <w:kern w:val="0"/>
                <w:sz w:val="24"/>
                <w:szCs w:val="24"/>
                <w:highlight w:val="none"/>
                <w:lang w:val="en-US" w:eastAsia="zh-CN" w:bidi="ar"/>
              </w:rPr>
              <w:t>容纳24h事故</w:t>
            </w:r>
            <w:r>
              <w:rPr>
                <w:rFonts w:hint="default" w:ascii="Times New Roman" w:hAnsi="Times New Roman" w:eastAsia="宋体" w:cs="Times New Roman"/>
                <w:color w:val="auto"/>
                <w:kern w:val="0"/>
                <w:sz w:val="24"/>
                <w:szCs w:val="24"/>
                <w:highlight w:val="none"/>
                <w:lang w:val="en-US" w:eastAsia="zh-CN" w:bidi="ar"/>
              </w:rPr>
              <w:t>废水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rPr>
              <w:t>经采取上述相应措施后，由于事故废水排放而发生周围地表水污染事故的可能性极小。</w:t>
            </w:r>
          </w:p>
          <w:p w14:paraId="509B2FB7">
            <w:pPr>
              <w:autoSpaceDE w:val="0"/>
              <w:autoSpaceDN w:val="0"/>
              <w:snapToGrid w:val="0"/>
              <w:spacing w:line="360" w:lineRule="auto"/>
              <w:ind w:firstLine="480" w:firstLineChars="200"/>
              <w:rPr>
                <w:rFonts w:hint="default" w:ascii="宋体" w:hAnsi="宋体" w:eastAsia="宋体" w:cs="宋体"/>
                <w:bCs/>
                <w:color w:val="auto"/>
                <w:spacing w:val="0"/>
                <w:sz w:val="24"/>
                <w:szCs w:val="21"/>
                <w:lang w:val="en-US" w:eastAsia="zh-CN"/>
              </w:rPr>
            </w:pPr>
            <w:r>
              <w:rPr>
                <w:rFonts w:hint="eastAsia" w:ascii="宋体" w:hAnsi="宋体" w:cs="宋体"/>
                <w:bCs/>
                <w:color w:val="auto"/>
                <w:spacing w:val="0"/>
                <w:sz w:val="24"/>
                <w:szCs w:val="21"/>
                <w:lang w:val="en-US" w:eastAsia="zh-CN"/>
              </w:rPr>
              <w:t>③末端截流设施</w:t>
            </w:r>
          </w:p>
          <w:p w14:paraId="52D023F7">
            <w:pPr>
              <w:autoSpaceDE w:val="0"/>
              <w:autoSpaceDN w:val="0"/>
              <w:snapToGrid w:val="0"/>
              <w:spacing w:line="360" w:lineRule="auto"/>
              <w:ind w:firstLine="480" w:firstLineChars="200"/>
              <w:rPr>
                <w:rFonts w:hint="eastAsia" w:ascii="宋体" w:hAnsi="宋体" w:cs="宋体"/>
                <w:bCs/>
                <w:color w:val="auto"/>
                <w:spacing w:val="0"/>
                <w:sz w:val="24"/>
                <w:szCs w:val="21"/>
              </w:rPr>
            </w:pPr>
            <w:r>
              <w:rPr>
                <w:rFonts w:hint="default" w:ascii="Times New Roman" w:hAnsi="Times New Roman" w:cs="Times New Roman"/>
                <w:color w:val="auto"/>
              </w:rPr>
              <w:t>事故状态下，厂区内所有事故废水必须全部收集。为防止消防废水等从雨水排口或清下水排口直接排出，在排水管网（包括雨水管网、污水管网）全部设置切断装置</w:t>
            </w:r>
            <w:r>
              <w:rPr>
                <w:rFonts w:hint="eastAsia" w:ascii="宋体" w:hAnsi="宋体" w:eastAsia="宋体" w:cs="宋体"/>
                <w:color w:val="auto"/>
                <w:kern w:val="0"/>
                <w:sz w:val="24"/>
                <w:szCs w:val="24"/>
                <w:lang w:val="en-US" w:eastAsia="zh-CN" w:bidi="ar"/>
              </w:rPr>
              <w:t>，紧急状态下可关闭排水管网出水阀，不会经雨污水管道溢流至厂外。</w:t>
            </w:r>
          </w:p>
          <w:p w14:paraId="62A4B45A">
            <w:pPr>
              <w:autoSpaceDE w:val="0"/>
              <w:autoSpaceDN w:val="0"/>
              <w:snapToGrid w:val="0"/>
              <w:spacing w:line="360" w:lineRule="auto"/>
              <w:ind w:firstLine="482" w:firstLineChars="200"/>
              <w:rPr>
                <w:rFonts w:ascii="Times New Roman" w:hAnsi="Times New Roman"/>
                <w:b/>
                <w:bCs/>
                <w:color w:val="auto"/>
                <w:spacing w:val="0"/>
                <w:sz w:val="24"/>
                <w:szCs w:val="21"/>
              </w:rPr>
            </w:pPr>
            <w:r>
              <w:rPr>
                <w:rFonts w:ascii="Times New Roman" w:hAnsi="Times New Roman"/>
                <w:b/>
                <w:bCs/>
                <w:color w:val="auto"/>
                <w:spacing w:val="0"/>
                <w:sz w:val="24"/>
                <w:szCs w:val="21"/>
              </w:rPr>
              <w:t>2）应急要求</w:t>
            </w:r>
          </w:p>
          <w:p w14:paraId="43FF27C6">
            <w:pPr>
              <w:autoSpaceDE w:val="0"/>
              <w:autoSpaceDN w:val="0"/>
              <w:snapToGrid w:val="0"/>
              <w:spacing w:line="360" w:lineRule="auto"/>
              <w:ind w:firstLine="480" w:firstLineChars="200"/>
              <w:rPr>
                <w:rFonts w:ascii="Times New Roman" w:hAnsi="Times New Roman"/>
                <w:bCs/>
                <w:color w:val="auto"/>
                <w:spacing w:val="0"/>
                <w:sz w:val="24"/>
                <w:szCs w:val="21"/>
              </w:rPr>
            </w:pPr>
            <w:r>
              <w:rPr>
                <w:rFonts w:ascii="Times New Roman" w:hAnsi="Times New Roman"/>
                <w:bCs/>
                <w:color w:val="auto"/>
                <w:spacing w:val="0"/>
                <w:sz w:val="24"/>
                <w:szCs w:val="21"/>
              </w:rPr>
              <w:t>针对本项目可能发生的突发事故，为了将风险事故率降低到最小，建设单位应严格按照《企业突发环境事件风险分级方法》(HJ941-2018)、《企业突发环境事件应急预案编制指南》和《企业突发环境事件风险评估指南（试行）》开展应急预案的编制工作，包括环境风险评估报告、环境应急资源调查报告和突发环境事件应急预案三个报告，并报</w:t>
            </w:r>
            <w:r>
              <w:rPr>
                <w:rFonts w:hint="eastAsia"/>
                <w:bCs/>
                <w:color w:val="auto"/>
                <w:spacing w:val="0"/>
                <w:sz w:val="24"/>
                <w:szCs w:val="21"/>
                <w:lang w:val="en-US" w:eastAsia="zh-CN"/>
              </w:rPr>
              <w:t>德宏州</w:t>
            </w:r>
            <w:r>
              <w:rPr>
                <w:rFonts w:ascii="Times New Roman" w:hAnsi="Times New Roman"/>
                <w:bCs/>
                <w:color w:val="auto"/>
                <w:spacing w:val="0"/>
                <w:sz w:val="24"/>
                <w:szCs w:val="21"/>
              </w:rPr>
              <w:t>生态环境局</w:t>
            </w:r>
            <w:r>
              <w:rPr>
                <w:rFonts w:hint="eastAsia"/>
                <w:bCs/>
                <w:color w:val="auto"/>
                <w:spacing w:val="0"/>
                <w:sz w:val="24"/>
                <w:szCs w:val="21"/>
                <w:lang w:val="en-US" w:eastAsia="zh-CN"/>
              </w:rPr>
              <w:t>芒市</w:t>
            </w:r>
            <w:r>
              <w:rPr>
                <w:rFonts w:ascii="Times New Roman" w:hAnsi="Times New Roman"/>
                <w:bCs/>
                <w:color w:val="auto"/>
                <w:spacing w:val="0"/>
                <w:sz w:val="24"/>
                <w:szCs w:val="21"/>
              </w:rPr>
              <w:t>分局备案。</w:t>
            </w:r>
          </w:p>
          <w:p w14:paraId="6FD2A6F0">
            <w:pPr>
              <w:autoSpaceDE w:val="0"/>
              <w:autoSpaceDN w:val="0"/>
              <w:snapToGrid w:val="0"/>
              <w:spacing w:line="360" w:lineRule="auto"/>
              <w:ind w:firstLine="440" w:firstLineChars="200"/>
              <w:rPr>
                <w:rFonts w:ascii="Times New Roman" w:hAnsi="Times New Roman"/>
                <w:bCs/>
                <w:color w:val="auto"/>
                <w:spacing w:val="-10"/>
                <w:szCs w:val="21"/>
              </w:rPr>
            </w:pPr>
            <w:r>
              <w:rPr>
                <w:rFonts w:ascii="Times New Roman" w:hAnsi="Times New Roman"/>
                <w:bCs/>
                <w:color w:val="auto"/>
                <w:spacing w:val="-10"/>
                <w:szCs w:val="21"/>
              </w:rPr>
              <w:t>建设项目环境风险简单分析内容见表4-1</w:t>
            </w:r>
            <w:r>
              <w:rPr>
                <w:rFonts w:hint="eastAsia"/>
                <w:bCs/>
                <w:color w:val="auto"/>
                <w:spacing w:val="-10"/>
                <w:szCs w:val="21"/>
                <w:lang w:val="en-US" w:eastAsia="zh-CN"/>
              </w:rPr>
              <w:t>5</w:t>
            </w:r>
            <w:r>
              <w:rPr>
                <w:rFonts w:ascii="Times New Roman" w:hAnsi="Times New Roman"/>
                <w:bCs/>
                <w:color w:val="auto"/>
                <w:spacing w:val="-10"/>
                <w:szCs w:val="21"/>
              </w:rPr>
              <w:t>。</w:t>
            </w:r>
          </w:p>
          <w:p w14:paraId="0D07231B">
            <w:pPr>
              <w:snapToGrid w:val="0"/>
              <w:jc w:val="center"/>
              <w:rPr>
                <w:rFonts w:ascii="Times New Roman" w:hAnsi="Times New Roman"/>
                <w:b/>
                <w:color w:val="auto"/>
                <w:sz w:val="21"/>
                <w:szCs w:val="21"/>
              </w:rPr>
            </w:pPr>
            <w:r>
              <w:rPr>
                <w:rFonts w:ascii="Times New Roman" w:hAnsi="Times New Roman"/>
                <w:b/>
                <w:color w:val="auto"/>
                <w:sz w:val="21"/>
                <w:szCs w:val="21"/>
              </w:rPr>
              <w:t>表4-1</w:t>
            </w:r>
            <w:r>
              <w:rPr>
                <w:rFonts w:hint="eastAsia"/>
                <w:b/>
                <w:color w:val="auto"/>
                <w:sz w:val="21"/>
                <w:szCs w:val="21"/>
                <w:lang w:val="en-US" w:eastAsia="zh-CN"/>
              </w:rPr>
              <w:t>5</w:t>
            </w:r>
            <w:r>
              <w:rPr>
                <w:rFonts w:ascii="Times New Roman" w:hAnsi="Times New Roman"/>
                <w:b/>
                <w:color w:val="auto"/>
                <w:sz w:val="21"/>
                <w:szCs w:val="21"/>
              </w:rPr>
              <w:t xml:space="preserve">  建设项目环境风险简单分析表</w:t>
            </w:r>
          </w:p>
          <w:tbl>
            <w:tblPr>
              <w:tblStyle w:val="27"/>
              <w:tblW w:w="495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16"/>
              <w:gridCol w:w="1127"/>
              <w:gridCol w:w="2098"/>
              <w:gridCol w:w="857"/>
              <w:gridCol w:w="1943"/>
            </w:tblGrid>
            <w:tr w14:paraId="75EAB9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9" w:hRule="atLeast"/>
                <w:jc w:val="center"/>
              </w:trPr>
              <w:tc>
                <w:tcPr>
                  <w:tcW w:w="1006" w:type="pct"/>
                  <w:noWrap w:val="0"/>
                  <w:vAlign w:val="center"/>
                </w:tcPr>
                <w:p w14:paraId="453C83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建设项目名称</w:t>
                  </w:r>
                </w:p>
              </w:tc>
              <w:tc>
                <w:tcPr>
                  <w:tcW w:w="3993" w:type="pct"/>
                  <w:gridSpan w:val="4"/>
                  <w:noWrap w:val="0"/>
                  <w:vAlign w:val="center"/>
                </w:tcPr>
                <w:p w14:paraId="70834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cs="Times New Roman"/>
                      <w:color w:val="auto"/>
                      <w:sz w:val="21"/>
                      <w:szCs w:val="21"/>
                    </w:rPr>
                    <w:t>瑞丽市富康路桥工程有限公司新型墙材厂及沥青混凝土拌合站项目（一期）</w:t>
                  </w:r>
                </w:p>
              </w:tc>
            </w:tr>
            <w:tr w14:paraId="63AF7F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6" w:type="pct"/>
                  <w:noWrap w:val="0"/>
                  <w:vAlign w:val="center"/>
                </w:tcPr>
                <w:p w14:paraId="19E5C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建设地点</w:t>
                  </w:r>
                </w:p>
              </w:tc>
              <w:tc>
                <w:tcPr>
                  <w:tcW w:w="3993" w:type="pct"/>
                  <w:gridSpan w:val="4"/>
                  <w:noWrap w:val="0"/>
                  <w:vAlign w:val="center"/>
                </w:tcPr>
                <w:p w14:paraId="69D77E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cs="Times New Roman"/>
                      <w:color w:val="auto"/>
                      <w:sz w:val="21"/>
                      <w:szCs w:val="21"/>
                    </w:rPr>
                    <w:t>云南省德宏州芒市帕底工业园区等岗组团</w:t>
                  </w:r>
                </w:p>
              </w:tc>
            </w:tr>
            <w:tr w14:paraId="621F71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6" w:type="pct"/>
                  <w:noWrap w:val="0"/>
                  <w:vAlign w:val="center"/>
                </w:tcPr>
                <w:p w14:paraId="7971F6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地理坐标</w:t>
                  </w:r>
                </w:p>
              </w:tc>
              <w:tc>
                <w:tcPr>
                  <w:tcW w:w="747" w:type="pct"/>
                  <w:noWrap w:val="0"/>
                  <w:vAlign w:val="center"/>
                </w:tcPr>
                <w:p w14:paraId="51D82A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经度</w:t>
                  </w:r>
                </w:p>
              </w:tc>
              <w:tc>
                <w:tcPr>
                  <w:tcW w:w="1391" w:type="pct"/>
                  <w:noWrap w:val="0"/>
                  <w:vAlign w:val="center"/>
                </w:tcPr>
                <w:p w14:paraId="525F8C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color w:val="auto"/>
                      <w:sz w:val="21"/>
                      <w:szCs w:val="21"/>
                      <w:highlight w:val="none"/>
                      <w:lang w:val="en-US" w:eastAsia="zh-CN"/>
                    </w:rPr>
                    <w:t>98°26′36.841″</w:t>
                  </w:r>
                </w:p>
              </w:tc>
              <w:tc>
                <w:tcPr>
                  <w:tcW w:w="568" w:type="pct"/>
                  <w:noWrap w:val="0"/>
                  <w:vAlign w:val="center"/>
                </w:tcPr>
                <w:p w14:paraId="5D313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纬度</w:t>
                  </w:r>
                </w:p>
              </w:tc>
              <w:tc>
                <w:tcPr>
                  <w:tcW w:w="1286" w:type="pct"/>
                  <w:noWrap w:val="0"/>
                  <w:vAlign w:val="center"/>
                </w:tcPr>
                <w:p w14:paraId="6B96B5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color w:val="auto"/>
                      <w:sz w:val="21"/>
                      <w:szCs w:val="21"/>
                      <w:highlight w:val="none"/>
                    </w:rPr>
                    <w:t>24°23′57.41</w:t>
                  </w:r>
                  <w:r>
                    <w:rPr>
                      <w:rFonts w:hint="eastAsia"/>
                      <w:color w:val="auto"/>
                      <w:sz w:val="21"/>
                      <w:szCs w:val="21"/>
                      <w:highlight w:val="none"/>
                      <w:lang w:val="en-US" w:eastAsia="zh-CN"/>
                    </w:rPr>
                    <w:t>2</w:t>
                  </w:r>
                  <w:r>
                    <w:rPr>
                      <w:rFonts w:hint="eastAsia"/>
                      <w:color w:val="auto"/>
                      <w:sz w:val="21"/>
                      <w:szCs w:val="21"/>
                      <w:highlight w:val="none"/>
                    </w:rPr>
                    <w:t>″</w:t>
                  </w:r>
                </w:p>
              </w:tc>
            </w:tr>
            <w:tr w14:paraId="607B72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6" w:type="pct"/>
                  <w:noWrap w:val="0"/>
                  <w:vAlign w:val="center"/>
                </w:tcPr>
                <w:p w14:paraId="7AD47D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主要危险物质及分布</w:t>
                  </w:r>
                </w:p>
              </w:tc>
              <w:tc>
                <w:tcPr>
                  <w:tcW w:w="3993" w:type="pct"/>
                  <w:gridSpan w:val="4"/>
                  <w:noWrap w:val="0"/>
                  <w:vAlign w:val="center"/>
                </w:tcPr>
                <w:p w14:paraId="333565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柴油、导热油、沥青、废机油；分布于柴油储罐区、沥青储罐区、危废暂存间</w:t>
                  </w:r>
                </w:p>
              </w:tc>
            </w:tr>
            <w:tr w14:paraId="57C8A8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6" w:type="pct"/>
                  <w:noWrap w:val="0"/>
                  <w:vAlign w:val="center"/>
                </w:tcPr>
                <w:p w14:paraId="4E472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环境影响途径及危害后果（大气、地表水、地下水等）</w:t>
                  </w:r>
                </w:p>
              </w:tc>
              <w:tc>
                <w:tcPr>
                  <w:tcW w:w="3993" w:type="pct"/>
                  <w:gridSpan w:val="4"/>
                  <w:noWrap w:val="0"/>
                  <w:vAlign w:val="center"/>
                </w:tcPr>
                <w:p w14:paraId="7B4C8BB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b/>
                      <w:color w:val="auto"/>
                      <w:sz w:val="21"/>
                      <w:szCs w:val="21"/>
                    </w:rPr>
                  </w:pPr>
                  <w:r>
                    <w:rPr>
                      <w:rFonts w:ascii="Times New Roman" w:hAnsi="Times New Roman"/>
                      <w:b/>
                      <w:color w:val="auto"/>
                      <w:sz w:val="21"/>
                      <w:szCs w:val="21"/>
                    </w:rPr>
                    <w:t>1、大气环境风险分析</w:t>
                  </w:r>
                </w:p>
                <w:p w14:paraId="741E122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color w:val="auto"/>
                      <w:sz w:val="21"/>
                      <w:szCs w:val="21"/>
                    </w:rPr>
                  </w:pPr>
                  <w:r>
                    <w:rPr>
                      <w:rFonts w:ascii="Times New Roman" w:hAnsi="Times New Roman"/>
                      <w:bCs/>
                      <w:color w:val="auto"/>
                      <w:sz w:val="21"/>
                      <w:szCs w:val="21"/>
                    </w:rPr>
                    <w:t>当储罐、暂存容器破损泄漏时，将会挥发有机气体，逸散到空气中对大气环境造成污染。此外，泄漏后柴油、导热油、沥青、废机油等遇明火源，均会发生火灾，火灾事故时会分解产生CO、CO</w:t>
                  </w:r>
                  <w:r>
                    <w:rPr>
                      <w:rFonts w:ascii="Times New Roman" w:hAnsi="Times New Roman"/>
                      <w:bCs/>
                      <w:color w:val="auto"/>
                      <w:sz w:val="21"/>
                      <w:szCs w:val="21"/>
                      <w:vertAlign w:val="subscript"/>
                    </w:rPr>
                    <w:t>2</w:t>
                  </w:r>
                  <w:r>
                    <w:rPr>
                      <w:rFonts w:ascii="Times New Roman" w:hAnsi="Times New Roman"/>
                      <w:bCs/>
                      <w:color w:val="auto"/>
                      <w:sz w:val="21"/>
                      <w:szCs w:val="21"/>
                    </w:rPr>
                    <w:t>，将对大气环境造成影响</w:t>
                  </w:r>
                  <w:r>
                    <w:rPr>
                      <w:rFonts w:hint="eastAsia"/>
                      <w:bCs/>
                      <w:color w:val="auto"/>
                      <w:sz w:val="21"/>
                      <w:szCs w:val="21"/>
                      <w:lang w:eastAsia="zh-CN"/>
                    </w:rPr>
                    <w:t>。</w:t>
                  </w:r>
                  <w:r>
                    <w:rPr>
                      <w:rFonts w:hint="eastAsia"/>
                      <w:bCs/>
                      <w:color w:val="auto"/>
                      <w:spacing w:val="0"/>
                      <w:sz w:val="21"/>
                      <w:szCs w:val="21"/>
                      <w:lang w:val="en-US" w:eastAsia="zh-CN"/>
                    </w:rPr>
                    <w:t>另外，燃烧器废气</w:t>
                  </w:r>
                  <w:r>
                    <w:rPr>
                      <w:rFonts w:hint="default" w:ascii="Times New Roman" w:hAnsi="Times New Roman" w:cs="Times New Roman"/>
                      <w:color w:val="auto"/>
                      <w:sz w:val="21"/>
                      <w:szCs w:val="21"/>
                    </w:rPr>
                    <w:t>管道</w:t>
                  </w:r>
                  <w:r>
                    <w:rPr>
                      <w:rFonts w:hint="eastAsia" w:cs="Times New Roman"/>
                      <w:color w:val="auto"/>
                      <w:sz w:val="21"/>
                      <w:szCs w:val="21"/>
                      <w:lang w:val="en-US" w:eastAsia="zh-CN"/>
                    </w:rPr>
                    <w:t>中二氧化硫及二氧化氮泄露造成大气污染</w:t>
                  </w:r>
                  <w:r>
                    <w:rPr>
                      <w:rFonts w:hint="default" w:ascii="Times New Roman" w:hAnsi="Times New Roman" w:cs="Times New Roman"/>
                      <w:color w:val="auto"/>
                      <w:sz w:val="21"/>
                      <w:szCs w:val="21"/>
                    </w:rPr>
                    <w:t>。</w:t>
                  </w:r>
                  <w:r>
                    <w:rPr>
                      <w:rFonts w:ascii="Times New Roman" w:hAnsi="Times New Roman"/>
                      <w:bCs/>
                      <w:color w:val="auto"/>
                      <w:sz w:val="21"/>
                      <w:szCs w:val="21"/>
                    </w:rPr>
                    <w:t>运营过程中在认真落实风险防范措施，危险单元设置禁止吸烟、禁止明火等标志，加强员工安全防火意识，按照消防要求设置灭火器等相应防火应急措施后，发生风险概率很小，项目大气环境风险可控，对大气环境影响是可以接受的。</w:t>
                  </w:r>
                </w:p>
                <w:p w14:paraId="6560B88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b/>
                      <w:color w:val="auto"/>
                      <w:sz w:val="21"/>
                      <w:szCs w:val="21"/>
                    </w:rPr>
                  </w:pPr>
                  <w:r>
                    <w:rPr>
                      <w:rFonts w:ascii="Times New Roman" w:hAnsi="Times New Roman"/>
                      <w:b/>
                      <w:color w:val="auto"/>
                      <w:sz w:val="21"/>
                      <w:szCs w:val="21"/>
                    </w:rPr>
                    <w:t>2、地表水环境风险分析</w:t>
                  </w:r>
                </w:p>
                <w:p w14:paraId="4FD668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textAlignment w:val="auto"/>
                    <w:rPr>
                      <w:rFonts w:hint="eastAsia" w:ascii="Times New Roman" w:hAnsi="Times New Roman" w:eastAsia="宋体" w:cs="Times New Roman"/>
                      <w:bCs/>
                      <w:color w:val="auto"/>
                      <w:sz w:val="21"/>
                      <w:szCs w:val="21"/>
                    </w:rPr>
                  </w:pPr>
                  <w:r>
                    <w:rPr>
                      <w:rFonts w:ascii="Times New Roman" w:hAnsi="Times New Roman"/>
                      <w:bCs/>
                      <w:color w:val="auto"/>
                      <w:sz w:val="21"/>
                      <w:szCs w:val="21"/>
                    </w:rPr>
                    <w:t>柴油、导热油、沥青、废机油等一旦发生泄漏进入水体，将会对水质造成一定的影响，浓度较高时会导致水体中动植物死亡，造成地表水体污染。项目柴油储罐、沥青储罐区设置围堰（高≥0.6m），</w:t>
                  </w:r>
                  <w:r>
                    <w:rPr>
                      <w:rFonts w:hint="eastAsia" w:cs="Times New Roman"/>
                      <w:color w:val="auto"/>
                      <w:sz w:val="21"/>
                      <w:szCs w:val="21"/>
                      <w:lang w:val="en-US" w:eastAsia="zh-CN"/>
                    </w:rPr>
                    <w:t>1#和2#</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，3#</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180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bidi="ar"/>
                    </w:rPr>
                    <w:t>柴油</w:t>
                  </w:r>
                  <w:r>
                    <w:rPr>
                      <w:rFonts w:hint="eastAsia" w:cs="Times New Roman"/>
                      <w:color w:val="auto"/>
                      <w:sz w:val="21"/>
                      <w:szCs w:val="21"/>
                      <w:lang w:val="en-US" w:eastAsia="zh-CN" w:bidi="ar"/>
                    </w:rPr>
                    <w:t>撬装加油站</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eastAsia" w:cs="Times New Roman"/>
                      <w:color w:val="auto"/>
                      <w:sz w:val="21"/>
                      <w:szCs w:val="21"/>
                      <w:lang w:val="en-US" w:eastAsia="zh-CN" w:bidi="ar"/>
                    </w:rPr>
                    <w:t>轻质柴油储罐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ascii="Times New Roman" w:hAnsi="Times New Roman"/>
                      <w:bCs/>
                      <w:color w:val="auto"/>
                      <w:sz w:val="21"/>
                      <w:szCs w:val="21"/>
                    </w:rPr>
                    <w:t>废矿物油采用密闭专用容器盛装后暂存至危废暂存间，将柴油储罐、沥青储罐区、危废暂存间设为重点防渗区。</w:t>
                  </w:r>
                  <w:r>
                    <w:rPr>
                      <w:rFonts w:hint="default" w:ascii="Times New Roman" w:hAnsi="Times New Roman" w:eastAsia="宋体" w:cs="Times New Roman"/>
                      <w:color w:val="auto"/>
                      <w:kern w:val="0"/>
                      <w:sz w:val="21"/>
                      <w:szCs w:val="21"/>
                      <w:highlight w:val="none"/>
                      <w:lang w:val="en-US" w:eastAsia="zh-CN" w:bidi="ar"/>
                    </w:rPr>
                    <w:t>在</w:t>
                  </w:r>
                  <w:r>
                    <w:rPr>
                      <w:rFonts w:hint="eastAsia" w:ascii="Times New Roman" w:hAnsi="Times New Roman" w:eastAsia="宋体" w:cs="Times New Roman"/>
                      <w:color w:val="auto"/>
                      <w:kern w:val="0"/>
                      <w:sz w:val="21"/>
                      <w:szCs w:val="21"/>
                      <w:highlight w:val="none"/>
                      <w:lang w:val="en-US" w:eastAsia="zh-CN" w:bidi="ar"/>
                    </w:rPr>
                    <w:t>三级隔油</w:t>
                  </w:r>
                  <w:r>
                    <w:rPr>
                      <w:rFonts w:hint="default" w:ascii="Times New Roman" w:hAnsi="Times New Roman" w:eastAsia="宋体" w:cs="Times New Roman"/>
                      <w:color w:val="auto"/>
                      <w:kern w:val="0"/>
                      <w:sz w:val="21"/>
                      <w:szCs w:val="21"/>
                      <w:highlight w:val="none"/>
                      <w:lang w:val="en-US" w:eastAsia="zh-CN" w:bidi="ar"/>
                    </w:rPr>
                    <w:t>池站旁设置</w:t>
                  </w:r>
                  <w:r>
                    <w:rPr>
                      <w:rFonts w:hint="eastAsia" w:ascii="Times New Roman" w:hAnsi="Times New Roman" w:eastAsia="宋体"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座</w:t>
                  </w:r>
                  <w:r>
                    <w:rPr>
                      <w:rFonts w:hint="eastAsia" w:ascii="Times New Roman" w:hAnsi="Times New Roman" w:eastAsia="宋体" w:cs="Times New Roman"/>
                      <w:color w:val="auto"/>
                      <w:kern w:val="0"/>
                      <w:sz w:val="21"/>
                      <w:szCs w:val="21"/>
                      <w:highlight w:val="none"/>
                      <w:lang w:val="en-US" w:eastAsia="zh-CN" w:bidi="ar"/>
                    </w:rPr>
                    <w:t>应急</w:t>
                  </w:r>
                  <w:r>
                    <w:rPr>
                      <w:rFonts w:hint="default" w:ascii="Times New Roman" w:hAnsi="Times New Roman" w:eastAsia="宋体" w:cs="Times New Roman"/>
                      <w:color w:val="auto"/>
                      <w:kern w:val="0"/>
                      <w:sz w:val="21"/>
                      <w:szCs w:val="21"/>
                      <w:highlight w:val="none"/>
                      <w:lang w:val="en-US" w:eastAsia="zh-CN" w:bidi="ar"/>
                    </w:rPr>
                    <w:t>事故池，</w:t>
                  </w:r>
                  <w:r>
                    <w:rPr>
                      <w:rFonts w:hint="eastAsia" w:ascii="Times New Roman" w:hAnsi="Times New Roman" w:eastAsia="宋体" w:cs="Times New Roman"/>
                      <w:color w:val="auto"/>
                      <w:kern w:val="0"/>
                      <w:sz w:val="21"/>
                      <w:szCs w:val="21"/>
                      <w:highlight w:val="none"/>
                      <w:lang w:val="en-US" w:eastAsia="zh-CN" w:bidi="ar"/>
                    </w:rPr>
                    <w:t>三级隔油</w:t>
                  </w:r>
                  <w:r>
                    <w:rPr>
                      <w:rFonts w:hint="default" w:ascii="Times New Roman" w:hAnsi="Times New Roman" w:eastAsia="宋体" w:cs="Times New Roman"/>
                      <w:color w:val="auto"/>
                      <w:kern w:val="0"/>
                      <w:sz w:val="21"/>
                      <w:szCs w:val="21"/>
                      <w:highlight w:val="none"/>
                      <w:lang w:val="en-US" w:eastAsia="zh-CN" w:bidi="ar"/>
                    </w:rPr>
                    <w:t>池</w:t>
                  </w:r>
                  <w:r>
                    <w:rPr>
                      <w:rFonts w:hint="eastAsia" w:ascii="Times New Roman" w:hAnsi="Times New Roman" w:eastAsia="宋体" w:cs="Times New Roman"/>
                      <w:color w:val="auto"/>
                      <w:kern w:val="0"/>
                      <w:sz w:val="21"/>
                      <w:szCs w:val="21"/>
                      <w:highlight w:val="none"/>
                      <w:lang w:val="en-US" w:eastAsia="zh-CN" w:bidi="ar"/>
                    </w:rPr>
                    <w:t>运行故障</w:t>
                  </w:r>
                  <w:r>
                    <w:rPr>
                      <w:rFonts w:hint="eastAsia" w:cs="Times New Roman"/>
                      <w:color w:val="auto"/>
                      <w:kern w:val="0"/>
                      <w:sz w:val="21"/>
                      <w:szCs w:val="21"/>
                      <w:highlight w:val="none"/>
                      <w:lang w:val="en-US" w:eastAsia="zh-CN" w:bidi="ar"/>
                    </w:rPr>
                    <w:t>或者污水站故障</w:t>
                  </w:r>
                  <w:r>
                    <w:rPr>
                      <w:rFonts w:hint="eastAsia"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lang w:val="en-US" w:eastAsia="zh-CN" w:bidi="ar"/>
                    </w:rPr>
                    <w:t>储罐</w:t>
                  </w:r>
                  <w:r>
                    <w:rPr>
                      <w:rFonts w:hint="eastAsia" w:ascii="Times New Roman" w:hAnsi="Times New Roman" w:eastAsia="宋体" w:cs="Times New Roman"/>
                      <w:color w:val="auto"/>
                      <w:sz w:val="21"/>
                      <w:szCs w:val="21"/>
                      <w:lang w:val="en-US" w:eastAsia="zh-CN"/>
                    </w:rPr>
                    <w:t>区泄漏物料和消防废水</w:t>
                  </w:r>
                  <w:r>
                    <w:rPr>
                      <w:rFonts w:hint="eastAsia" w:ascii="Times New Roman" w:hAnsi="Times New Roman" w:eastAsia="宋体" w:cs="Times New Roman"/>
                      <w:color w:val="auto"/>
                      <w:kern w:val="0"/>
                      <w:sz w:val="21"/>
                      <w:szCs w:val="21"/>
                      <w:highlight w:val="none"/>
                      <w:lang w:val="en-US" w:eastAsia="zh-CN" w:bidi="ar"/>
                    </w:rPr>
                    <w:t>可排入事故池内。</w:t>
                  </w:r>
                  <w:r>
                    <w:rPr>
                      <w:rFonts w:hint="default" w:ascii="Times New Roman" w:hAnsi="Times New Roman" w:cs="Times New Roman"/>
                      <w:color w:val="auto"/>
                      <w:sz w:val="21"/>
                      <w:szCs w:val="21"/>
                    </w:rPr>
                    <w:t>为防止消防废水等从雨水排口或清下水排口直接排出，在排水管网（包括雨水管网、污水管网）全部设置切断装置</w:t>
                  </w:r>
                  <w:r>
                    <w:rPr>
                      <w:rFonts w:hint="eastAsia" w:ascii="宋体" w:hAnsi="宋体" w:eastAsia="宋体" w:cs="宋体"/>
                      <w:color w:val="auto"/>
                      <w:kern w:val="0"/>
                      <w:sz w:val="21"/>
                      <w:szCs w:val="21"/>
                      <w:lang w:val="en-US" w:eastAsia="zh-CN" w:bidi="ar"/>
                    </w:rPr>
                    <w:t>，紧急状态下可关闭排水管网出水阀。</w:t>
                  </w:r>
                  <w:r>
                    <w:rPr>
                      <w:rFonts w:ascii="Times New Roman" w:hAnsi="Times New Roman"/>
                      <w:bCs/>
                      <w:color w:val="auto"/>
                      <w:spacing w:val="0"/>
                      <w:sz w:val="21"/>
                      <w:szCs w:val="21"/>
                    </w:rPr>
                    <w:t>因此项目内存在的地表水污染风险较小，不会漫流至地表水中，因此，项目地表水环境风险是可控的。</w:t>
                  </w:r>
                </w:p>
                <w:p w14:paraId="176786A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b/>
                      <w:bCs/>
                      <w:color w:val="auto"/>
                      <w:sz w:val="21"/>
                      <w:szCs w:val="21"/>
                    </w:rPr>
                  </w:pPr>
                  <w:r>
                    <w:rPr>
                      <w:rFonts w:ascii="Times New Roman" w:hAnsi="Times New Roman"/>
                      <w:b/>
                      <w:color w:val="auto"/>
                      <w:sz w:val="21"/>
                      <w:szCs w:val="21"/>
                    </w:rPr>
                    <w:t>3、地下水、土壤环境风险分析</w:t>
                  </w:r>
                </w:p>
                <w:p w14:paraId="37247B1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color w:val="auto"/>
                      <w:sz w:val="21"/>
                      <w:szCs w:val="21"/>
                    </w:rPr>
                  </w:pPr>
                  <w:r>
                    <w:rPr>
                      <w:rFonts w:ascii="Times New Roman" w:hAnsi="Times New Roman"/>
                      <w:bCs/>
                      <w:color w:val="auto"/>
                      <w:sz w:val="21"/>
                      <w:szCs w:val="21"/>
                    </w:rPr>
                    <w:t>项目柴油储罐、沥青储罐区设置围堰（高≥0.6m），</w:t>
                  </w:r>
                  <w:r>
                    <w:rPr>
                      <w:rFonts w:hint="eastAsia" w:cs="Times New Roman"/>
                      <w:color w:val="auto"/>
                      <w:sz w:val="21"/>
                      <w:szCs w:val="21"/>
                      <w:lang w:val="en-US" w:eastAsia="zh-CN"/>
                    </w:rPr>
                    <w:t>1#和2#</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，3#</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180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bidi="ar"/>
                    </w:rPr>
                    <w:t>柴油</w:t>
                  </w:r>
                  <w:r>
                    <w:rPr>
                      <w:rFonts w:hint="eastAsia" w:cs="Times New Roman"/>
                      <w:color w:val="auto"/>
                      <w:sz w:val="21"/>
                      <w:szCs w:val="21"/>
                      <w:lang w:val="en-US" w:eastAsia="zh-CN" w:bidi="ar"/>
                    </w:rPr>
                    <w:t>撬装加油站</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eastAsia" w:cs="Times New Roman"/>
                      <w:color w:val="auto"/>
                      <w:sz w:val="21"/>
                      <w:szCs w:val="21"/>
                      <w:lang w:val="en-US" w:eastAsia="zh-CN" w:bidi="ar"/>
                    </w:rPr>
                    <w:t>轻质柴油储罐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ascii="Times New Roman" w:hAnsi="Times New Roman"/>
                      <w:bCs/>
                      <w:color w:val="auto"/>
                      <w:sz w:val="21"/>
                      <w:szCs w:val="21"/>
                    </w:rPr>
                    <w:t>废矿物油采用密闭专用容器盛装后暂存至危废暂存间，将柴油储罐、沥青储罐区、危废暂存间设为重点防渗区：</w:t>
                  </w:r>
                  <w:r>
                    <w:rPr>
                      <w:rFonts w:hint="default" w:ascii="Times New Roman" w:hAnsi="Times New Roman" w:cs="Times New Roman"/>
                      <w:bCs/>
                      <w:color w:val="auto"/>
                      <w:sz w:val="21"/>
                      <w:szCs w:val="21"/>
                      <w:lang w:val="en-US" w:eastAsia="zh-CN"/>
                    </w:rPr>
                    <w:t>其中</w:t>
                  </w:r>
                  <w:r>
                    <w:rPr>
                      <w:rFonts w:hint="default" w:ascii="Times New Roman" w:hAnsi="Times New Roman" w:cs="Times New Roman"/>
                      <w:bCs/>
                      <w:color w:val="auto"/>
                      <w:sz w:val="21"/>
                      <w:szCs w:val="21"/>
                    </w:rPr>
                    <w:t>危废暂存间基础采取至少2mm厚的防渗人工材料，渗透系数应≤1×10</w:t>
                  </w:r>
                  <w:r>
                    <w:rPr>
                      <w:rFonts w:hint="default" w:ascii="Times New Roman" w:hAnsi="Times New Roman" w:cs="Times New Roman"/>
                      <w:bCs/>
                      <w:color w:val="auto"/>
                      <w:sz w:val="21"/>
                      <w:szCs w:val="21"/>
                      <w:vertAlign w:val="superscript"/>
                    </w:rPr>
                    <w:t>-10</w:t>
                  </w:r>
                  <w:r>
                    <w:rPr>
                      <w:rFonts w:hint="default" w:ascii="Times New Roman" w:hAnsi="Times New Roman" w:cs="Times New Roman"/>
                      <w:bCs/>
                      <w:color w:val="auto"/>
                      <w:sz w:val="21"/>
                      <w:szCs w:val="21"/>
                    </w:rPr>
                    <w:t>cm/s；沥青储罐和柴油储罐区</w:t>
                  </w:r>
                  <w:r>
                    <w:rPr>
                      <w:rFonts w:hint="default" w:ascii="Times New Roman" w:hAnsi="Times New Roman" w:cs="Times New Roman"/>
                      <w:color w:val="auto"/>
                      <w:sz w:val="21"/>
                      <w:szCs w:val="21"/>
                    </w:rPr>
                    <w:t>防渗层防渗要求为等效厚度≥6m，渗透系数≤1.0×10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ascii="Times New Roman" w:hAnsi="Times New Roman"/>
                      <w:bCs/>
                      <w:color w:val="auto"/>
                      <w:sz w:val="21"/>
                      <w:szCs w:val="21"/>
                    </w:rPr>
                    <w:t>。运营过程中在认真落实风险防范措施，采取按照操作规程操作，危废做好登记管理，加强巡查，禁止出现跑冒滴漏等措施后，对地下水、土壤环境风险是可控的。</w:t>
                  </w:r>
                </w:p>
              </w:tc>
            </w:tr>
            <w:tr w14:paraId="3E9A9E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06" w:type="pct"/>
                  <w:noWrap w:val="0"/>
                  <w:vAlign w:val="center"/>
                </w:tcPr>
                <w:p w14:paraId="376B1E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风险防范措施要求</w:t>
                  </w:r>
                </w:p>
              </w:tc>
              <w:tc>
                <w:tcPr>
                  <w:tcW w:w="3993" w:type="pct"/>
                  <w:gridSpan w:val="4"/>
                  <w:noWrap w:val="0"/>
                  <w:vAlign w:val="center"/>
                </w:tcPr>
                <w:p w14:paraId="6A734D4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b/>
                      <w:bCs/>
                      <w:color w:val="auto"/>
                      <w:sz w:val="21"/>
                      <w:szCs w:val="21"/>
                    </w:rPr>
                  </w:pPr>
                  <w:r>
                    <w:rPr>
                      <w:rFonts w:hint="eastAsia" w:ascii="宋体" w:hAnsi="宋体" w:cs="宋体"/>
                      <w:bCs/>
                      <w:color w:val="auto"/>
                      <w:sz w:val="21"/>
                      <w:szCs w:val="21"/>
                    </w:rPr>
                    <w:t>①</w:t>
                  </w:r>
                  <w:r>
                    <w:rPr>
                      <w:rFonts w:ascii="Times New Roman" w:hAnsi="Times New Roman"/>
                      <w:bCs/>
                      <w:color w:val="auto"/>
                      <w:sz w:val="21"/>
                      <w:szCs w:val="21"/>
                    </w:rPr>
                    <w:t>柴油储罐、沥青罐采用符合设计规范的储罐储存，严格按照操作规程进行操作，建立台账记录；废机油更换后采用专用密闭容器收集，暂存在危废暂存间；导热油由相关资质厂家更换后回收处置，禁止私自倾倒。</w:t>
                  </w:r>
                </w:p>
                <w:p w14:paraId="2934FFE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bCs/>
                      <w:color w:val="auto"/>
                      <w:sz w:val="21"/>
                      <w:szCs w:val="21"/>
                    </w:rPr>
                  </w:pPr>
                  <w:r>
                    <w:rPr>
                      <w:rFonts w:hint="eastAsia" w:ascii="宋体" w:hAnsi="宋体" w:cs="宋体"/>
                      <w:bCs/>
                      <w:color w:val="auto"/>
                      <w:sz w:val="21"/>
                      <w:szCs w:val="21"/>
                    </w:rPr>
                    <w:t>②</w:t>
                  </w:r>
                  <w:r>
                    <w:rPr>
                      <w:rFonts w:ascii="Times New Roman" w:hAnsi="Times New Roman"/>
                      <w:bCs/>
                      <w:color w:val="auto"/>
                      <w:sz w:val="21"/>
                      <w:szCs w:val="21"/>
                    </w:rPr>
                    <w:t>对操作人员进行有关的法律、法规、规章和安全知识、专业技术、职业卫生防护和应急救援知识的培训，并定期进行考核。</w:t>
                  </w:r>
                </w:p>
                <w:p w14:paraId="187807F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bCs/>
                      <w:color w:val="auto"/>
                      <w:sz w:val="21"/>
                      <w:szCs w:val="21"/>
                      <w:lang w:eastAsia="zh-CN"/>
                    </w:rPr>
                  </w:pPr>
                  <w:r>
                    <w:rPr>
                      <w:rFonts w:hint="eastAsia" w:ascii="宋体" w:hAnsi="宋体" w:cs="宋体"/>
                      <w:bCs/>
                      <w:color w:val="auto"/>
                      <w:sz w:val="21"/>
                      <w:szCs w:val="21"/>
                    </w:rPr>
                    <w:t>③</w:t>
                  </w:r>
                  <w:r>
                    <w:rPr>
                      <w:rFonts w:ascii="Times New Roman" w:hAnsi="Times New Roman"/>
                      <w:bCs/>
                      <w:color w:val="auto"/>
                      <w:sz w:val="21"/>
                      <w:szCs w:val="21"/>
                    </w:rPr>
                    <w:t>储罐区、危废暂存间等风险单元设置禁火标识牌等，严格禁火制度</w:t>
                  </w:r>
                  <w:r>
                    <w:rPr>
                      <w:rFonts w:hint="eastAsia"/>
                      <w:bCs/>
                      <w:color w:val="auto"/>
                      <w:sz w:val="21"/>
                      <w:szCs w:val="21"/>
                      <w:lang w:eastAsia="zh-CN"/>
                    </w:rPr>
                    <w:t>。</w:t>
                  </w:r>
                </w:p>
                <w:p w14:paraId="2CEC0DD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bCs/>
                      <w:color w:val="auto"/>
                      <w:sz w:val="21"/>
                      <w:szCs w:val="21"/>
                    </w:rPr>
                  </w:pPr>
                  <w:r>
                    <w:rPr>
                      <w:rFonts w:hint="eastAsia" w:ascii="宋体" w:hAnsi="宋体" w:cs="宋体"/>
                      <w:bCs/>
                      <w:color w:val="auto"/>
                      <w:sz w:val="21"/>
                      <w:szCs w:val="21"/>
                    </w:rPr>
                    <w:t>④</w:t>
                  </w:r>
                  <w:r>
                    <w:rPr>
                      <w:rFonts w:ascii="Times New Roman" w:hAnsi="Times New Roman"/>
                      <w:bCs/>
                      <w:color w:val="auto"/>
                      <w:sz w:val="21"/>
                      <w:szCs w:val="21"/>
                    </w:rPr>
                    <w:t>加强对各类风险物质使用的管理，加强安全检查，安排专人定期对柴油储罐、沥青储罐、危废暂存间、危废收集桶进行排查，出现跑冒滴漏等情况立即开展调查及处理。</w:t>
                  </w:r>
                </w:p>
                <w:p w14:paraId="5D4500A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bCs/>
                      <w:color w:val="auto"/>
                      <w:sz w:val="21"/>
                      <w:szCs w:val="21"/>
                    </w:rPr>
                  </w:pPr>
                  <w:r>
                    <w:rPr>
                      <w:rFonts w:hint="eastAsia" w:ascii="宋体" w:hAnsi="宋体" w:cs="宋体"/>
                      <w:bCs/>
                      <w:color w:val="auto"/>
                      <w:sz w:val="21"/>
                      <w:szCs w:val="21"/>
                      <w:lang w:val="en-US" w:eastAsia="zh-CN"/>
                    </w:rPr>
                    <w:t>⑤</w:t>
                  </w:r>
                  <w:r>
                    <w:rPr>
                      <w:rFonts w:ascii="Times New Roman" w:hAnsi="Times New Roman"/>
                      <w:bCs/>
                      <w:color w:val="auto"/>
                      <w:sz w:val="21"/>
                      <w:szCs w:val="21"/>
                    </w:rPr>
                    <w:t>柴油储罐区、沥青储罐区、危废暂存间按照重点防渗要求建设：</w:t>
                  </w:r>
                  <w:r>
                    <w:rPr>
                      <w:rFonts w:hint="default" w:ascii="Times New Roman" w:hAnsi="Times New Roman" w:cs="Times New Roman"/>
                      <w:bCs/>
                      <w:color w:val="auto"/>
                      <w:sz w:val="21"/>
                      <w:szCs w:val="21"/>
                      <w:lang w:val="en-US" w:eastAsia="zh-CN"/>
                    </w:rPr>
                    <w:t>其中</w:t>
                  </w:r>
                  <w:r>
                    <w:rPr>
                      <w:rFonts w:hint="default" w:ascii="Times New Roman" w:hAnsi="Times New Roman" w:cs="Times New Roman"/>
                      <w:bCs/>
                      <w:color w:val="auto"/>
                      <w:sz w:val="21"/>
                      <w:szCs w:val="21"/>
                    </w:rPr>
                    <w:t>危废暂存间基础采取至少2mm厚的防渗人工材料，渗透系数应≤1×10</w:t>
                  </w:r>
                  <w:r>
                    <w:rPr>
                      <w:rFonts w:hint="default" w:ascii="Times New Roman" w:hAnsi="Times New Roman" w:cs="Times New Roman"/>
                      <w:bCs/>
                      <w:color w:val="auto"/>
                      <w:sz w:val="21"/>
                      <w:szCs w:val="21"/>
                      <w:vertAlign w:val="superscript"/>
                    </w:rPr>
                    <w:t>-10</w:t>
                  </w:r>
                  <w:r>
                    <w:rPr>
                      <w:rFonts w:hint="default" w:ascii="Times New Roman" w:hAnsi="Times New Roman" w:cs="Times New Roman"/>
                      <w:bCs/>
                      <w:color w:val="auto"/>
                      <w:sz w:val="21"/>
                      <w:szCs w:val="21"/>
                    </w:rPr>
                    <w:t>cm/s；沥青储罐和柴油储罐区</w:t>
                  </w:r>
                  <w:r>
                    <w:rPr>
                      <w:rFonts w:hint="default" w:ascii="Times New Roman" w:hAnsi="Times New Roman" w:cs="Times New Roman"/>
                      <w:color w:val="auto"/>
                      <w:sz w:val="21"/>
                      <w:szCs w:val="21"/>
                    </w:rPr>
                    <w:t>防渗层防渗要求为等效厚度≥6m，渗透系数≤1.0×10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ascii="Times New Roman" w:hAnsi="Times New Roman"/>
                      <w:bCs/>
                      <w:color w:val="auto"/>
                      <w:sz w:val="21"/>
                      <w:szCs w:val="21"/>
                    </w:rPr>
                    <w:t>。</w:t>
                  </w:r>
                </w:p>
                <w:p w14:paraId="6A719E5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bCs/>
                      <w:color w:val="auto"/>
                      <w:sz w:val="21"/>
                      <w:szCs w:val="21"/>
                    </w:rPr>
                  </w:pPr>
                  <w:r>
                    <w:rPr>
                      <w:rFonts w:hint="eastAsia" w:ascii="宋体" w:hAnsi="宋体" w:cs="宋体"/>
                      <w:bCs/>
                      <w:color w:val="auto"/>
                      <w:sz w:val="21"/>
                      <w:szCs w:val="21"/>
                      <w:lang w:val="en-US" w:eastAsia="zh-CN"/>
                    </w:rPr>
                    <w:t>⑥</w:t>
                  </w:r>
                  <w:r>
                    <w:rPr>
                      <w:rFonts w:ascii="Times New Roman" w:hAnsi="Times New Roman"/>
                      <w:bCs/>
                      <w:color w:val="auto"/>
                      <w:sz w:val="21"/>
                      <w:szCs w:val="21"/>
                    </w:rPr>
                    <w:t>建立健全安全、环境管理体系及高效的安全生产机构，一旦发生事故，要做到快速、高效、安全处置。</w:t>
                  </w:r>
                </w:p>
                <w:p w14:paraId="6C90DD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⑦</w:t>
                  </w:r>
                  <w:r>
                    <w:rPr>
                      <w:rFonts w:hint="eastAsia"/>
                      <w:bCs/>
                      <w:color w:val="auto"/>
                      <w:spacing w:val="0"/>
                      <w:sz w:val="21"/>
                      <w:szCs w:val="21"/>
                      <w:lang w:val="en-US" w:eastAsia="zh-CN"/>
                    </w:rPr>
                    <w:t>燃烧器废气</w:t>
                  </w:r>
                  <w:r>
                    <w:rPr>
                      <w:rFonts w:hint="default" w:ascii="Times New Roman" w:hAnsi="Times New Roman" w:cs="Times New Roman"/>
                      <w:color w:val="auto"/>
                      <w:sz w:val="21"/>
                      <w:szCs w:val="21"/>
                    </w:rPr>
                    <w:t>管道沿线应专门安排人员定时巡视，并实施定期检测、修缮制度</w:t>
                  </w:r>
                  <w:r>
                    <w:rPr>
                      <w:rFonts w:hint="eastAsia" w:cs="Times New Roman"/>
                      <w:color w:val="auto"/>
                      <w:sz w:val="21"/>
                      <w:szCs w:val="21"/>
                      <w:lang w:eastAsia="zh-CN"/>
                    </w:rPr>
                    <w:t>，</w:t>
                  </w:r>
                  <w:r>
                    <w:rPr>
                      <w:rFonts w:hint="eastAsia" w:cs="Times New Roman"/>
                      <w:color w:val="auto"/>
                      <w:sz w:val="21"/>
                      <w:szCs w:val="21"/>
                      <w:lang w:val="en-US" w:eastAsia="zh-CN"/>
                    </w:rPr>
                    <w:t>防控二氧化硫及二氧化氮泄露造成大气污染</w:t>
                  </w:r>
                  <w:r>
                    <w:rPr>
                      <w:rFonts w:hint="default" w:ascii="Times New Roman" w:hAnsi="Times New Roman" w:cs="Times New Roman"/>
                      <w:color w:val="auto"/>
                      <w:sz w:val="21"/>
                      <w:szCs w:val="21"/>
                    </w:rPr>
                    <w:t>。</w:t>
                  </w:r>
                </w:p>
                <w:p w14:paraId="4F346DC3">
                  <w:pPr>
                    <w:autoSpaceDE w:val="0"/>
                    <w:autoSpaceDN w:val="0"/>
                    <w:snapToGrid w:val="0"/>
                    <w:spacing w:line="240" w:lineRule="auto"/>
                    <w:ind w:left="0" w:leftChars="0" w:firstLine="0" w:firstLineChars="0"/>
                    <w:rPr>
                      <w:rFonts w:ascii="Times New Roman" w:hAnsi="Times New Roman"/>
                      <w:color w:val="auto"/>
                      <w:sz w:val="21"/>
                      <w:szCs w:val="21"/>
                    </w:rPr>
                  </w:pPr>
                  <w:r>
                    <w:rPr>
                      <w:rFonts w:hint="eastAsia" w:ascii="宋体" w:hAnsi="宋体" w:cs="宋体"/>
                      <w:bCs/>
                      <w:color w:val="auto"/>
                      <w:sz w:val="21"/>
                      <w:szCs w:val="21"/>
                      <w:lang w:val="en-US" w:eastAsia="zh-CN"/>
                    </w:rPr>
                    <w:t>⑧</w:t>
                  </w:r>
                  <w:r>
                    <w:rPr>
                      <w:rFonts w:ascii="Times New Roman" w:hAnsi="Times New Roman"/>
                      <w:bCs/>
                      <w:color w:val="auto"/>
                      <w:sz w:val="21"/>
                      <w:szCs w:val="21"/>
                    </w:rPr>
                    <w:t>柴油储罐、沥青储罐设置围堰≥0.6m</w:t>
                  </w:r>
                  <w:r>
                    <w:rPr>
                      <w:rFonts w:hint="eastAsia"/>
                      <w:bCs/>
                      <w:color w:val="auto"/>
                      <w:sz w:val="21"/>
                      <w:szCs w:val="21"/>
                      <w:lang w:eastAsia="zh-CN"/>
                    </w:rPr>
                    <w:t>，</w:t>
                  </w:r>
                  <w:r>
                    <w:rPr>
                      <w:rFonts w:hint="eastAsia" w:cs="Times New Roman"/>
                      <w:color w:val="auto"/>
                      <w:sz w:val="21"/>
                      <w:szCs w:val="21"/>
                      <w:lang w:val="en-US" w:eastAsia="zh-CN"/>
                    </w:rPr>
                    <w:t>1#和2#</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，3#</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180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bidi="ar"/>
                    </w:rPr>
                    <w:t>柴油</w:t>
                  </w:r>
                  <w:r>
                    <w:rPr>
                      <w:rFonts w:hint="eastAsia" w:cs="Times New Roman"/>
                      <w:color w:val="auto"/>
                      <w:sz w:val="21"/>
                      <w:szCs w:val="21"/>
                      <w:lang w:val="en-US" w:eastAsia="zh-CN" w:bidi="ar"/>
                    </w:rPr>
                    <w:t>撬装加油站</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eastAsia" w:cs="Times New Roman"/>
                      <w:color w:val="auto"/>
                      <w:sz w:val="21"/>
                      <w:szCs w:val="21"/>
                      <w:lang w:val="en-US" w:eastAsia="zh-CN" w:bidi="ar"/>
                    </w:rPr>
                    <w:t>轻质柴油储罐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default" w:ascii="Times New Roman" w:hAnsi="Times New Roman" w:eastAsia="宋体" w:cs="Times New Roman"/>
                      <w:bCs/>
                      <w:color w:val="auto"/>
                      <w:sz w:val="21"/>
                      <w:szCs w:val="21"/>
                      <w:lang w:val="en-US" w:eastAsia="zh-CN"/>
                    </w:rPr>
                    <w:t>在</w:t>
                  </w:r>
                  <w:r>
                    <w:rPr>
                      <w:rFonts w:hint="eastAsia" w:ascii="Times New Roman" w:hAnsi="Times New Roman" w:eastAsia="宋体" w:cs="Times New Roman"/>
                      <w:bCs/>
                      <w:color w:val="auto"/>
                      <w:sz w:val="21"/>
                      <w:szCs w:val="21"/>
                      <w:lang w:val="en-US" w:eastAsia="zh-CN"/>
                    </w:rPr>
                    <w:t>三级隔油</w:t>
                  </w:r>
                  <w:r>
                    <w:rPr>
                      <w:rFonts w:hint="default" w:ascii="Times New Roman" w:hAnsi="Times New Roman" w:eastAsia="宋体" w:cs="Times New Roman"/>
                      <w:bCs/>
                      <w:color w:val="auto"/>
                      <w:sz w:val="21"/>
                      <w:szCs w:val="21"/>
                      <w:lang w:val="en-US" w:eastAsia="zh-CN"/>
                    </w:rPr>
                    <w:t>池站旁设置</w:t>
                  </w: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座</w:t>
                  </w:r>
                  <w:r>
                    <w:rPr>
                      <w:rFonts w:hint="eastAsia" w:ascii="Times New Roman" w:hAnsi="Times New Roman" w:eastAsia="宋体" w:cs="Times New Roman"/>
                      <w:bCs/>
                      <w:color w:val="auto"/>
                      <w:sz w:val="21"/>
                      <w:szCs w:val="21"/>
                      <w:lang w:val="en-US" w:eastAsia="zh-CN"/>
                    </w:rPr>
                    <w:t>应急</w:t>
                  </w:r>
                  <w:r>
                    <w:rPr>
                      <w:rFonts w:hint="default" w:ascii="Times New Roman" w:hAnsi="Times New Roman" w:eastAsia="宋体" w:cs="Times New Roman"/>
                      <w:bCs/>
                      <w:color w:val="auto"/>
                      <w:sz w:val="21"/>
                      <w:szCs w:val="21"/>
                      <w:lang w:val="en-US" w:eastAsia="zh-CN"/>
                    </w:rPr>
                    <w:t>事故池，</w:t>
                  </w:r>
                  <w:r>
                    <w:rPr>
                      <w:rFonts w:hint="eastAsia" w:ascii="Times New Roman" w:hAnsi="Times New Roman" w:eastAsia="宋体" w:cs="Times New Roman"/>
                      <w:bCs/>
                      <w:color w:val="auto"/>
                      <w:sz w:val="21"/>
                      <w:szCs w:val="21"/>
                      <w:lang w:val="en-US" w:eastAsia="zh-CN"/>
                    </w:rPr>
                    <w:t>三级隔油</w:t>
                  </w:r>
                  <w:r>
                    <w:rPr>
                      <w:rFonts w:hint="default" w:ascii="Times New Roman" w:hAnsi="Times New Roman" w:eastAsia="宋体" w:cs="Times New Roman"/>
                      <w:bCs/>
                      <w:color w:val="auto"/>
                      <w:sz w:val="21"/>
                      <w:szCs w:val="21"/>
                      <w:lang w:val="en-US" w:eastAsia="zh-CN"/>
                    </w:rPr>
                    <w:t>池</w:t>
                  </w:r>
                  <w:r>
                    <w:rPr>
                      <w:rFonts w:hint="eastAsia" w:ascii="Times New Roman" w:hAnsi="Times New Roman" w:eastAsia="宋体" w:cs="Times New Roman"/>
                      <w:bCs/>
                      <w:color w:val="auto"/>
                      <w:sz w:val="21"/>
                      <w:szCs w:val="21"/>
                      <w:lang w:val="en-US" w:eastAsia="zh-CN"/>
                    </w:rPr>
                    <w:t>运行故障、储罐区泄漏物料和消防废水可排入事故池内。</w:t>
                  </w:r>
                  <w:r>
                    <w:rPr>
                      <w:rFonts w:hint="default" w:ascii="Times New Roman" w:hAnsi="Times New Roman" w:eastAsia="宋体" w:cs="Times New Roman"/>
                      <w:bCs/>
                      <w:color w:val="auto"/>
                      <w:sz w:val="21"/>
                      <w:szCs w:val="21"/>
                    </w:rPr>
                    <w:t>为防止消防废水等从雨水排口或清下水排口直接排出，在排水管网（包括雨水管网、污水管网）全部设置切断装置</w:t>
                  </w:r>
                  <w:r>
                    <w:rPr>
                      <w:rFonts w:hint="eastAsia" w:ascii="Times New Roman" w:hAnsi="Times New Roman" w:eastAsia="宋体" w:cs="Times New Roman"/>
                      <w:bCs/>
                      <w:color w:val="auto"/>
                      <w:sz w:val="21"/>
                      <w:szCs w:val="21"/>
                      <w:lang w:val="en-US" w:eastAsia="zh-CN"/>
                    </w:rPr>
                    <w:t>，紧急状态下可关闭排水管网出水阀，不会经雨污水管道溢流至厂外。</w:t>
                  </w:r>
                </w:p>
              </w:tc>
            </w:tr>
            <w:tr w14:paraId="470710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14:paraId="0719D44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olor w:val="auto"/>
                      <w:sz w:val="21"/>
                      <w:szCs w:val="21"/>
                    </w:rPr>
                  </w:pPr>
                  <w:r>
                    <w:rPr>
                      <w:rFonts w:ascii="Times New Roman" w:hAnsi="Times New Roman"/>
                      <w:color w:val="auto"/>
                      <w:sz w:val="21"/>
                      <w:szCs w:val="21"/>
                    </w:rPr>
                    <w:t>填表说明（列出项目相关信息及评价说明）：</w:t>
                  </w:r>
                </w:p>
                <w:p w14:paraId="746497E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olor w:val="auto"/>
                      <w:sz w:val="21"/>
                      <w:szCs w:val="21"/>
                    </w:rPr>
                  </w:pPr>
                  <w:r>
                    <w:rPr>
                      <w:rFonts w:ascii="Times New Roman" w:hAnsi="Times New Roman"/>
                      <w:color w:val="auto"/>
                      <w:sz w:val="21"/>
                      <w:szCs w:val="21"/>
                    </w:rPr>
                    <w:t>项目Q值小于1，故环境风险潜势为</w:t>
                  </w:r>
                  <w:r>
                    <w:rPr>
                      <w:rFonts w:hint="eastAsia" w:ascii="宋体" w:hAnsi="宋体" w:cs="宋体"/>
                      <w:color w:val="auto"/>
                      <w:sz w:val="21"/>
                      <w:szCs w:val="21"/>
                    </w:rPr>
                    <w:t>Ⅰ</w:t>
                  </w:r>
                  <w:r>
                    <w:rPr>
                      <w:rFonts w:ascii="Times New Roman" w:hAnsi="Times New Roman"/>
                      <w:color w:val="auto"/>
                      <w:sz w:val="21"/>
                      <w:szCs w:val="21"/>
                    </w:rPr>
                    <w:t>，只进行简单分析。</w:t>
                  </w:r>
                </w:p>
              </w:tc>
            </w:tr>
          </w:tbl>
          <w:p w14:paraId="71E7D312">
            <w:pPr>
              <w:pStyle w:val="5"/>
              <w:jc w:val="both"/>
              <w:rPr>
                <w:rFonts w:hint="eastAsia"/>
                <w:color w:val="auto"/>
                <w:highlight w:val="none"/>
                <w:vertAlign w:val="baseline"/>
              </w:rPr>
            </w:pPr>
          </w:p>
        </w:tc>
      </w:tr>
    </w:tbl>
    <w:p w14:paraId="626580E0">
      <w:pPr>
        <w:rPr>
          <w:rFonts w:hint="eastAsia"/>
          <w:color w:val="auto"/>
          <w:highlight w:val="none"/>
        </w:rPr>
      </w:pPr>
      <w:r>
        <w:rPr>
          <w:rFonts w:hint="eastAsia"/>
          <w:color w:val="auto"/>
          <w:highlight w:val="none"/>
        </w:rPr>
        <w:br w:type="page"/>
      </w:r>
    </w:p>
    <w:p w14:paraId="57BF44FE">
      <w:pPr>
        <w:pStyle w:val="5"/>
        <w:jc w:val="both"/>
        <w:rPr>
          <w:color w:val="auto"/>
          <w:highlight w:val="none"/>
        </w:rPr>
      </w:pPr>
      <w:r>
        <w:rPr>
          <w:rFonts w:hint="eastAsia"/>
          <w:color w:val="auto"/>
          <w:highlight w:val="none"/>
        </w:rPr>
        <w:t>五、环境保护措施监督检查清单</w:t>
      </w:r>
      <w:bookmarkEnd w:id="6"/>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504"/>
        <w:gridCol w:w="828"/>
        <w:gridCol w:w="3559"/>
        <w:gridCol w:w="1949"/>
      </w:tblGrid>
      <w:tr w14:paraId="692EF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tcBorders>
              <w:tl2br w:val="single" w:color="auto" w:sz="4" w:space="0"/>
            </w:tcBorders>
            <w:noWrap w:val="0"/>
            <w:vAlign w:val="center"/>
          </w:tcPr>
          <w:p w14:paraId="6ABEB5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内容</w:t>
            </w:r>
          </w:p>
          <w:p w14:paraId="6A0506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要素</w:t>
            </w:r>
          </w:p>
        </w:tc>
        <w:tc>
          <w:tcPr>
            <w:tcW w:w="883" w:type="pct"/>
            <w:noWrap w:val="0"/>
            <w:vAlign w:val="center"/>
          </w:tcPr>
          <w:p w14:paraId="547522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排放口(编号、</w:t>
            </w:r>
          </w:p>
          <w:p w14:paraId="39DB77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名称)/污染源</w:t>
            </w:r>
          </w:p>
        </w:tc>
        <w:tc>
          <w:tcPr>
            <w:tcW w:w="486" w:type="pct"/>
            <w:noWrap w:val="0"/>
            <w:vAlign w:val="center"/>
          </w:tcPr>
          <w:p w14:paraId="01F726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污染物项目</w:t>
            </w:r>
          </w:p>
        </w:tc>
        <w:tc>
          <w:tcPr>
            <w:tcW w:w="2089" w:type="pct"/>
            <w:noWrap w:val="0"/>
            <w:vAlign w:val="center"/>
          </w:tcPr>
          <w:p w14:paraId="323651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环境保护措施</w:t>
            </w:r>
          </w:p>
        </w:tc>
        <w:tc>
          <w:tcPr>
            <w:tcW w:w="1143" w:type="pct"/>
            <w:noWrap w:val="0"/>
            <w:vAlign w:val="center"/>
          </w:tcPr>
          <w:p w14:paraId="181D0A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执行标准</w:t>
            </w:r>
          </w:p>
        </w:tc>
      </w:tr>
      <w:tr w14:paraId="59191D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97" w:type="pct"/>
            <w:vMerge w:val="restart"/>
            <w:noWrap w:val="0"/>
            <w:vAlign w:val="center"/>
          </w:tcPr>
          <w:p w14:paraId="773C12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大气环境</w:t>
            </w:r>
          </w:p>
        </w:tc>
        <w:tc>
          <w:tcPr>
            <w:tcW w:w="883" w:type="pct"/>
            <w:noWrap w:val="0"/>
            <w:vAlign w:val="center"/>
          </w:tcPr>
          <w:p w14:paraId="4EA1E5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eastAsia"/>
                <w:color w:val="auto"/>
                <w:kern w:val="0"/>
                <w:sz w:val="21"/>
                <w:szCs w:val="21"/>
                <w:lang w:val="en-US" w:eastAsia="zh-CN"/>
              </w:rPr>
              <w:t>1#生产线上料粉尘</w:t>
            </w:r>
            <w:r>
              <w:rPr>
                <w:rFonts w:ascii="Times New Roman" w:hAnsi="Times New Roman"/>
                <w:color w:val="auto"/>
                <w:sz w:val="21"/>
                <w:szCs w:val="21"/>
              </w:rPr>
              <w:t>排气筒DA001</w:t>
            </w:r>
          </w:p>
        </w:tc>
        <w:tc>
          <w:tcPr>
            <w:tcW w:w="486" w:type="pct"/>
            <w:noWrap w:val="0"/>
            <w:vAlign w:val="center"/>
          </w:tcPr>
          <w:p w14:paraId="63E482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粉尘</w:t>
            </w:r>
          </w:p>
        </w:tc>
        <w:tc>
          <w:tcPr>
            <w:tcW w:w="2089" w:type="pct"/>
            <w:noWrap w:val="0"/>
            <w:vAlign w:val="center"/>
          </w:tcPr>
          <w:p w14:paraId="3EA26415">
            <w:pPr>
              <w:snapToGrid w:val="0"/>
              <w:spacing w:line="240" w:lineRule="auto"/>
              <w:ind w:left="0" w:leftChars="0" w:firstLine="0" w:firstLineChars="0"/>
              <w:jc w:val="center"/>
              <w:rPr>
                <w:rFonts w:ascii="Times New Roman" w:hAnsi="Times New Roman"/>
                <w:color w:val="auto"/>
                <w:sz w:val="21"/>
                <w:szCs w:val="21"/>
              </w:rPr>
            </w:pPr>
            <w:r>
              <w:rPr>
                <w:rFonts w:hint="eastAsia" w:ascii="Times New Roman" w:hAnsi="Times New Roman"/>
                <w:bCs/>
                <w:color w:val="auto"/>
                <w:sz w:val="21"/>
                <w:szCs w:val="21"/>
                <w:lang w:val="en-US" w:eastAsia="zh-CN"/>
              </w:rPr>
              <w:t>上料</w:t>
            </w:r>
            <w:r>
              <w:rPr>
                <w:rFonts w:hint="eastAsia" w:ascii="Times New Roman" w:hAnsi="Times New Roman" w:eastAsia="宋体" w:cs="Times New Roman"/>
                <w:bCs/>
                <w:color w:val="auto"/>
                <w:sz w:val="21"/>
                <w:szCs w:val="21"/>
              </w:rPr>
              <w:t>废气</w:t>
            </w:r>
            <w:r>
              <w:rPr>
                <w:rFonts w:hint="eastAsia" w:ascii="Times New Roman" w:hAnsi="Times New Roman" w:eastAsia="宋体" w:cs="Times New Roman"/>
                <w:bCs/>
                <w:color w:val="auto"/>
                <w:sz w:val="21"/>
                <w:szCs w:val="21"/>
                <w:lang w:val="en-US" w:eastAsia="zh-CN"/>
              </w:rPr>
              <w:t>经</w:t>
            </w:r>
            <w:r>
              <w:rPr>
                <w:rFonts w:hint="eastAsia" w:cs="Times New Roman"/>
                <w:bCs/>
                <w:color w:val="auto"/>
                <w:sz w:val="21"/>
                <w:szCs w:val="21"/>
                <w:lang w:val="en-US" w:eastAsia="zh-CN"/>
              </w:rPr>
              <w:t>1个</w:t>
            </w:r>
            <w:r>
              <w:rPr>
                <w:rFonts w:hint="eastAsia" w:ascii="Times New Roman" w:hAnsi="Times New Roman" w:eastAsia="宋体" w:cs="Times New Roman"/>
                <w:bCs/>
                <w:color w:val="auto"/>
                <w:sz w:val="21"/>
                <w:szCs w:val="21"/>
                <w:lang w:val="en-US" w:eastAsia="zh-CN"/>
              </w:rPr>
              <w:t>集气</w:t>
            </w:r>
            <w:r>
              <w:rPr>
                <w:rFonts w:hint="eastAsia"/>
                <w:bCs/>
                <w:color w:val="auto"/>
                <w:sz w:val="21"/>
                <w:szCs w:val="21"/>
                <w:lang w:val="en-US" w:eastAsia="zh-CN"/>
              </w:rPr>
              <w:t>罩</w:t>
            </w:r>
            <w:r>
              <w:rPr>
                <w:rFonts w:hint="eastAsia" w:ascii="Times New Roman" w:hAnsi="Times New Roman" w:eastAsia="宋体" w:cs="Times New Roman"/>
                <w:bCs/>
                <w:color w:val="auto"/>
                <w:sz w:val="21"/>
                <w:szCs w:val="21"/>
                <w:lang w:val="en-US" w:eastAsia="zh-CN"/>
              </w:rPr>
              <w:t>（收集效率90%）</w:t>
            </w:r>
            <w:r>
              <w:rPr>
                <w:rFonts w:hint="eastAsia" w:ascii="Times New Roman" w:hAnsi="Times New Roman"/>
                <w:bCs/>
                <w:color w:val="auto"/>
                <w:sz w:val="21"/>
                <w:szCs w:val="21"/>
              </w:rPr>
              <w:t>收集后统一进入“</w:t>
            </w:r>
            <w:r>
              <w:rPr>
                <w:rFonts w:hint="eastAsia" w:ascii="Times New Roman" w:hAnsi="Times New Roman"/>
                <w:bCs/>
                <w:color w:val="auto"/>
                <w:sz w:val="21"/>
                <w:szCs w:val="21"/>
                <w:lang w:val="en-US" w:eastAsia="zh-CN"/>
              </w:rPr>
              <w:t>袋式</w:t>
            </w:r>
            <w:r>
              <w:rPr>
                <w:rFonts w:hint="eastAsia" w:ascii="Times New Roman" w:hAnsi="Times New Roman"/>
                <w:bCs/>
                <w:color w:val="auto"/>
                <w:sz w:val="21"/>
                <w:szCs w:val="21"/>
              </w:rPr>
              <w:t>除尘器（</w:t>
            </w:r>
            <w:r>
              <w:rPr>
                <w:rFonts w:hint="eastAsia"/>
                <w:bCs/>
                <w:color w:val="auto"/>
                <w:sz w:val="21"/>
                <w:szCs w:val="21"/>
                <w:lang w:val="en-US" w:eastAsia="zh-CN"/>
              </w:rPr>
              <w:t>处理</w:t>
            </w:r>
            <w:r>
              <w:rPr>
                <w:rFonts w:hint="eastAsia" w:ascii="Times New Roman" w:hAnsi="Times New Roman"/>
                <w:bCs/>
                <w:color w:val="auto"/>
                <w:sz w:val="21"/>
                <w:szCs w:val="21"/>
              </w:rPr>
              <w:t>效率99%）”处理，最终通过1根</w:t>
            </w:r>
            <w:r>
              <w:rPr>
                <w:rFonts w:hint="eastAsia" w:ascii="Times New Roman" w:hAnsi="Times New Roman"/>
                <w:bCs/>
                <w:color w:val="auto"/>
                <w:sz w:val="21"/>
                <w:szCs w:val="21"/>
                <w:lang w:val="en-US" w:eastAsia="zh-CN"/>
              </w:rPr>
              <w:t>15</w:t>
            </w:r>
            <w:r>
              <w:rPr>
                <w:rFonts w:hint="eastAsia" w:ascii="Times New Roman" w:hAnsi="Times New Roman"/>
                <w:bCs/>
                <w:color w:val="auto"/>
                <w:sz w:val="21"/>
                <w:szCs w:val="21"/>
              </w:rPr>
              <w:t>m高的排气筒（DA00</w:t>
            </w:r>
            <w:r>
              <w:rPr>
                <w:rFonts w:hint="eastAsia" w:ascii="Times New Roman" w:hAnsi="Times New Roman"/>
                <w:bCs/>
                <w:color w:val="auto"/>
                <w:sz w:val="21"/>
                <w:szCs w:val="21"/>
                <w:lang w:val="en-US" w:eastAsia="zh-CN"/>
              </w:rPr>
              <w:t>1</w:t>
            </w:r>
            <w:r>
              <w:rPr>
                <w:rFonts w:hint="eastAsia" w:ascii="Times New Roman" w:hAnsi="Times New Roman"/>
                <w:bCs/>
                <w:color w:val="auto"/>
                <w:sz w:val="21"/>
                <w:szCs w:val="21"/>
              </w:rPr>
              <w:t>）外排，系统总引风量</w:t>
            </w:r>
            <w:r>
              <w:rPr>
                <w:rFonts w:hint="eastAsia"/>
                <w:bCs/>
                <w:color w:val="auto"/>
                <w:sz w:val="21"/>
                <w:szCs w:val="21"/>
                <w:lang w:val="en-US" w:eastAsia="zh-CN"/>
              </w:rPr>
              <w:t>2</w:t>
            </w:r>
            <w:r>
              <w:rPr>
                <w:rFonts w:hint="eastAsia" w:ascii="Times New Roman" w:hAnsi="Times New Roman"/>
                <w:bCs/>
                <w:color w:val="auto"/>
                <w:sz w:val="21"/>
                <w:szCs w:val="21"/>
                <w:lang w:val="en-US" w:eastAsia="zh-CN"/>
              </w:rPr>
              <w:t>0</w:t>
            </w:r>
            <w:r>
              <w:rPr>
                <w:rFonts w:hint="eastAsia" w:ascii="Times New Roman" w:hAnsi="Times New Roman"/>
                <w:bCs/>
                <w:color w:val="auto"/>
                <w:sz w:val="21"/>
                <w:szCs w:val="21"/>
              </w:rPr>
              <w:t>000m</w:t>
            </w:r>
            <w:r>
              <w:rPr>
                <w:rFonts w:hint="eastAsia" w:ascii="Times New Roman" w:hAnsi="Times New Roman"/>
                <w:bCs/>
                <w:color w:val="auto"/>
                <w:sz w:val="21"/>
                <w:szCs w:val="21"/>
                <w:vertAlign w:val="superscript"/>
              </w:rPr>
              <w:t>3</w:t>
            </w:r>
            <w:r>
              <w:rPr>
                <w:rFonts w:hint="eastAsia" w:ascii="Times New Roman" w:hAnsi="Times New Roman"/>
                <w:bCs/>
                <w:color w:val="auto"/>
                <w:sz w:val="21"/>
                <w:szCs w:val="21"/>
              </w:rPr>
              <w:t>/h。</w:t>
            </w:r>
          </w:p>
        </w:tc>
        <w:tc>
          <w:tcPr>
            <w:tcW w:w="1143" w:type="pct"/>
            <w:noWrap w:val="0"/>
            <w:vAlign w:val="center"/>
          </w:tcPr>
          <w:p w14:paraId="0B6DF4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《大气污染物综合排放标准》（GB16297-1996）表2二级标准</w:t>
            </w:r>
          </w:p>
        </w:tc>
      </w:tr>
      <w:tr w14:paraId="453D4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397" w:type="pct"/>
            <w:vMerge w:val="continue"/>
            <w:noWrap w:val="0"/>
            <w:vAlign w:val="center"/>
          </w:tcPr>
          <w:p w14:paraId="3136A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883" w:type="pct"/>
            <w:noWrap w:val="0"/>
            <w:vAlign w:val="center"/>
          </w:tcPr>
          <w:p w14:paraId="61C001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eastAsia"/>
                <w:color w:val="auto"/>
                <w:kern w:val="0"/>
                <w:sz w:val="21"/>
                <w:szCs w:val="21"/>
                <w:lang w:val="en-US" w:eastAsia="zh-CN"/>
              </w:rPr>
              <w:t>1#生产线</w:t>
            </w:r>
            <w:r>
              <w:rPr>
                <w:rFonts w:hint="default" w:ascii="Times New Roman" w:hAnsi="Times New Roman" w:cs="Times New Roman"/>
                <w:color w:val="auto"/>
                <w:sz w:val="21"/>
                <w:szCs w:val="21"/>
                <w:lang w:bidi="ar"/>
              </w:rPr>
              <w:t>烘干滚筒</w:t>
            </w:r>
            <w:r>
              <w:rPr>
                <w:rFonts w:hint="eastAsia" w:cs="Times New Roman"/>
                <w:color w:val="auto"/>
                <w:sz w:val="21"/>
                <w:szCs w:val="21"/>
                <w:lang w:eastAsia="zh-CN" w:bidi="ar"/>
              </w:rPr>
              <w:t>、</w:t>
            </w:r>
            <w:r>
              <w:rPr>
                <w:rFonts w:hint="eastAsia" w:cs="Times New Roman"/>
                <w:color w:val="auto"/>
                <w:sz w:val="21"/>
                <w:szCs w:val="21"/>
                <w:lang w:val="en-US" w:eastAsia="zh-CN" w:bidi="ar"/>
              </w:rPr>
              <w:t>筛分过程、热骨料仓粉尘、</w:t>
            </w:r>
            <w:r>
              <w:rPr>
                <w:rFonts w:hint="default" w:ascii="Times New Roman" w:hAnsi="Times New Roman" w:cs="Times New Roman"/>
                <w:color w:val="auto"/>
                <w:sz w:val="21"/>
                <w:szCs w:val="21"/>
                <w:lang w:bidi="ar"/>
              </w:rPr>
              <w:t>燃烧器</w:t>
            </w:r>
            <w:r>
              <w:rPr>
                <w:rFonts w:hint="eastAsia" w:cs="Times New Roman"/>
                <w:color w:val="auto"/>
                <w:sz w:val="21"/>
                <w:szCs w:val="21"/>
                <w:lang w:eastAsia="zh-CN" w:bidi="ar"/>
              </w:rPr>
              <w:t>、</w:t>
            </w:r>
            <w:r>
              <w:rPr>
                <w:rFonts w:ascii="Times New Roman" w:hAnsi="Times New Roman"/>
                <w:bCs/>
                <w:color w:val="auto"/>
                <w:sz w:val="21"/>
                <w:szCs w:val="21"/>
              </w:rPr>
              <w:t>沥青罐</w:t>
            </w:r>
            <w:r>
              <w:rPr>
                <w:rFonts w:hint="eastAsia"/>
                <w:bCs/>
                <w:color w:val="auto"/>
                <w:sz w:val="21"/>
                <w:szCs w:val="21"/>
                <w:lang w:val="en-US" w:eastAsia="zh-CN"/>
              </w:rPr>
              <w:t>加热</w:t>
            </w:r>
            <w:r>
              <w:rPr>
                <w:rFonts w:ascii="Times New Roman" w:hAnsi="Times New Roman"/>
                <w:bCs/>
                <w:color w:val="auto"/>
                <w:sz w:val="21"/>
                <w:szCs w:val="21"/>
              </w:rPr>
              <w:t>、搅拌机、成品仓</w:t>
            </w:r>
            <w:r>
              <w:rPr>
                <w:rFonts w:hint="eastAsia" w:ascii="Times New Roman" w:hAnsi="Times New Roman"/>
                <w:bCs/>
                <w:color w:val="auto"/>
                <w:sz w:val="21"/>
                <w:szCs w:val="21"/>
                <w:lang w:val="en-US" w:eastAsia="zh-CN"/>
              </w:rPr>
              <w:t>沥青</w:t>
            </w:r>
            <w:r>
              <w:rPr>
                <w:rFonts w:hint="default" w:ascii="Times New Roman" w:hAnsi="Times New Roman" w:cs="Times New Roman"/>
                <w:color w:val="auto"/>
                <w:sz w:val="21"/>
                <w:szCs w:val="21"/>
                <w:lang w:bidi="ar"/>
              </w:rPr>
              <w:t>烟气</w:t>
            </w:r>
            <w:r>
              <w:rPr>
                <w:rFonts w:ascii="Times New Roman" w:hAnsi="Times New Roman"/>
                <w:color w:val="auto"/>
                <w:sz w:val="21"/>
                <w:szCs w:val="21"/>
              </w:rPr>
              <w:t>排气筒DA002</w:t>
            </w:r>
          </w:p>
        </w:tc>
        <w:tc>
          <w:tcPr>
            <w:tcW w:w="486" w:type="pct"/>
            <w:noWrap w:val="0"/>
            <w:vAlign w:val="center"/>
          </w:tcPr>
          <w:p w14:paraId="2C717B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SO</w:t>
            </w:r>
            <w:r>
              <w:rPr>
                <w:rFonts w:ascii="Times New Roman" w:hAnsi="Times New Roman"/>
                <w:bCs/>
                <w:color w:val="auto"/>
                <w:sz w:val="21"/>
                <w:szCs w:val="21"/>
                <w:vertAlign w:val="subscript"/>
              </w:rPr>
              <w:t>2</w:t>
            </w:r>
            <w:r>
              <w:rPr>
                <w:rFonts w:ascii="Times New Roman" w:hAnsi="Times New Roman"/>
                <w:bCs/>
                <w:color w:val="auto"/>
                <w:sz w:val="21"/>
                <w:szCs w:val="21"/>
              </w:rPr>
              <w:t>、NO</w:t>
            </w:r>
            <w:r>
              <w:rPr>
                <w:rFonts w:ascii="Times New Roman" w:hAnsi="Times New Roman"/>
                <w:bCs/>
                <w:color w:val="auto"/>
                <w:sz w:val="21"/>
                <w:szCs w:val="21"/>
                <w:vertAlign w:val="subscript"/>
              </w:rPr>
              <w:t>X</w:t>
            </w:r>
            <w:r>
              <w:rPr>
                <w:rFonts w:ascii="Times New Roman" w:hAnsi="Times New Roman"/>
                <w:color w:val="auto"/>
                <w:sz w:val="21"/>
                <w:szCs w:val="21"/>
              </w:rPr>
              <w:t>、颗粒物</w:t>
            </w:r>
            <w:r>
              <w:rPr>
                <w:rFonts w:hint="eastAsia"/>
                <w:color w:val="auto"/>
                <w:sz w:val="21"/>
                <w:szCs w:val="21"/>
                <w:lang w:eastAsia="zh-CN"/>
              </w:rPr>
              <w:t>、</w:t>
            </w:r>
            <w:r>
              <w:rPr>
                <w:rFonts w:ascii="Times New Roman" w:hAnsi="Times New Roman"/>
                <w:bCs/>
                <w:color w:val="auto"/>
                <w:sz w:val="21"/>
                <w:szCs w:val="21"/>
              </w:rPr>
              <w:t>沥青烟、苯并[a]芘</w:t>
            </w:r>
          </w:p>
        </w:tc>
        <w:tc>
          <w:tcPr>
            <w:tcW w:w="2089" w:type="pct"/>
            <w:noWrap w:val="0"/>
            <w:vAlign w:val="center"/>
          </w:tcPr>
          <w:p w14:paraId="56A103BE">
            <w:pPr>
              <w:snapToGrid w:val="0"/>
              <w:spacing w:line="240" w:lineRule="auto"/>
              <w:ind w:left="0" w:leftChars="0" w:firstLine="0" w:firstLineChars="0"/>
              <w:rPr>
                <w:rFonts w:hint="eastAsia" w:ascii="Times New Roman" w:hAnsi="Times New Roman" w:eastAsia="宋体"/>
                <w:bCs/>
                <w:color w:val="auto"/>
                <w:sz w:val="21"/>
                <w:szCs w:val="21"/>
                <w:lang w:eastAsia="zh-CN"/>
              </w:rPr>
            </w:pPr>
            <w:r>
              <w:rPr>
                <w:rFonts w:hint="eastAsia" w:ascii="Times New Roman" w:hAnsi="Times New Roman" w:eastAsia="宋体" w:cs="Times New Roman"/>
                <w:bCs/>
                <w:color w:val="auto"/>
                <w:kern w:val="2"/>
                <w:sz w:val="21"/>
                <w:szCs w:val="21"/>
                <w:lang w:val="en-US" w:eastAsia="zh-CN" w:bidi="ar-SA"/>
              </w:rPr>
              <w:t>烘干滚筒、筛分过程、</w:t>
            </w:r>
            <w:r>
              <w:rPr>
                <w:rFonts w:hint="eastAsia" w:ascii="Times New Roman" w:hAnsi="Times New Roman" w:eastAsia="宋体" w:cs="Times New Roman"/>
                <w:bCs/>
                <w:color w:val="auto"/>
                <w:sz w:val="21"/>
                <w:szCs w:val="21"/>
                <w:lang w:val="en-US" w:eastAsia="zh-CN"/>
              </w:rPr>
              <w:t>热骨料仓粉尘</w:t>
            </w:r>
            <w:r>
              <w:rPr>
                <w:rFonts w:hint="eastAsia" w:ascii="Times New Roman" w:hAnsi="Times New Roman" w:eastAsia="宋体" w:cs="Times New Roman"/>
                <w:bCs/>
                <w:color w:val="auto"/>
                <w:kern w:val="2"/>
                <w:sz w:val="21"/>
                <w:szCs w:val="21"/>
                <w:lang w:val="en-US" w:eastAsia="zh-CN" w:bidi="ar-SA"/>
              </w:rPr>
              <w:t>、燃烧器废气由1个集气罩（收集效率100%）收集后和</w:t>
            </w:r>
            <w:r>
              <w:rPr>
                <w:rFonts w:hint="eastAsia" w:ascii="Times New Roman" w:hAnsi="Times New Roman" w:eastAsia="宋体" w:cs="Times New Roman"/>
                <w:bCs/>
                <w:color w:val="auto"/>
                <w:sz w:val="21"/>
                <w:szCs w:val="21"/>
                <w:lang w:eastAsia="zh-CN"/>
              </w:rPr>
              <w:t>沥青罐、搅拌机及成品仓废气</w:t>
            </w:r>
            <w:r>
              <w:rPr>
                <w:rFonts w:ascii="Times New Roman" w:hAnsi="Times New Roman" w:eastAsia="宋体" w:cs="Times New Roman"/>
                <w:bCs/>
                <w:color w:val="auto"/>
                <w:sz w:val="21"/>
                <w:szCs w:val="21"/>
              </w:rPr>
              <w:t>（</w:t>
            </w:r>
            <w:r>
              <w:rPr>
                <w:rFonts w:hint="eastAsia" w:ascii="Times New Roman" w:hAnsi="Times New Roman" w:eastAsia="宋体" w:cs="Times New Roman"/>
                <w:bCs/>
                <w:color w:val="auto"/>
                <w:kern w:val="2"/>
                <w:sz w:val="21"/>
                <w:szCs w:val="21"/>
                <w:lang w:val="en-US" w:eastAsia="zh-CN" w:bidi="ar-SA"/>
              </w:rPr>
              <w:t>收集效率99%</w:t>
            </w:r>
            <w:r>
              <w:rPr>
                <w:rFonts w:ascii="Times New Roman" w:hAnsi="Times New Roman" w:eastAsia="宋体" w:cs="Times New Roman"/>
                <w:bCs/>
                <w:color w:val="auto"/>
                <w:sz w:val="21"/>
                <w:szCs w:val="21"/>
              </w:rPr>
              <w:t>）收集后</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总</w:t>
            </w:r>
            <w:r>
              <w:rPr>
                <w:rFonts w:hint="eastAsia" w:ascii="Times New Roman" w:hAnsi="Times New Roman" w:eastAsia="宋体" w:cs="Times New Roman"/>
                <w:bCs/>
                <w:color w:val="auto"/>
                <w:kern w:val="2"/>
                <w:sz w:val="21"/>
                <w:szCs w:val="21"/>
                <w:lang w:val="en-US" w:eastAsia="zh-CN" w:bidi="ar-SA"/>
              </w:rPr>
              <w:t>引风机风量30000</w:t>
            </w:r>
            <w:r>
              <w:rPr>
                <w:rFonts w:hint="default" w:ascii="Times New Roman" w:hAnsi="Times New Roman" w:eastAsia="宋体" w:cs="Times New Roman"/>
                <w:bCs/>
                <w:color w:val="auto"/>
                <w:kern w:val="2"/>
                <w:sz w:val="21"/>
                <w:szCs w:val="21"/>
                <w:lang w:val="en-US" w:eastAsia="zh-CN" w:bidi="ar-SA"/>
              </w:rPr>
              <w:t>m</w:t>
            </w:r>
            <w:r>
              <w:rPr>
                <w:rFonts w:hint="default" w:ascii="Times New Roman" w:hAnsi="Times New Roman" w:eastAsia="宋体" w:cs="Times New Roman"/>
                <w:bCs/>
                <w:color w:val="auto"/>
                <w:kern w:val="2"/>
                <w:sz w:val="21"/>
                <w:szCs w:val="21"/>
                <w:vertAlign w:val="superscript"/>
                <w:lang w:val="en-US" w:eastAsia="zh-CN" w:bidi="ar-SA"/>
              </w:rPr>
              <w:t>3</w:t>
            </w:r>
            <w:r>
              <w:rPr>
                <w:rFonts w:hint="default" w:ascii="Times New Roman" w:hAnsi="Times New Roman" w:eastAsia="宋体" w:cs="Times New Roman"/>
                <w:bCs/>
                <w:color w:val="auto"/>
                <w:kern w:val="2"/>
                <w:sz w:val="21"/>
                <w:szCs w:val="21"/>
                <w:lang w:val="en-US" w:eastAsia="zh-CN" w:bidi="ar-SA"/>
              </w:rPr>
              <w:t>/h</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kern w:val="2"/>
                <w:sz w:val="21"/>
                <w:szCs w:val="21"/>
                <w:lang w:val="en-US" w:eastAsia="zh-CN" w:bidi="ar-SA"/>
              </w:rPr>
              <w:t>）</w:t>
            </w:r>
            <w:r>
              <w:rPr>
                <w:rFonts w:ascii="Times New Roman" w:hAnsi="Times New Roman" w:eastAsia="宋体" w:cs="Times New Roman"/>
                <w:bCs/>
                <w:color w:val="auto"/>
                <w:sz w:val="21"/>
                <w:szCs w:val="21"/>
              </w:rPr>
              <w:t>采用</w:t>
            </w:r>
            <w:r>
              <w:rPr>
                <w:rFonts w:hint="eastAsia" w:ascii="Times New Roman" w:hAnsi="Times New Roman" w:eastAsia="宋体" w:cs="Times New Roman"/>
                <w:bCs/>
                <w:color w:val="auto"/>
                <w:sz w:val="21"/>
                <w:szCs w:val="21"/>
                <w:lang w:val="en-US" w:eastAsia="zh-CN"/>
              </w:rPr>
              <w:t>布袋除尘器+二级</w:t>
            </w:r>
            <w:r>
              <w:rPr>
                <w:rFonts w:ascii="Times New Roman" w:hAnsi="Times New Roman" w:eastAsia="宋体" w:cs="Times New Roman"/>
                <w:bCs/>
                <w:color w:val="auto"/>
                <w:sz w:val="21"/>
                <w:szCs w:val="21"/>
              </w:rPr>
              <w:t>活性炭吸附箱</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烟尘</w:t>
            </w:r>
            <w:r>
              <w:rPr>
                <w:rFonts w:hint="eastAsia"/>
                <w:bCs/>
                <w:color w:val="auto"/>
                <w:sz w:val="21"/>
                <w:szCs w:val="21"/>
                <w:lang w:val="en-US" w:eastAsia="zh-CN"/>
              </w:rPr>
              <w:t>处理</w:t>
            </w:r>
            <w:r>
              <w:rPr>
                <w:rFonts w:hint="eastAsia"/>
                <w:bCs/>
                <w:color w:val="auto"/>
                <w:sz w:val="21"/>
                <w:szCs w:val="21"/>
              </w:rPr>
              <w:t>效率99%</w:t>
            </w:r>
            <w:r>
              <w:rPr>
                <w:rFonts w:hint="eastAsia"/>
                <w:bCs/>
                <w:color w:val="auto"/>
                <w:sz w:val="21"/>
                <w:szCs w:val="21"/>
                <w:lang w:eastAsia="zh-CN"/>
              </w:rPr>
              <w:t>，</w:t>
            </w:r>
            <w:r>
              <w:rPr>
                <w:rFonts w:hint="eastAsia"/>
                <w:bCs/>
                <w:color w:val="auto"/>
                <w:sz w:val="21"/>
                <w:szCs w:val="21"/>
                <w:lang w:val="en-US" w:eastAsia="zh-CN"/>
              </w:rPr>
              <w:t>沥青烟气处理效率98%</w:t>
            </w:r>
            <w:r>
              <w:rPr>
                <w:rFonts w:hint="eastAsia" w:ascii="Times New Roman" w:hAnsi="Times New Roman" w:eastAsia="宋体" w:cs="Times New Roman"/>
                <w:bCs/>
                <w:color w:val="auto"/>
                <w:sz w:val="21"/>
                <w:szCs w:val="21"/>
                <w:lang w:eastAsia="zh-CN"/>
              </w:rPr>
              <w:t>）</w:t>
            </w:r>
            <w:r>
              <w:rPr>
                <w:rFonts w:ascii="Times New Roman" w:hAnsi="Times New Roman" w:eastAsia="宋体" w:cs="Times New Roman"/>
                <w:bCs/>
                <w:color w:val="auto"/>
                <w:sz w:val="21"/>
                <w:szCs w:val="21"/>
              </w:rPr>
              <w:t>进行处理，处理后经</w:t>
            </w:r>
            <w:r>
              <w:rPr>
                <w:rFonts w:hint="eastAsia" w:ascii="Times New Roman" w:hAnsi="Times New Roman" w:eastAsia="宋体" w:cs="Times New Roman"/>
                <w:bCs/>
                <w:color w:val="auto"/>
                <w:sz w:val="21"/>
                <w:szCs w:val="21"/>
                <w:lang w:val="en-US" w:eastAsia="zh-CN"/>
              </w:rPr>
              <w:t>1根15</w:t>
            </w:r>
            <w:r>
              <w:rPr>
                <w:rFonts w:ascii="Times New Roman" w:hAnsi="Times New Roman" w:eastAsia="宋体" w:cs="Times New Roman"/>
                <w:bCs/>
                <w:color w:val="auto"/>
                <w:sz w:val="21"/>
                <w:szCs w:val="21"/>
              </w:rPr>
              <w:t>m高</w:t>
            </w:r>
            <w:r>
              <w:rPr>
                <w:rFonts w:hint="eastAsia" w:ascii="Times New Roman" w:hAnsi="Times New Roman" w:eastAsia="宋体" w:cs="Times New Roman"/>
                <w:bCs/>
                <w:color w:val="auto"/>
                <w:kern w:val="2"/>
                <w:sz w:val="21"/>
                <w:szCs w:val="21"/>
                <w:lang w:val="en-US" w:eastAsia="zh-CN" w:bidi="ar-SA"/>
              </w:rPr>
              <w:t>DA002</w:t>
            </w:r>
            <w:r>
              <w:rPr>
                <w:rFonts w:ascii="Times New Roman" w:hAnsi="Times New Roman" w:eastAsia="宋体" w:cs="Times New Roman"/>
                <w:bCs/>
                <w:color w:val="auto"/>
                <w:sz w:val="21"/>
                <w:szCs w:val="21"/>
              </w:rPr>
              <w:t>排气筒排放</w:t>
            </w:r>
            <w:r>
              <w:rPr>
                <w:rFonts w:hint="eastAsia" w:ascii="Times New Roman" w:hAnsi="Times New Roman" w:eastAsia="宋体" w:cs="Times New Roman"/>
                <w:bCs/>
                <w:color w:val="auto"/>
                <w:sz w:val="21"/>
                <w:szCs w:val="21"/>
                <w:lang w:eastAsia="zh-CN"/>
              </w:rPr>
              <w:t>。</w:t>
            </w:r>
          </w:p>
        </w:tc>
        <w:tc>
          <w:tcPr>
            <w:tcW w:w="1143" w:type="pct"/>
            <w:noWrap w:val="0"/>
            <w:vAlign w:val="center"/>
          </w:tcPr>
          <w:p w14:paraId="79FF4A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color w:val="auto"/>
                <w:sz w:val="21"/>
                <w:szCs w:val="21"/>
              </w:rPr>
              <w:t>《大气污染物综合排放标准》（GB16297-1996）表2中二级标准</w:t>
            </w:r>
          </w:p>
        </w:tc>
      </w:tr>
      <w:tr w14:paraId="29433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97" w:type="pct"/>
            <w:vMerge w:val="continue"/>
            <w:noWrap w:val="0"/>
            <w:vAlign w:val="center"/>
          </w:tcPr>
          <w:p w14:paraId="01036D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883" w:type="pct"/>
            <w:noWrap w:val="0"/>
            <w:vAlign w:val="center"/>
          </w:tcPr>
          <w:p w14:paraId="10DBB2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bidi="ar"/>
              </w:rPr>
            </w:pPr>
            <w:r>
              <w:rPr>
                <w:rFonts w:hint="eastAsia"/>
                <w:color w:val="auto"/>
                <w:kern w:val="0"/>
                <w:sz w:val="21"/>
                <w:szCs w:val="21"/>
                <w:lang w:val="en-US" w:eastAsia="zh-CN"/>
              </w:rPr>
              <w:t>1#生产线</w:t>
            </w:r>
            <w:r>
              <w:rPr>
                <w:rFonts w:hint="eastAsia" w:ascii="Times New Roman" w:hAnsi="Times New Roman" w:eastAsia="宋体" w:cs="Times New Roman"/>
                <w:bCs/>
                <w:color w:val="auto"/>
                <w:sz w:val="21"/>
                <w:szCs w:val="21"/>
                <w:lang w:val="en-US" w:eastAsia="zh-CN"/>
              </w:rPr>
              <w:t>导热油炉废气</w:t>
            </w:r>
            <w:r>
              <w:rPr>
                <w:rFonts w:ascii="Times New Roman" w:hAnsi="Times New Roman"/>
                <w:color w:val="auto"/>
                <w:sz w:val="21"/>
                <w:szCs w:val="21"/>
              </w:rPr>
              <w:t>排气筒DA00</w:t>
            </w:r>
            <w:r>
              <w:rPr>
                <w:rFonts w:hint="eastAsia" w:ascii="Times New Roman" w:hAnsi="Times New Roman"/>
                <w:color w:val="auto"/>
                <w:sz w:val="21"/>
                <w:szCs w:val="21"/>
                <w:lang w:val="en-US" w:eastAsia="zh-CN"/>
              </w:rPr>
              <w:t>3</w:t>
            </w:r>
          </w:p>
        </w:tc>
        <w:tc>
          <w:tcPr>
            <w:tcW w:w="486" w:type="pct"/>
            <w:noWrap w:val="0"/>
            <w:vAlign w:val="center"/>
          </w:tcPr>
          <w:p w14:paraId="41DBC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SO</w:t>
            </w:r>
            <w:r>
              <w:rPr>
                <w:rFonts w:ascii="Times New Roman" w:hAnsi="Times New Roman"/>
                <w:bCs/>
                <w:color w:val="auto"/>
                <w:sz w:val="21"/>
                <w:szCs w:val="21"/>
                <w:vertAlign w:val="subscript"/>
              </w:rPr>
              <w:t>2</w:t>
            </w:r>
            <w:r>
              <w:rPr>
                <w:rFonts w:ascii="Times New Roman" w:hAnsi="Times New Roman"/>
                <w:bCs/>
                <w:color w:val="auto"/>
                <w:sz w:val="21"/>
                <w:szCs w:val="21"/>
              </w:rPr>
              <w:t>、NO</w:t>
            </w:r>
            <w:r>
              <w:rPr>
                <w:rFonts w:ascii="Times New Roman" w:hAnsi="Times New Roman"/>
                <w:bCs/>
                <w:color w:val="auto"/>
                <w:sz w:val="21"/>
                <w:szCs w:val="21"/>
                <w:vertAlign w:val="subscript"/>
              </w:rPr>
              <w:t>X</w:t>
            </w:r>
            <w:r>
              <w:rPr>
                <w:rFonts w:ascii="Times New Roman" w:hAnsi="Times New Roman"/>
                <w:color w:val="auto"/>
                <w:sz w:val="21"/>
                <w:szCs w:val="21"/>
              </w:rPr>
              <w:t>、颗粒物</w:t>
            </w:r>
          </w:p>
        </w:tc>
        <w:tc>
          <w:tcPr>
            <w:tcW w:w="2089" w:type="pct"/>
            <w:noWrap w:val="0"/>
            <w:vAlign w:val="center"/>
          </w:tcPr>
          <w:p w14:paraId="2AA35010">
            <w:pPr>
              <w:snapToGrid w:val="0"/>
              <w:spacing w:line="240" w:lineRule="auto"/>
              <w:ind w:left="0" w:leftChars="0" w:firstLine="0" w:firstLineChars="0"/>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经</w:t>
            </w:r>
            <w:r>
              <w:rPr>
                <w:rFonts w:hint="eastAsia" w:ascii="Times New Roman" w:hAnsi="Times New Roman" w:eastAsia="宋体" w:cs="Times New Roman"/>
                <w:bCs/>
                <w:color w:val="auto"/>
                <w:kern w:val="2"/>
                <w:sz w:val="21"/>
                <w:szCs w:val="21"/>
                <w:lang w:val="en-US" w:eastAsia="zh-CN" w:bidi="ar-SA"/>
              </w:rPr>
              <w:t>收集</w:t>
            </w:r>
            <w:r>
              <w:rPr>
                <w:rFonts w:ascii="Times New Roman" w:hAnsi="Times New Roman" w:eastAsia="宋体" w:cs="Times New Roman"/>
                <w:bCs/>
                <w:color w:val="auto"/>
                <w:kern w:val="2"/>
                <w:sz w:val="21"/>
                <w:szCs w:val="21"/>
                <w:lang w:val="en-US" w:eastAsia="zh-CN" w:bidi="ar-SA"/>
              </w:rPr>
              <w:t>后通过</w:t>
            </w:r>
            <w:r>
              <w:rPr>
                <w:rFonts w:hint="eastAsia" w:ascii="Times New Roman" w:hAnsi="Times New Roman" w:eastAsia="宋体" w:cs="Times New Roman"/>
                <w:bCs/>
                <w:color w:val="auto"/>
                <w:kern w:val="2"/>
                <w:sz w:val="21"/>
                <w:szCs w:val="21"/>
                <w:lang w:val="en-US" w:eastAsia="zh-CN" w:bidi="ar-SA"/>
              </w:rPr>
              <w:t>15</w:t>
            </w:r>
            <w:r>
              <w:rPr>
                <w:rFonts w:ascii="Times New Roman" w:hAnsi="Times New Roman" w:eastAsia="宋体" w:cs="Times New Roman"/>
                <w:bCs/>
                <w:color w:val="auto"/>
                <w:kern w:val="2"/>
                <w:sz w:val="21"/>
                <w:szCs w:val="21"/>
                <w:lang w:val="en-US" w:eastAsia="zh-CN" w:bidi="ar-SA"/>
              </w:rPr>
              <w:t>m高排气筒DA00</w:t>
            </w:r>
            <w:r>
              <w:rPr>
                <w:rFonts w:hint="eastAsia" w:ascii="Times New Roman" w:hAnsi="Times New Roman" w:eastAsia="宋体" w:cs="Times New Roman"/>
                <w:bCs/>
                <w:color w:val="auto"/>
                <w:kern w:val="2"/>
                <w:sz w:val="21"/>
                <w:szCs w:val="21"/>
                <w:lang w:val="en-US" w:eastAsia="zh-CN" w:bidi="ar-SA"/>
              </w:rPr>
              <w:t>3直接</w:t>
            </w:r>
            <w:r>
              <w:rPr>
                <w:rFonts w:ascii="Times New Roman" w:hAnsi="Times New Roman" w:eastAsia="宋体" w:cs="Times New Roman"/>
                <w:bCs/>
                <w:color w:val="auto"/>
                <w:kern w:val="2"/>
                <w:sz w:val="21"/>
                <w:szCs w:val="21"/>
                <w:lang w:val="en-US" w:eastAsia="zh-CN" w:bidi="ar-SA"/>
              </w:rPr>
              <w:t>排放</w:t>
            </w:r>
            <w:r>
              <w:rPr>
                <w:rFonts w:hint="eastAsia"/>
                <w:bCs/>
                <w:color w:val="auto"/>
                <w:sz w:val="21"/>
                <w:szCs w:val="21"/>
              </w:rPr>
              <w:t>，风量</w:t>
            </w:r>
            <w:r>
              <w:rPr>
                <w:rFonts w:hint="eastAsia"/>
                <w:bCs/>
                <w:color w:val="auto"/>
                <w:sz w:val="21"/>
                <w:szCs w:val="21"/>
                <w:lang w:val="en-US" w:eastAsia="zh-CN"/>
              </w:rPr>
              <w:t>5</w:t>
            </w:r>
            <w:r>
              <w:rPr>
                <w:rFonts w:hint="eastAsia"/>
                <w:bCs/>
                <w:color w:val="auto"/>
                <w:sz w:val="21"/>
                <w:szCs w:val="21"/>
              </w:rPr>
              <w:t>000m</w:t>
            </w:r>
            <w:r>
              <w:rPr>
                <w:rFonts w:hint="eastAsia"/>
                <w:bCs/>
                <w:color w:val="auto"/>
                <w:sz w:val="21"/>
                <w:szCs w:val="21"/>
                <w:vertAlign w:val="superscript"/>
              </w:rPr>
              <w:t>3</w:t>
            </w:r>
            <w:r>
              <w:rPr>
                <w:rFonts w:hint="eastAsia"/>
                <w:bCs/>
                <w:color w:val="auto"/>
                <w:sz w:val="21"/>
                <w:szCs w:val="21"/>
              </w:rPr>
              <w:t>/h</w:t>
            </w:r>
          </w:p>
        </w:tc>
        <w:tc>
          <w:tcPr>
            <w:tcW w:w="1143" w:type="pct"/>
            <w:noWrap w:val="0"/>
            <w:vAlign w:val="center"/>
          </w:tcPr>
          <w:p w14:paraId="5E1760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eastAsia"/>
                <w:color w:val="000000"/>
                <w:sz w:val="21"/>
                <w:szCs w:val="21"/>
                <w:lang w:bidi="ar"/>
              </w:rPr>
              <w:t>《</w:t>
            </w:r>
            <w:r>
              <w:rPr>
                <w:color w:val="000000"/>
                <w:sz w:val="21"/>
                <w:szCs w:val="21"/>
                <w:lang w:bidi="ar"/>
              </w:rPr>
              <w:t>锅炉大气污染物排放标准》（GB13</w:t>
            </w:r>
            <w:r>
              <w:rPr>
                <w:rFonts w:hint="eastAsia"/>
                <w:color w:val="000000"/>
                <w:sz w:val="21"/>
                <w:szCs w:val="21"/>
                <w:lang w:bidi="ar"/>
              </w:rPr>
              <w:t>2</w:t>
            </w:r>
            <w:r>
              <w:rPr>
                <w:color w:val="000000"/>
                <w:sz w:val="21"/>
                <w:szCs w:val="21"/>
                <w:lang w:bidi="ar"/>
              </w:rPr>
              <w:t>71-2014）表 2 新建燃</w:t>
            </w:r>
            <w:r>
              <w:rPr>
                <w:rFonts w:hint="eastAsia"/>
                <w:color w:val="000000"/>
                <w:sz w:val="21"/>
                <w:szCs w:val="21"/>
                <w:lang w:bidi="ar"/>
              </w:rPr>
              <w:t>油</w:t>
            </w:r>
            <w:r>
              <w:rPr>
                <w:color w:val="000000"/>
                <w:sz w:val="21"/>
                <w:szCs w:val="21"/>
                <w:lang w:bidi="ar"/>
              </w:rPr>
              <w:t>锅炉标准</w:t>
            </w:r>
          </w:p>
        </w:tc>
      </w:tr>
      <w:tr w14:paraId="1E79B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97" w:type="pct"/>
            <w:vMerge w:val="continue"/>
            <w:noWrap w:val="0"/>
            <w:vAlign w:val="center"/>
          </w:tcPr>
          <w:p w14:paraId="41FA70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883" w:type="pct"/>
            <w:noWrap w:val="0"/>
            <w:vAlign w:val="center"/>
          </w:tcPr>
          <w:p w14:paraId="421F5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bidi="ar"/>
              </w:rPr>
            </w:pPr>
            <w:r>
              <w:rPr>
                <w:rFonts w:hint="eastAsia" w:ascii="Times New Roman" w:hAnsi="Times New Roman" w:eastAsia="宋体" w:cs="Times New Roman"/>
                <w:bCs/>
                <w:color w:val="auto"/>
                <w:sz w:val="21"/>
                <w:szCs w:val="21"/>
                <w:lang w:val="en-US" w:eastAsia="zh-CN"/>
              </w:rPr>
              <w:t>2#生产线导热油炉废气</w:t>
            </w:r>
            <w:r>
              <w:rPr>
                <w:rFonts w:ascii="Times New Roman" w:hAnsi="Times New Roman"/>
                <w:color w:val="auto"/>
                <w:sz w:val="21"/>
                <w:szCs w:val="21"/>
              </w:rPr>
              <w:t>排气筒DA00</w:t>
            </w:r>
            <w:r>
              <w:rPr>
                <w:rFonts w:hint="eastAsia" w:ascii="Times New Roman" w:hAnsi="Times New Roman"/>
                <w:color w:val="auto"/>
                <w:sz w:val="21"/>
                <w:szCs w:val="21"/>
                <w:lang w:val="en-US" w:eastAsia="zh-CN"/>
              </w:rPr>
              <w:t>4</w:t>
            </w:r>
          </w:p>
        </w:tc>
        <w:tc>
          <w:tcPr>
            <w:tcW w:w="486" w:type="pct"/>
            <w:noWrap w:val="0"/>
            <w:vAlign w:val="center"/>
          </w:tcPr>
          <w:p w14:paraId="2BA95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SO</w:t>
            </w:r>
            <w:r>
              <w:rPr>
                <w:rFonts w:ascii="Times New Roman" w:hAnsi="Times New Roman"/>
                <w:bCs/>
                <w:color w:val="auto"/>
                <w:sz w:val="21"/>
                <w:szCs w:val="21"/>
                <w:vertAlign w:val="subscript"/>
              </w:rPr>
              <w:t>2</w:t>
            </w:r>
            <w:r>
              <w:rPr>
                <w:rFonts w:ascii="Times New Roman" w:hAnsi="Times New Roman"/>
                <w:bCs/>
                <w:color w:val="auto"/>
                <w:sz w:val="21"/>
                <w:szCs w:val="21"/>
              </w:rPr>
              <w:t>、NO</w:t>
            </w:r>
            <w:r>
              <w:rPr>
                <w:rFonts w:ascii="Times New Roman" w:hAnsi="Times New Roman"/>
                <w:bCs/>
                <w:color w:val="auto"/>
                <w:sz w:val="21"/>
                <w:szCs w:val="21"/>
                <w:vertAlign w:val="subscript"/>
              </w:rPr>
              <w:t>X</w:t>
            </w:r>
            <w:r>
              <w:rPr>
                <w:rFonts w:ascii="Times New Roman" w:hAnsi="Times New Roman"/>
                <w:color w:val="auto"/>
                <w:sz w:val="21"/>
                <w:szCs w:val="21"/>
              </w:rPr>
              <w:t>、颗粒物</w:t>
            </w:r>
          </w:p>
        </w:tc>
        <w:tc>
          <w:tcPr>
            <w:tcW w:w="2089" w:type="pct"/>
            <w:noWrap w:val="0"/>
            <w:vAlign w:val="center"/>
          </w:tcPr>
          <w:p w14:paraId="08D168DA">
            <w:pPr>
              <w:snapToGrid w:val="0"/>
              <w:spacing w:line="240" w:lineRule="auto"/>
              <w:ind w:left="0" w:leftChars="0" w:firstLine="0" w:firstLineChars="0"/>
              <w:rPr>
                <w:rFonts w:hint="eastAsia" w:ascii="Times New Roman" w:hAnsi="Times New Roman" w:eastAsia="宋体" w:cs="Times New Roman"/>
                <w:bCs/>
                <w:color w:val="auto"/>
                <w:kern w:val="2"/>
                <w:sz w:val="21"/>
                <w:szCs w:val="21"/>
                <w:lang w:val="en-US" w:eastAsia="zh-CN" w:bidi="ar-SA"/>
              </w:rPr>
            </w:pPr>
            <w:r>
              <w:rPr>
                <w:rFonts w:ascii="Times New Roman" w:hAnsi="Times New Roman" w:eastAsia="宋体" w:cs="Times New Roman"/>
                <w:bCs/>
                <w:color w:val="auto"/>
                <w:kern w:val="2"/>
                <w:sz w:val="21"/>
                <w:szCs w:val="21"/>
                <w:lang w:val="en-US" w:eastAsia="zh-CN" w:bidi="ar-SA"/>
              </w:rPr>
              <w:t>经</w:t>
            </w:r>
            <w:r>
              <w:rPr>
                <w:rFonts w:hint="eastAsia" w:ascii="Times New Roman" w:hAnsi="Times New Roman" w:eastAsia="宋体" w:cs="Times New Roman"/>
                <w:bCs/>
                <w:color w:val="auto"/>
                <w:kern w:val="2"/>
                <w:sz w:val="21"/>
                <w:szCs w:val="21"/>
                <w:lang w:val="en-US" w:eastAsia="zh-CN" w:bidi="ar-SA"/>
              </w:rPr>
              <w:t>收集</w:t>
            </w:r>
            <w:r>
              <w:rPr>
                <w:rFonts w:ascii="Times New Roman" w:hAnsi="Times New Roman" w:eastAsia="宋体" w:cs="Times New Roman"/>
                <w:bCs/>
                <w:color w:val="auto"/>
                <w:kern w:val="2"/>
                <w:sz w:val="21"/>
                <w:szCs w:val="21"/>
                <w:lang w:val="en-US" w:eastAsia="zh-CN" w:bidi="ar-SA"/>
              </w:rPr>
              <w:t>后通过</w:t>
            </w:r>
            <w:r>
              <w:rPr>
                <w:rFonts w:hint="eastAsia" w:ascii="Times New Roman" w:hAnsi="Times New Roman" w:eastAsia="宋体" w:cs="Times New Roman"/>
                <w:bCs/>
                <w:color w:val="auto"/>
                <w:kern w:val="2"/>
                <w:sz w:val="21"/>
                <w:szCs w:val="21"/>
                <w:lang w:val="en-US" w:eastAsia="zh-CN" w:bidi="ar-SA"/>
              </w:rPr>
              <w:t>15</w:t>
            </w:r>
            <w:r>
              <w:rPr>
                <w:rFonts w:ascii="Times New Roman" w:hAnsi="Times New Roman" w:eastAsia="宋体" w:cs="Times New Roman"/>
                <w:bCs/>
                <w:color w:val="auto"/>
                <w:kern w:val="2"/>
                <w:sz w:val="21"/>
                <w:szCs w:val="21"/>
                <w:lang w:val="en-US" w:eastAsia="zh-CN" w:bidi="ar-SA"/>
              </w:rPr>
              <w:t>m高排气筒DA00</w:t>
            </w:r>
            <w:r>
              <w:rPr>
                <w:rFonts w:hint="eastAsia" w:ascii="Times New Roman" w:hAnsi="Times New Roman" w:eastAsia="宋体" w:cs="Times New Roman"/>
                <w:bCs/>
                <w:color w:val="auto"/>
                <w:kern w:val="2"/>
                <w:sz w:val="21"/>
                <w:szCs w:val="21"/>
                <w:lang w:val="en-US" w:eastAsia="zh-CN" w:bidi="ar-SA"/>
              </w:rPr>
              <w:t>4直接</w:t>
            </w:r>
            <w:r>
              <w:rPr>
                <w:rFonts w:ascii="Times New Roman" w:hAnsi="Times New Roman" w:eastAsia="宋体" w:cs="Times New Roman"/>
                <w:bCs/>
                <w:color w:val="auto"/>
                <w:kern w:val="2"/>
                <w:sz w:val="21"/>
                <w:szCs w:val="21"/>
                <w:lang w:val="en-US" w:eastAsia="zh-CN" w:bidi="ar-SA"/>
              </w:rPr>
              <w:t>排放</w:t>
            </w:r>
            <w:r>
              <w:rPr>
                <w:rFonts w:hint="eastAsia"/>
                <w:bCs/>
                <w:color w:val="auto"/>
                <w:sz w:val="21"/>
                <w:szCs w:val="21"/>
              </w:rPr>
              <w:t>，风量</w:t>
            </w:r>
            <w:r>
              <w:rPr>
                <w:rFonts w:hint="eastAsia"/>
                <w:bCs/>
                <w:color w:val="auto"/>
                <w:sz w:val="21"/>
                <w:szCs w:val="21"/>
                <w:lang w:val="en-US" w:eastAsia="zh-CN"/>
              </w:rPr>
              <w:t>10</w:t>
            </w:r>
            <w:r>
              <w:rPr>
                <w:rFonts w:hint="eastAsia"/>
                <w:bCs/>
                <w:color w:val="auto"/>
                <w:sz w:val="21"/>
                <w:szCs w:val="21"/>
              </w:rPr>
              <w:t>000m</w:t>
            </w:r>
            <w:r>
              <w:rPr>
                <w:rFonts w:hint="eastAsia"/>
                <w:bCs/>
                <w:color w:val="auto"/>
                <w:sz w:val="21"/>
                <w:szCs w:val="21"/>
                <w:vertAlign w:val="superscript"/>
              </w:rPr>
              <w:t>3</w:t>
            </w:r>
            <w:r>
              <w:rPr>
                <w:rFonts w:hint="eastAsia"/>
                <w:bCs/>
                <w:color w:val="auto"/>
                <w:sz w:val="21"/>
                <w:szCs w:val="21"/>
              </w:rPr>
              <w:t>/h</w:t>
            </w:r>
          </w:p>
        </w:tc>
        <w:tc>
          <w:tcPr>
            <w:tcW w:w="1143" w:type="pct"/>
            <w:noWrap w:val="0"/>
            <w:vAlign w:val="center"/>
          </w:tcPr>
          <w:p w14:paraId="1ACFE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eastAsia"/>
                <w:color w:val="000000"/>
                <w:sz w:val="21"/>
                <w:szCs w:val="21"/>
                <w:lang w:bidi="ar"/>
              </w:rPr>
              <w:t>《</w:t>
            </w:r>
            <w:r>
              <w:rPr>
                <w:color w:val="000000"/>
                <w:sz w:val="21"/>
                <w:szCs w:val="21"/>
                <w:lang w:bidi="ar"/>
              </w:rPr>
              <w:t>锅炉大气污染物排放标准》（GB13</w:t>
            </w:r>
            <w:r>
              <w:rPr>
                <w:rFonts w:hint="eastAsia"/>
                <w:color w:val="000000"/>
                <w:sz w:val="21"/>
                <w:szCs w:val="21"/>
                <w:lang w:bidi="ar"/>
              </w:rPr>
              <w:t>2</w:t>
            </w:r>
            <w:r>
              <w:rPr>
                <w:color w:val="000000"/>
                <w:sz w:val="21"/>
                <w:szCs w:val="21"/>
                <w:lang w:bidi="ar"/>
              </w:rPr>
              <w:t>71-2014）表 2 新建燃</w:t>
            </w:r>
            <w:r>
              <w:rPr>
                <w:rFonts w:hint="eastAsia"/>
                <w:color w:val="000000"/>
                <w:sz w:val="21"/>
                <w:szCs w:val="21"/>
                <w:lang w:bidi="ar"/>
              </w:rPr>
              <w:t>油</w:t>
            </w:r>
            <w:r>
              <w:rPr>
                <w:color w:val="000000"/>
                <w:sz w:val="21"/>
                <w:szCs w:val="21"/>
                <w:lang w:bidi="ar"/>
              </w:rPr>
              <w:t>锅炉标准</w:t>
            </w:r>
          </w:p>
        </w:tc>
      </w:tr>
      <w:tr w14:paraId="1983C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397" w:type="pct"/>
            <w:vMerge w:val="continue"/>
            <w:noWrap w:val="0"/>
            <w:vAlign w:val="center"/>
          </w:tcPr>
          <w:p w14:paraId="173376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883" w:type="pct"/>
            <w:noWrap w:val="0"/>
            <w:vAlign w:val="center"/>
          </w:tcPr>
          <w:p w14:paraId="041D7D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kern w:val="0"/>
                <w:sz w:val="21"/>
                <w:szCs w:val="21"/>
                <w:lang w:val="en-US" w:eastAsia="zh-CN"/>
              </w:rPr>
              <w:t>2#生产线</w:t>
            </w:r>
            <w:r>
              <w:rPr>
                <w:rFonts w:hint="default" w:ascii="Times New Roman" w:hAnsi="Times New Roman" w:cs="Times New Roman"/>
                <w:color w:val="auto"/>
                <w:sz w:val="21"/>
                <w:szCs w:val="21"/>
                <w:lang w:bidi="ar"/>
              </w:rPr>
              <w:t>烘干滚筒</w:t>
            </w:r>
            <w:r>
              <w:rPr>
                <w:rFonts w:hint="eastAsia" w:cs="Times New Roman"/>
                <w:color w:val="auto"/>
                <w:sz w:val="21"/>
                <w:szCs w:val="21"/>
                <w:lang w:eastAsia="zh-CN" w:bidi="ar"/>
              </w:rPr>
              <w:t>、</w:t>
            </w:r>
            <w:r>
              <w:rPr>
                <w:rFonts w:hint="eastAsia" w:cs="Times New Roman"/>
                <w:color w:val="auto"/>
                <w:sz w:val="21"/>
                <w:szCs w:val="21"/>
                <w:lang w:val="en-US" w:eastAsia="zh-CN" w:bidi="ar"/>
              </w:rPr>
              <w:t>筛分过程、热骨料仓粉尘、</w:t>
            </w:r>
            <w:r>
              <w:rPr>
                <w:rFonts w:hint="default" w:ascii="Times New Roman" w:hAnsi="Times New Roman" w:cs="Times New Roman"/>
                <w:color w:val="auto"/>
                <w:sz w:val="21"/>
                <w:szCs w:val="21"/>
                <w:lang w:bidi="ar"/>
              </w:rPr>
              <w:t>燃烧器</w:t>
            </w:r>
            <w:r>
              <w:rPr>
                <w:rFonts w:hint="eastAsia" w:cs="Times New Roman"/>
                <w:color w:val="auto"/>
                <w:sz w:val="21"/>
                <w:szCs w:val="21"/>
                <w:lang w:eastAsia="zh-CN" w:bidi="ar"/>
              </w:rPr>
              <w:t>、</w:t>
            </w:r>
            <w:r>
              <w:rPr>
                <w:rFonts w:ascii="Times New Roman" w:hAnsi="Times New Roman"/>
                <w:bCs/>
                <w:color w:val="auto"/>
                <w:sz w:val="21"/>
                <w:szCs w:val="21"/>
              </w:rPr>
              <w:t>沥青罐</w:t>
            </w:r>
            <w:r>
              <w:rPr>
                <w:rFonts w:hint="eastAsia"/>
                <w:bCs/>
                <w:color w:val="auto"/>
                <w:sz w:val="21"/>
                <w:szCs w:val="21"/>
                <w:lang w:val="en-US" w:eastAsia="zh-CN"/>
              </w:rPr>
              <w:t>加热</w:t>
            </w:r>
            <w:r>
              <w:rPr>
                <w:rFonts w:ascii="Times New Roman" w:hAnsi="Times New Roman"/>
                <w:bCs/>
                <w:color w:val="auto"/>
                <w:sz w:val="21"/>
                <w:szCs w:val="21"/>
              </w:rPr>
              <w:t>、搅拌机、成品仓</w:t>
            </w:r>
            <w:r>
              <w:rPr>
                <w:rFonts w:hint="eastAsia" w:ascii="Times New Roman" w:hAnsi="Times New Roman"/>
                <w:bCs/>
                <w:color w:val="auto"/>
                <w:sz w:val="21"/>
                <w:szCs w:val="21"/>
                <w:lang w:val="en-US" w:eastAsia="zh-CN"/>
              </w:rPr>
              <w:t>沥青</w:t>
            </w:r>
            <w:r>
              <w:rPr>
                <w:rFonts w:hint="default" w:ascii="Times New Roman" w:hAnsi="Times New Roman" w:cs="Times New Roman"/>
                <w:color w:val="auto"/>
                <w:sz w:val="21"/>
                <w:szCs w:val="21"/>
                <w:lang w:bidi="ar"/>
              </w:rPr>
              <w:t>烟气</w:t>
            </w:r>
            <w:r>
              <w:rPr>
                <w:rFonts w:ascii="Times New Roman" w:hAnsi="Times New Roman"/>
                <w:color w:val="auto"/>
                <w:sz w:val="21"/>
                <w:szCs w:val="21"/>
              </w:rPr>
              <w:t>排气筒DA00</w:t>
            </w:r>
            <w:r>
              <w:rPr>
                <w:rFonts w:hint="eastAsia" w:ascii="Times New Roman" w:hAnsi="Times New Roman"/>
                <w:color w:val="auto"/>
                <w:sz w:val="21"/>
                <w:szCs w:val="21"/>
                <w:lang w:val="en-US" w:eastAsia="zh-CN"/>
              </w:rPr>
              <w:t>5</w:t>
            </w:r>
          </w:p>
        </w:tc>
        <w:tc>
          <w:tcPr>
            <w:tcW w:w="486" w:type="pct"/>
            <w:noWrap w:val="0"/>
            <w:vAlign w:val="center"/>
          </w:tcPr>
          <w:p w14:paraId="5A4CCA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SO</w:t>
            </w:r>
            <w:r>
              <w:rPr>
                <w:rFonts w:ascii="Times New Roman" w:hAnsi="Times New Roman"/>
                <w:bCs/>
                <w:color w:val="auto"/>
                <w:sz w:val="21"/>
                <w:szCs w:val="21"/>
                <w:vertAlign w:val="subscript"/>
              </w:rPr>
              <w:t>2</w:t>
            </w:r>
            <w:r>
              <w:rPr>
                <w:rFonts w:ascii="Times New Roman" w:hAnsi="Times New Roman"/>
                <w:bCs/>
                <w:color w:val="auto"/>
                <w:sz w:val="21"/>
                <w:szCs w:val="21"/>
              </w:rPr>
              <w:t>、NO</w:t>
            </w:r>
            <w:r>
              <w:rPr>
                <w:rFonts w:ascii="Times New Roman" w:hAnsi="Times New Roman"/>
                <w:bCs/>
                <w:color w:val="auto"/>
                <w:sz w:val="21"/>
                <w:szCs w:val="21"/>
                <w:vertAlign w:val="subscript"/>
              </w:rPr>
              <w:t>X</w:t>
            </w:r>
            <w:r>
              <w:rPr>
                <w:rFonts w:ascii="Times New Roman" w:hAnsi="Times New Roman"/>
                <w:color w:val="auto"/>
                <w:sz w:val="21"/>
                <w:szCs w:val="21"/>
              </w:rPr>
              <w:t>、颗粒物</w:t>
            </w:r>
            <w:r>
              <w:rPr>
                <w:rFonts w:hint="eastAsia"/>
                <w:color w:val="auto"/>
                <w:sz w:val="21"/>
                <w:szCs w:val="21"/>
                <w:lang w:eastAsia="zh-CN"/>
              </w:rPr>
              <w:t>、</w:t>
            </w:r>
            <w:r>
              <w:rPr>
                <w:rFonts w:ascii="Times New Roman" w:hAnsi="Times New Roman"/>
                <w:bCs/>
                <w:color w:val="auto"/>
                <w:sz w:val="21"/>
                <w:szCs w:val="21"/>
              </w:rPr>
              <w:t>沥青烟、苯并[a]芘</w:t>
            </w:r>
          </w:p>
        </w:tc>
        <w:tc>
          <w:tcPr>
            <w:tcW w:w="2089" w:type="pct"/>
            <w:noWrap w:val="0"/>
            <w:vAlign w:val="center"/>
          </w:tcPr>
          <w:p w14:paraId="23C1F8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hint="eastAsia" w:ascii="Times New Roman" w:hAnsi="Times New Roman" w:eastAsia="宋体" w:cs="Times New Roman"/>
                <w:bCs/>
                <w:color w:val="auto"/>
                <w:kern w:val="2"/>
                <w:sz w:val="21"/>
                <w:szCs w:val="21"/>
                <w:lang w:val="en-US" w:eastAsia="zh-CN" w:bidi="ar-SA"/>
              </w:rPr>
              <w:t>烘干滚筒、筛分过程、</w:t>
            </w:r>
            <w:r>
              <w:rPr>
                <w:rFonts w:hint="eastAsia" w:ascii="Times New Roman" w:hAnsi="Times New Roman" w:eastAsia="宋体" w:cs="Times New Roman"/>
                <w:bCs/>
                <w:color w:val="auto"/>
                <w:sz w:val="21"/>
                <w:szCs w:val="21"/>
                <w:lang w:val="en-US" w:eastAsia="zh-CN"/>
              </w:rPr>
              <w:t>热骨料仓粉尘</w:t>
            </w:r>
            <w:r>
              <w:rPr>
                <w:rFonts w:hint="eastAsia" w:ascii="Times New Roman" w:hAnsi="Times New Roman" w:eastAsia="宋体" w:cs="Times New Roman"/>
                <w:bCs/>
                <w:color w:val="auto"/>
                <w:kern w:val="2"/>
                <w:sz w:val="21"/>
                <w:szCs w:val="21"/>
                <w:lang w:val="en-US" w:eastAsia="zh-CN" w:bidi="ar-SA"/>
              </w:rPr>
              <w:t>、燃烧器废气由1个集气罩（收集效率100%）收集后和</w:t>
            </w:r>
            <w:r>
              <w:rPr>
                <w:rFonts w:hint="eastAsia" w:ascii="Times New Roman" w:hAnsi="Times New Roman" w:eastAsia="宋体" w:cs="Times New Roman"/>
                <w:bCs/>
                <w:color w:val="auto"/>
                <w:sz w:val="21"/>
                <w:szCs w:val="21"/>
                <w:lang w:eastAsia="zh-CN"/>
              </w:rPr>
              <w:t>沥青罐、搅拌机及成品仓废气</w:t>
            </w:r>
            <w:r>
              <w:rPr>
                <w:rFonts w:ascii="Times New Roman" w:hAnsi="Times New Roman" w:eastAsia="宋体" w:cs="Times New Roman"/>
                <w:bCs/>
                <w:color w:val="auto"/>
                <w:sz w:val="21"/>
                <w:szCs w:val="21"/>
              </w:rPr>
              <w:t>（</w:t>
            </w:r>
            <w:r>
              <w:rPr>
                <w:rFonts w:hint="eastAsia" w:ascii="Times New Roman" w:hAnsi="Times New Roman" w:eastAsia="宋体" w:cs="Times New Roman"/>
                <w:bCs/>
                <w:color w:val="auto"/>
                <w:kern w:val="2"/>
                <w:sz w:val="21"/>
                <w:szCs w:val="21"/>
                <w:lang w:val="en-US" w:eastAsia="zh-CN" w:bidi="ar-SA"/>
              </w:rPr>
              <w:t>收集效率99%</w:t>
            </w:r>
            <w:r>
              <w:rPr>
                <w:rFonts w:ascii="Times New Roman" w:hAnsi="Times New Roman" w:eastAsia="宋体" w:cs="Times New Roman"/>
                <w:bCs/>
                <w:color w:val="auto"/>
                <w:sz w:val="21"/>
                <w:szCs w:val="21"/>
              </w:rPr>
              <w:t>）收集后</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总</w:t>
            </w:r>
            <w:r>
              <w:rPr>
                <w:rFonts w:hint="eastAsia" w:ascii="Times New Roman" w:hAnsi="Times New Roman" w:eastAsia="宋体" w:cs="Times New Roman"/>
                <w:bCs/>
                <w:color w:val="auto"/>
                <w:kern w:val="2"/>
                <w:sz w:val="21"/>
                <w:szCs w:val="21"/>
                <w:lang w:val="en-US" w:eastAsia="zh-CN" w:bidi="ar-SA"/>
              </w:rPr>
              <w:t>引风机风量80000</w:t>
            </w:r>
            <w:r>
              <w:rPr>
                <w:rFonts w:hint="default" w:ascii="Times New Roman" w:hAnsi="Times New Roman" w:eastAsia="宋体" w:cs="Times New Roman"/>
                <w:bCs/>
                <w:color w:val="auto"/>
                <w:kern w:val="2"/>
                <w:sz w:val="21"/>
                <w:szCs w:val="21"/>
                <w:lang w:val="en-US" w:eastAsia="zh-CN" w:bidi="ar-SA"/>
              </w:rPr>
              <w:t>m</w:t>
            </w:r>
            <w:r>
              <w:rPr>
                <w:rFonts w:hint="default" w:ascii="Times New Roman" w:hAnsi="Times New Roman" w:eastAsia="宋体" w:cs="Times New Roman"/>
                <w:bCs/>
                <w:color w:val="auto"/>
                <w:kern w:val="2"/>
                <w:sz w:val="21"/>
                <w:szCs w:val="21"/>
                <w:vertAlign w:val="superscript"/>
                <w:lang w:val="en-US" w:eastAsia="zh-CN" w:bidi="ar-SA"/>
              </w:rPr>
              <w:t>3</w:t>
            </w:r>
            <w:r>
              <w:rPr>
                <w:rFonts w:hint="default" w:ascii="Times New Roman" w:hAnsi="Times New Roman" w:eastAsia="宋体" w:cs="Times New Roman"/>
                <w:bCs/>
                <w:color w:val="auto"/>
                <w:kern w:val="2"/>
                <w:sz w:val="21"/>
                <w:szCs w:val="21"/>
                <w:lang w:val="en-US" w:eastAsia="zh-CN" w:bidi="ar-SA"/>
              </w:rPr>
              <w:t>/h</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kern w:val="2"/>
                <w:sz w:val="21"/>
                <w:szCs w:val="21"/>
                <w:lang w:val="en-US" w:eastAsia="zh-CN" w:bidi="ar-SA"/>
              </w:rPr>
              <w:t>）</w:t>
            </w:r>
            <w:r>
              <w:rPr>
                <w:rFonts w:ascii="Times New Roman" w:hAnsi="Times New Roman" w:eastAsia="宋体" w:cs="Times New Roman"/>
                <w:bCs/>
                <w:color w:val="auto"/>
                <w:sz w:val="21"/>
                <w:szCs w:val="21"/>
              </w:rPr>
              <w:t>采用</w:t>
            </w:r>
            <w:r>
              <w:rPr>
                <w:rFonts w:hint="eastAsia" w:ascii="Times New Roman" w:hAnsi="Times New Roman" w:eastAsia="宋体" w:cs="Times New Roman"/>
                <w:bCs/>
                <w:color w:val="auto"/>
                <w:sz w:val="21"/>
                <w:szCs w:val="21"/>
                <w:lang w:val="en-US" w:eastAsia="zh-CN"/>
              </w:rPr>
              <w:t>布袋除尘器+二级</w:t>
            </w:r>
            <w:r>
              <w:rPr>
                <w:rFonts w:ascii="Times New Roman" w:hAnsi="Times New Roman" w:eastAsia="宋体" w:cs="Times New Roman"/>
                <w:bCs/>
                <w:color w:val="auto"/>
                <w:sz w:val="21"/>
                <w:szCs w:val="21"/>
              </w:rPr>
              <w:t>活性炭吸附箱</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烟尘</w:t>
            </w:r>
            <w:r>
              <w:rPr>
                <w:rFonts w:hint="eastAsia"/>
                <w:bCs/>
                <w:color w:val="auto"/>
                <w:sz w:val="21"/>
                <w:szCs w:val="21"/>
                <w:lang w:val="en-US" w:eastAsia="zh-CN"/>
              </w:rPr>
              <w:t>处理</w:t>
            </w:r>
            <w:r>
              <w:rPr>
                <w:rFonts w:hint="eastAsia"/>
                <w:bCs/>
                <w:color w:val="auto"/>
                <w:sz w:val="21"/>
                <w:szCs w:val="21"/>
              </w:rPr>
              <w:t>效率99%</w:t>
            </w:r>
            <w:r>
              <w:rPr>
                <w:rFonts w:hint="eastAsia"/>
                <w:bCs/>
                <w:color w:val="auto"/>
                <w:sz w:val="21"/>
                <w:szCs w:val="21"/>
                <w:lang w:eastAsia="zh-CN"/>
              </w:rPr>
              <w:t>，</w:t>
            </w:r>
            <w:r>
              <w:rPr>
                <w:rFonts w:hint="eastAsia"/>
                <w:bCs/>
                <w:color w:val="auto"/>
                <w:sz w:val="21"/>
                <w:szCs w:val="21"/>
                <w:lang w:val="en-US" w:eastAsia="zh-CN"/>
              </w:rPr>
              <w:t>沥青烟气处理效率98%</w:t>
            </w:r>
            <w:r>
              <w:rPr>
                <w:rFonts w:hint="eastAsia" w:ascii="Times New Roman" w:hAnsi="Times New Roman" w:eastAsia="宋体" w:cs="Times New Roman"/>
                <w:bCs/>
                <w:color w:val="auto"/>
                <w:sz w:val="21"/>
                <w:szCs w:val="21"/>
                <w:lang w:eastAsia="zh-CN"/>
              </w:rPr>
              <w:t>）</w:t>
            </w:r>
            <w:r>
              <w:rPr>
                <w:rFonts w:ascii="Times New Roman" w:hAnsi="Times New Roman" w:eastAsia="宋体" w:cs="Times New Roman"/>
                <w:bCs/>
                <w:color w:val="auto"/>
                <w:sz w:val="21"/>
                <w:szCs w:val="21"/>
              </w:rPr>
              <w:t>进行处理，处理后经</w:t>
            </w:r>
            <w:r>
              <w:rPr>
                <w:rFonts w:hint="eastAsia" w:ascii="Times New Roman" w:hAnsi="Times New Roman" w:eastAsia="宋体" w:cs="Times New Roman"/>
                <w:bCs/>
                <w:color w:val="auto"/>
                <w:sz w:val="21"/>
                <w:szCs w:val="21"/>
                <w:lang w:val="en-US" w:eastAsia="zh-CN"/>
              </w:rPr>
              <w:t>1根20</w:t>
            </w:r>
            <w:r>
              <w:rPr>
                <w:rFonts w:ascii="Times New Roman" w:hAnsi="Times New Roman" w:eastAsia="宋体" w:cs="Times New Roman"/>
                <w:bCs/>
                <w:color w:val="auto"/>
                <w:sz w:val="21"/>
                <w:szCs w:val="21"/>
              </w:rPr>
              <w:t>m高</w:t>
            </w:r>
            <w:r>
              <w:rPr>
                <w:rFonts w:hint="eastAsia" w:ascii="Times New Roman" w:hAnsi="Times New Roman" w:eastAsia="宋体" w:cs="Times New Roman"/>
                <w:bCs/>
                <w:color w:val="auto"/>
                <w:kern w:val="2"/>
                <w:sz w:val="21"/>
                <w:szCs w:val="21"/>
                <w:lang w:val="en-US" w:eastAsia="zh-CN" w:bidi="ar-SA"/>
              </w:rPr>
              <w:t>DA005</w:t>
            </w:r>
            <w:r>
              <w:rPr>
                <w:rFonts w:ascii="Times New Roman" w:hAnsi="Times New Roman" w:eastAsia="宋体" w:cs="Times New Roman"/>
                <w:bCs/>
                <w:color w:val="auto"/>
                <w:sz w:val="21"/>
                <w:szCs w:val="21"/>
              </w:rPr>
              <w:t>排气筒排放</w:t>
            </w:r>
            <w:r>
              <w:rPr>
                <w:rFonts w:hint="eastAsia" w:ascii="Times New Roman" w:hAnsi="Times New Roman" w:eastAsia="宋体" w:cs="Times New Roman"/>
                <w:bCs/>
                <w:color w:val="auto"/>
                <w:sz w:val="21"/>
                <w:szCs w:val="21"/>
                <w:lang w:eastAsia="zh-CN"/>
              </w:rPr>
              <w:t>。</w:t>
            </w:r>
          </w:p>
        </w:tc>
        <w:tc>
          <w:tcPr>
            <w:tcW w:w="1143" w:type="pct"/>
            <w:noWrap w:val="0"/>
            <w:vAlign w:val="center"/>
          </w:tcPr>
          <w:p w14:paraId="29C921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《大气污染物综合排放标准》（GB16297-1996）表2二级标准</w:t>
            </w:r>
          </w:p>
        </w:tc>
      </w:tr>
      <w:tr w14:paraId="3542D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397" w:type="pct"/>
            <w:vMerge w:val="continue"/>
            <w:noWrap w:val="0"/>
            <w:vAlign w:val="center"/>
          </w:tcPr>
          <w:p w14:paraId="515F92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883" w:type="pct"/>
            <w:noWrap w:val="0"/>
            <w:vAlign w:val="center"/>
          </w:tcPr>
          <w:p w14:paraId="14E4C6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矿粉仓排气筒DA00</w:t>
            </w:r>
            <w:r>
              <w:rPr>
                <w:rFonts w:hint="eastAsia"/>
                <w:color w:val="auto"/>
                <w:sz w:val="21"/>
                <w:szCs w:val="21"/>
                <w:lang w:val="en-US" w:eastAsia="zh-CN"/>
              </w:rPr>
              <w:t>6</w:t>
            </w:r>
          </w:p>
        </w:tc>
        <w:tc>
          <w:tcPr>
            <w:tcW w:w="486" w:type="pct"/>
            <w:noWrap w:val="0"/>
            <w:vAlign w:val="center"/>
          </w:tcPr>
          <w:p w14:paraId="68F77C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粉尘</w:t>
            </w:r>
          </w:p>
        </w:tc>
        <w:tc>
          <w:tcPr>
            <w:tcW w:w="2089" w:type="pct"/>
            <w:noWrap w:val="0"/>
            <w:vAlign w:val="center"/>
          </w:tcPr>
          <w:p w14:paraId="504E830B">
            <w:pPr>
              <w:snapToGrid w:val="0"/>
              <w:spacing w:line="240" w:lineRule="auto"/>
              <w:ind w:left="0" w:leftChars="0" w:firstLine="0" w:firstLineChars="0"/>
              <w:jc w:val="center"/>
              <w:rPr>
                <w:rFonts w:ascii="Times New Roman" w:hAnsi="Times New Roman"/>
                <w:bCs/>
                <w:color w:val="auto"/>
                <w:sz w:val="21"/>
                <w:szCs w:val="21"/>
              </w:rPr>
            </w:pPr>
            <w:r>
              <w:rPr>
                <w:rFonts w:hint="eastAsia"/>
                <w:bCs/>
                <w:color w:val="auto"/>
                <w:sz w:val="21"/>
                <w:szCs w:val="21"/>
              </w:rPr>
              <w:t>矿粉仓粉尘由仓顶自带脉冲式布袋除尘设施处理（</w:t>
            </w:r>
            <w:r>
              <w:rPr>
                <w:rFonts w:hint="eastAsia"/>
                <w:bCs/>
                <w:color w:val="auto"/>
                <w:sz w:val="21"/>
                <w:szCs w:val="21"/>
                <w:lang w:val="en-US" w:eastAsia="zh-CN"/>
              </w:rPr>
              <w:t>处理</w:t>
            </w:r>
            <w:r>
              <w:rPr>
                <w:rFonts w:hint="eastAsia"/>
                <w:bCs/>
                <w:color w:val="auto"/>
                <w:sz w:val="21"/>
                <w:szCs w:val="21"/>
              </w:rPr>
              <w:t>效率99%），通过仓顶</w:t>
            </w:r>
            <w:r>
              <w:rPr>
                <w:rFonts w:hint="eastAsia"/>
                <w:bCs/>
                <w:color w:val="auto"/>
                <w:sz w:val="21"/>
                <w:szCs w:val="21"/>
                <w:lang w:val="en-US" w:eastAsia="zh-CN"/>
              </w:rPr>
              <w:t>30</w:t>
            </w:r>
            <w:r>
              <w:rPr>
                <w:rFonts w:hint="eastAsia"/>
                <w:bCs/>
                <w:color w:val="auto"/>
                <w:sz w:val="21"/>
                <w:szCs w:val="21"/>
              </w:rPr>
              <w:t>m高排气筒（DA00</w:t>
            </w:r>
            <w:r>
              <w:rPr>
                <w:rFonts w:hint="eastAsia"/>
                <w:bCs/>
                <w:color w:val="auto"/>
                <w:sz w:val="21"/>
                <w:szCs w:val="21"/>
                <w:lang w:val="en-US" w:eastAsia="zh-CN"/>
              </w:rPr>
              <w:t>6</w:t>
            </w:r>
            <w:r>
              <w:rPr>
                <w:rFonts w:hint="eastAsia"/>
                <w:bCs/>
                <w:color w:val="auto"/>
                <w:sz w:val="21"/>
                <w:szCs w:val="21"/>
              </w:rPr>
              <w:t>）外排</w:t>
            </w:r>
            <w:r>
              <w:rPr>
                <w:rFonts w:hint="eastAsia"/>
                <w:bCs/>
                <w:color w:val="auto"/>
                <w:sz w:val="21"/>
                <w:szCs w:val="21"/>
                <w:lang w:eastAsia="zh-CN"/>
              </w:rPr>
              <w:t>，</w:t>
            </w:r>
            <w:r>
              <w:rPr>
                <w:rFonts w:hint="eastAsia"/>
                <w:bCs/>
                <w:color w:val="auto"/>
                <w:sz w:val="21"/>
                <w:szCs w:val="21"/>
              </w:rPr>
              <w:t>处理系统总风量</w:t>
            </w:r>
            <w:r>
              <w:rPr>
                <w:rFonts w:hint="eastAsia"/>
                <w:bCs/>
                <w:color w:val="auto"/>
                <w:sz w:val="21"/>
                <w:szCs w:val="21"/>
                <w:lang w:val="en-US" w:eastAsia="zh-CN"/>
              </w:rPr>
              <w:t>3</w:t>
            </w:r>
            <w:r>
              <w:rPr>
                <w:rFonts w:hint="eastAsia"/>
                <w:bCs/>
                <w:color w:val="auto"/>
                <w:sz w:val="21"/>
                <w:szCs w:val="21"/>
              </w:rPr>
              <w:t>000m</w:t>
            </w:r>
            <w:r>
              <w:rPr>
                <w:rFonts w:hint="eastAsia"/>
                <w:bCs/>
                <w:color w:val="auto"/>
                <w:sz w:val="21"/>
                <w:szCs w:val="21"/>
                <w:vertAlign w:val="superscript"/>
              </w:rPr>
              <w:t>3</w:t>
            </w:r>
            <w:r>
              <w:rPr>
                <w:rFonts w:hint="eastAsia"/>
                <w:bCs/>
                <w:color w:val="auto"/>
                <w:sz w:val="21"/>
                <w:szCs w:val="21"/>
              </w:rPr>
              <w:t>/h。</w:t>
            </w:r>
          </w:p>
        </w:tc>
        <w:tc>
          <w:tcPr>
            <w:tcW w:w="1143" w:type="pct"/>
            <w:noWrap w:val="0"/>
            <w:vAlign w:val="center"/>
          </w:tcPr>
          <w:p w14:paraId="0D967F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《水泥工业大气污染物排放标准》</w:t>
            </w:r>
            <w:r>
              <w:rPr>
                <w:rFonts w:hint="eastAsia" w:ascii="Times New Roman" w:hAnsi="Times New Roman"/>
                <w:bCs/>
                <w:color w:val="auto"/>
                <w:sz w:val="21"/>
                <w:szCs w:val="21"/>
              </w:rPr>
              <w:t>（</w:t>
            </w:r>
            <w:r>
              <w:rPr>
                <w:rFonts w:ascii="Times New Roman" w:hAnsi="Times New Roman"/>
                <w:bCs/>
                <w:color w:val="auto"/>
                <w:sz w:val="21"/>
                <w:szCs w:val="21"/>
              </w:rPr>
              <w:t>GB</w:t>
            </w:r>
            <w:r>
              <w:rPr>
                <w:rFonts w:hint="eastAsia" w:ascii="Times New Roman" w:hAnsi="Times New Roman"/>
                <w:bCs/>
                <w:color w:val="auto"/>
                <w:sz w:val="21"/>
                <w:szCs w:val="21"/>
              </w:rPr>
              <w:t>4915</w:t>
            </w:r>
            <w:r>
              <w:rPr>
                <w:rFonts w:ascii="Times New Roman" w:hAnsi="Times New Roman"/>
                <w:bCs/>
                <w:color w:val="auto"/>
                <w:sz w:val="21"/>
                <w:szCs w:val="21"/>
              </w:rPr>
              <w:t>-201</w:t>
            </w:r>
            <w:r>
              <w:rPr>
                <w:rFonts w:hint="eastAsia" w:ascii="Times New Roman" w:hAnsi="Times New Roman"/>
                <w:bCs/>
                <w:color w:val="auto"/>
                <w:sz w:val="21"/>
                <w:szCs w:val="21"/>
              </w:rPr>
              <w:t>3）表2“散装水泥中转站及水泥制品生产”</w:t>
            </w:r>
          </w:p>
        </w:tc>
      </w:tr>
      <w:tr w14:paraId="21AC5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97" w:type="pct"/>
            <w:vMerge w:val="continue"/>
            <w:noWrap w:val="0"/>
            <w:vAlign w:val="center"/>
          </w:tcPr>
          <w:p w14:paraId="045FB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883" w:type="pct"/>
            <w:noWrap w:val="0"/>
            <w:vAlign w:val="center"/>
          </w:tcPr>
          <w:p w14:paraId="5098C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厨房</w:t>
            </w:r>
          </w:p>
        </w:tc>
        <w:tc>
          <w:tcPr>
            <w:tcW w:w="486" w:type="pct"/>
            <w:noWrap w:val="0"/>
            <w:vAlign w:val="center"/>
          </w:tcPr>
          <w:p w14:paraId="00BEAE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油烟</w:t>
            </w:r>
          </w:p>
        </w:tc>
        <w:tc>
          <w:tcPr>
            <w:tcW w:w="2089" w:type="pct"/>
            <w:noWrap w:val="0"/>
            <w:vAlign w:val="center"/>
          </w:tcPr>
          <w:p w14:paraId="714C21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设1个油烟净化器，食堂油烟经净化效率为60%的油烟净化器处理后，</w:t>
            </w:r>
            <w:r>
              <w:rPr>
                <w:rFonts w:hint="eastAsia"/>
                <w:bCs/>
                <w:color w:val="auto"/>
                <w:sz w:val="21"/>
                <w:szCs w:val="21"/>
                <w:lang w:val="en-US" w:eastAsia="zh-CN"/>
              </w:rPr>
              <w:t>通过高出</w:t>
            </w:r>
            <w:r>
              <w:rPr>
                <w:rFonts w:ascii="Times New Roman" w:hAnsi="Times New Roman"/>
                <w:bCs/>
                <w:color w:val="auto"/>
                <w:sz w:val="21"/>
                <w:szCs w:val="21"/>
              </w:rPr>
              <w:t>食堂楼顶</w:t>
            </w:r>
            <w:r>
              <w:rPr>
                <w:rFonts w:hint="eastAsia"/>
                <w:bCs/>
                <w:color w:val="auto"/>
                <w:sz w:val="21"/>
                <w:szCs w:val="21"/>
                <w:lang w:val="en-US" w:eastAsia="zh-CN"/>
              </w:rPr>
              <w:t>1.5m</w:t>
            </w:r>
            <w:r>
              <w:rPr>
                <w:rFonts w:ascii="Times New Roman" w:hAnsi="Times New Roman"/>
                <w:bCs/>
                <w:color w:val="auto"/>
                <w:sz w:val="21"/>
                <w:szCs w:val="21"/>
              </w:rPr>
              <w:t>烟囱外排。</w:t>
            </w:r>
          </w:p>
        </w:tc>
        <w:tc>
          <w:tcPr>
            <w:tcW w:w="1143" w:type="pct"/>
            <w:noWrap w:val="0"/>
            <w:vAlign w:val="center"/>
          </w:tcPr>
          <w:p w14:paraId="77BB19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《饮食业油烟排放标准（试行）》（GB18483-2001）“小型”规模标准</w:t>
            </w:r>
          </w:p>
        </w:tc>
      </w:tr>
      <w:tr w14:paraId="4B02E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97" w:type="pct"/>
            <w:vMerge w:val="continue"/>
            <w:noWrap w:val="0"/>
            <w:vAlign w:val="center"/>
          </w:tcPr>
          <w:p w14:paraId="4AD1E0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883" w:type="pct"/>
            <w:noWrap w:val="0"/>
            <w:vAlign w:val="center"/>
          </w:tcPr>
          <w:p w14:paraId="7BD62B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eastAsia="宋体" w:cs="Times New Roman"/>
                <w:color w:val="auto"/>
                <w:spacing w:val="0"/>
                <w:position w:val="0"/>
                <w:sz w:val="21"/>
                <w:szCs w:val="21"/>
              </w:rPr>
              <w:t>骨料堆场粉尘、卸料扬尘、汽车扬尘</w:t>
            </w:r>
            <w:r>
              <w:rPr>
                <w:rFonts w:ascii="Times New Roman" w:hAnsi="Times New Roman"/>
                <w:color w:val="auto"/>
                <w:sz w:val="21"/>
                <w:szCs w:val="21"/>
              </w:rPr>
              <w:t>（无组织排放）</w:t>
            </w:r>
          </w:p>
        </w:tc>
        <w:tc>
          <w:tcPr>
            <w:tcW w:w="486" w:type="pct"/>
            <w:noWrap w:val="0"/>
            <w:vAlign w:val="center"/>
          </w:tcPr>
          <w:p w14:paraId="56B51B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eastAsia"/>
                <w:color w:val="auto"/>
                <w:sz w:val="21"/>
                <w:szCs w:val="21"/>
                <w:lang w:eastAsia="zh-CN"/>
              </w:rPr>
              <w:t>颗粒物</w:t>
            </w:r>
          </w:p>
        </w:tc>
        <w:tc>
          <w:tcPr>
            <w:tcW w:w="2089" w:type="pct"/>
            <w:noWrap w:val="0"/>
            <w:vAlign w:val="center"/>
          </w:tcPr>
          <w:p w14:paraId="2F29CB19">
            <w:pPr>
              <w:snapToGrid w:val="0"/>
              <w:spacing w:line="240" w:lineRule="auto"/>
              <w:ind w:left="0" w:leftChars="0" w:firstLine="0" w:firstLineChars="0"/>
              <w:jc w:val="center"/>
              <w:rPr>
                <w:rFonts w:ascii="Times New Roman" w:hAnsi="Times New Roman"/>
                <w:color w:val="auto"/>
                <w:sz w:val="21"/>
                <w:szCs w:val="21"/>
              </w:rPr>
            </w:pPr>
            <w:r>
              <w:rPr>
                <w:rFonts w:hint="default" w:ascii="Times New Roman" w:hAnsi="Times New Roman" w:cs="Times New Roman"/>
                <w:color w:val="auto"/>
                <w:sz w:val="21"/>
                <w:szCs w:val="21"/>
                <w:lang w:bidi="ar"/>
              </w:rPr>
              <w:t>堆料棚设置三面围挡及彩钢瓦顶棚</w:t>
            </w:r>
            <w:r>
              <w:rPr>
                <w:rFonts w:hint="eastAsia" w:ascii="Times New Roman" w:hAnsi="Times New Roman" w:cs="Times New Roman"/>
                <w:color w:val="auto"/>
                <w:sz w:val="21"/>
                <w:szCs w:val="21"/>
                <w:lang w:eastAsia="zh-CN" w:bidi="ar"/>
              </w:rPr>
              <w:t>，</w:t>
            </w:r>
            <w:r>
              <w:rPr>
                <w:rFonts w:hint="eastAsia"/>
                <w:bCs/>
                <w:color w:val="auto"/>
                <w:sz w:val="21"/>
                <w:szCs w:val="21"/>
              </w:rPr>
              <w:t>敞开一侧设置喷雾设施</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pacing w:val="0"/>
                <w:position w:val="0"/>
                <w:sz w:val="21"/>
                <w:szCs w:val="21"/>
              </w:rPr>
              <w:t>进出车辆经过冲洗平台</w:t>
            </w:r>
            <w:r>
              <w:rPr>
                <w:rFonts w:hint="eastAsia" w:ascii="Times New Roman" w:hAnsi="Times New Roman" w:eastAsia="宋体" w:cs="Times New Roman"/>
                <w:color w:val="auto"/>
                <w:spacing w:val="0"/>
                <w:position w:val="0"/>
                <w:sz w:val="21"/>
                <w:szCs w:val="21"/>
                <w:lang w:eastAsia="zh-CN"/>
              </w:rPr>
              <w:t>；</w:t>
            </w:r>
            <w:r>
              <w:rPr>
                <w:rFonts w:hint="eastAsia" w:ascii="Times New Roman" w:hAnsi="Times New Roman" w:eastAsia="宋体" w:cs="Times New Roman"/>
                <w:bCs/>
                <w:color w:val="auto"/>
                <w:sz w:val="21"/>
                <w:szCs w:val="21"/>
              </w:rPr>
              <w:t>采用密闭式皮带输送系统将骨料输送至各生产线</w:t>
            </w:r>
            <w:r>
              <w:rPr>
                <w:rFonts w:hint="eastAsia" w:ascii="Times New Roman" w:hAnsi="Times New Roman" w:eastAsia="宋体" w:cs="Times New Roman"/>
                <w:bCs/>
                <w:color w:val="auto"/>
                <w:sz w:val="21"/>
                <w:szCs w:val="21"/>
                <w:lang w:eastAsia="zh-CN"/>
              </w:rPr>
              <w:t>；</w:t>
            </w:r>
            <w:r>
              <w:rPr>
                <w:rFonts w:hint="eastAsia" w:cs="Times New Roman"/>
                <w:color w:val="auto"/>
                <w:sz w:val="21"/>
                <w:szCs w:val="21"/>
                <w:lang w:val="en-US" w:eastAsia="zh-CN" w:bidi="ar"/>
              </w:rPr>
              <w:t>厂内进行地面硬化，</w:t>
            </w:r>
            <w:r>
              <w:rPr>
                <w:rFonts w:hint="default" w:ascii="Times New Roman" w:hAnsi="Times New Roman" w:cs="Times New Roman"/>
                <w:color w:val="auto"/>
                <w:sz w:val="21"/>
                <w:szCs w:val="21"/>
                <w:lang w:bidi="ar"/>
              </w:rPr>
              <w:t>设置2个雾炮机进行洒水降尘</w:t>
            </w:r>
          </w:p>
        </w:tc>
        <w:tc>
          <w:tcPr>
            <w:tcW w:w="1143" w:type="pct"/>
            <w:vMerge w:val="restart"/>
            <w:noWrap w:val="0"/>
            <w:vAlign w:val="center"/>
          </w:tcPr>
          <w:p w14:paraId="69B5E3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《大气污染物综合排放标准》（GB16297-1996）表2标准</w:t>
            </w:r>
          </w:p>
        </w:tc>
      </w:tr>
      <w:tr w14:paraId="54184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97" w:type="pct"/>
            <w:vMerge w:val="continue"/>
            <w:noWrap w:val="0"/>
            <w:vAlign w:val="center"/>
          </w:tcPr>
          <w:p w14:paraId="3A175A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883" w:type="pct"/>
            <w:noWrap w:val="0"/>
            <w:vAlign w:val="center"/>
          </w:tcPr>
          <w:p w14:paraId="7B34B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eastAsia"/>
                <w:color w:val="auto"/>
                <w:sz w:val="21"/>
                <w:szCs w:val="21"/>
                <w:lang w:val="en-US" w:eastAsia="zh-CN"/>
              </w:rPr>
              <w:t>2个</w:t>
            </w:r>
            <w:r>
              <w:rPr>
                <w:rFonts w:ascii="Times New Roman" w:hAnsi="Times New Roman"/>
                <w:color w:val="auto"/>
                <w:sz w:val="21"/>
                <w:szCs w:val="21"/>
              </w:rPr>
              <w:t>柴油储罐（无组织排放）</w:t>
            </w:r>
          </w:p>
        </w:tc>
        <w:tc>
          <w:tcPr>
            <w:tcW w:w="486" w:type="pct"/>
            <w:noWrap w:val="0"/>
            <w:vAlign w:val="center"/>
          </w:tcPr>
          <w:p w14:paraId="4C7A4E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非甲烷总烃</w:t>
            </w:r>
          </w:p>
        </w:tc>
        <w:tc>
          <w:tcPr>
            <w:tcW w:w="2089" w:type="pct"/>
            <w:noWrap w:val="0"/>
            <w:vAlign w:val="center"/>
          </w:tcPr>
          <w:p w14:paraId="77FEE4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r>
              <w:rPr>
                <w:rFonts w:ascii="Times New Roman" w:hAnsi="Times New Roman"/>
                <w:bCs/>
                <w:color w:val="auto"/>
                <w:sz w:val="21"/>
                <w:szCs w:val="21"/>
              </w:rPr>
              <w:t>采用高效密封的卧式双层罐，采用密闭管道供油到设备燃烧</w:t>
            </w:r>
          </w:p>
        </w:tc>
        <w:tc>
          <w:tcPr>
            <w:tcW w:w="1143" w:type="pct"/>
            <w:vMerge w:val="continue"/>
            <w:noWrap w:val="0"/>
            <w:vAlign w:val="center"/>
          </w:tcPr>
          <w:p w14:paraId="18DF21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bCs/>
                <w:color w:val="auto"/>
                <w:sz w:val="21"/>
                <w:szCs w:val="21"/>
              </w:rPr>
            </w:pPr>
          </w:p>
        </w:tc>
      </w:tr>
      <w:tr w14:paraId="3529B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97" w:type="pct"/>
            <w:vMerge w:val="continue"/>
            <w:noWrap w:val="0"/>
            <w:vAlign w:val="center"/>
          </w:tcPr>
          <w:p w14:paraId="652A7A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883" w:type="pct"/>
            <w:noWrap w:val="0"/>
            <w:vAlign w:val="center"/>
          </w:tcPr>
          <w:p w14:paraId="25B50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eastAsia"/>
                <w:color w:val="auto"/>
                <w:sz w:val="21"/>
                <w:szCs w:val="21"/>
                <w:lang w:val="en-US" w:eastAsia="zh-CN"/>
              </w:rPr>
              <w:t>两条</w:t>
            </w:r>
            <w:r>
              <w:rPr>
                <w:rFonts w:ascii="Times New Roman" w:hAnsi="Times New Roman"/>
                <w:color w:val="auto"/>
                <w:sz w:val="21"/>
                <w:szCs w:val="21"/>
              </w:rPr>
              <w:t>沥青生产线（无组织排放）</w:t>
            </w:r>
          </w:p>
        </w:tc>
        <w:tc>
          <w:tcPr>
            <w:tcW w:w="486" w:type="pct"/>
            <w:noWrap w:val="0"/>
            <w:vAlign w:val="center"/>
          </w:tcPr>
          <w:p w14:paraId="42F214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bCs/>
                <w:color w:val="auto"/>
                <w:sz w:val="21"/>
                <w:szCs w:val="21"/>
              </w:rPr>
              <w:t>沥青烟、苯并[a]芘</w:t>
            </w:r>
          </w:p>
        </w:tc>
        <w:tc>
          <w:tcPr>
            <w:tcW w:w="2089" w:type="pct"/>
            <w:noWrap w:val="0"/>
            <w:vAlign w:val="center"/>
          </w:tcPr>
          <w:p w14:paraId="04B2BB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eastAsia" w:ascii="Times New Roman" w:hAnsi="宋体" w:eastAsia="宋体" w:cs="Times New Roman"/>
                <w:bCs/>
                <w:color w:val="auto"/>
                <w:sz w:val="21"/>
                <w:szCs w:val="21"/>
              </w:rPr>
              <w:t>采用的沥青罐、搅拌罐及成品仓均为密闭式</w:t>
            </w:r>
            <w:r>
              <w:rPr>
                <w:rFonts w:hint="eastAsia" w:ascii="Times New Roman" w:hAnsi="宋体" w:eastAsia="宋体" w:cs="Times New Roman"/>
                <w:bCs/>
                <w:color w:val="auto"/>
                <w:sz w:val="21"/>
                <w:szCs w:val="21"/>
                <w:lang w:eastAsia="zh-CN"/>
              </w:rPr>
              <w:t>，</w:t>
            </w:r>
            <w:r>
              <w:rPr>
                <w:rFonts w:hint="eastAsia" w:ascii="Times New Roman" w:hAnsi="宋体" w:eastAsia="宋体" w:cs="Times New Roman"/>
                <w:bCs/>
                <w:color w:val="auto"/>
                <w:sz w:val="21"/>
                <w:szCs w:val="21"/>
              </w:rPr>
              <w:t>下料口增加环形集气罩收集措施</w:t>
            </w:r>
          </w:p>
        </w:tc>
        <w:tc>
          <w:tcPr>
            <w:tcW w:w="1143" w:type="pct"/>
            <w:vMerge w:val="continue"/>
            <w:noWrap w:val="0"/>
            <w:vAlign w:val="center"/>
          </w:tcPr>
          <w:p w14:paraId="7BC518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r>
      <w:tr w14:paraId="02021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97" w:type="pct"/>
            <w:vMerge w:val="restart"/>
            <w:noWrap w:val="0"/>
            <w:vAlign w:val="center"/>
          </w:tcPr>
          <w:p w14:paraId="39CCAD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地表水环境</w:t>
            </w:r>
          </w:p>
        </w:tc>
        <w:tc>
          <w:tcPr>
            <w:tcW w:w="883" w:type="pct"/>
            <w:noWrap w:val="0"/>
            <w:vAlign w:val="center"/>
          </w:tcPr>
          <w:p w14:paraId="55DAF40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hint="default" w:ascii="Times New Roman" w:hAnsi="Times New Roman" w:cs="Times New Roman"/>
                <w:color w:val="auto"/>
                <w:sz w:val="21"/>
                <w:szCs w:val="21"/>
              </w:rPr>
              <w:t>地面冲洗废水</w:t>
            </w:r>
            <w:r>
              <w:rPr>
                <w:rFonts w:hint="eastAsia" w:cs="Times New Roman"/>
                <w:color w:val="auto"/>
                <w:sz w:val="21"/>
                <w:szCs w:val="21"/>
                <w:lang w:eastAsia="zh-CN"/>
              </w:rPr>
              <w:t>、</w:t>
            </w:r>
            <w:r>
              <w:rPr>
                <w:rFonts w:hint="default" w:ascii="Times New Roman" w:hAnsi="Times New Roman" w:cs="Times New Roman"/>
                <w:color w:val="auto"/>
                <w:sz w:val="21"/>
                <w:szCs w:val="21"/>
              </w:rPr>
              <w:t>初期雨水</w:t>
            </w:r>
            <w:r>
              <w:rPr>
                <w:rFonts w:hint="eastAsia" w:cs="Times New Roman"/>
                <w:color w:val="auto"/>
                <w:sz w:val="21"/>
                <w:szCs w:val="21"/>
                <w:lang w:eastAsia="zh-CN"/>
              </w:rPr>
              <w:t>、</w:t>
            </w:r>
            <w:r>
              <w:rPr>
                <w:rFonts w:hint="eastAsia" w:cs="Times New Roman"/>
                <w:color w:val="auto"/>
                <w:sz w:val="21"/>
                <w:szCs w:val="21"/>
                <w:lang w:val="en-US" w:eastAsia="zh-CN"/>
              </w:rPr>
              <w:t>车辆和设备冲洗废水</w:t>
            </w:r>
          </w:p>
        </w:tc>
        <w:tc>
          <w:tcPr>
            <w:tcW w:w="486" w:type="pct"/>
            <w:noWrap w:val="0"/>
            <w:vAlign w:val="center"/>
          </w:tcPr>
          <w:p w14:paraId="56A5ECA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z w:val="21"/>
                <w:szCs w:val="21"/>
              </w:rPr>
              <w:t>SS</w:t>
            </w:r>
            <w:r>
              <w:rPr>
                <w:rFonts w:hint="eastAsia"/>
                <w:color w:val="auto"/>
                <w:sz w:val="21"/>
                <w:szCs w:val="21"/>
                <w:lang w:eastAsia="zh-CN"/>
              </w:rPr>
              <w:t>、</w:t>
            </w:r>
            <w:r>
              <w:rPr>
                <w:rFonts w:hint="eastAsia"/>
                <w:color w:val="auto"/>
                <w:sz w:val="21"/>
                <w:szCs w:val="21"/>
                <w:lang w:val="en-US" w:eastAsia="zh-CN"/>
              </w:rPr>
              <w:t>石油类</w:t>
            </w:r>
          </w:p>
        </w:tc>
        <w:tc>
          <w:tcPr>
            <w:tcW w:w="2089" w:type="pct"/>
            <w:noWrap w:val="0"/>
            <w:vAlign w:val="center"/>
          </w:tcPr>
          <w:p w14:paraId="2C1AD3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设置</w:t>
            </w:r>
            <w:r>
              <w:rPr>
                <w:rFonts w:hint="eastAsia" w:ascii="Times New Roman" w:hAnsi="Times New Roman"/>
                <w:color w:val="auto"/>
                <w:sz w:val="21"/>
                <w:szCs w:val="21"/>
                <w:lang w:val="en-US" w:eastAsia="zh-CN"/>
              </w:rPr>
              <w:t>1</w:t>
            </w:r>
            <w:r>
              <w:rPr>
                <w:rFonts w:ascii="Times New Roman" w:hAnsi="Times New Roman"/>
                <w:color w:val="auto"/>
                <w:sz w:val="21"/>
                <w:szCs w:val="21"/>
              </w:rPr>
              <w:t>个</w:t>
            </w:r>
            <w:r>
              <w:rPr>
                <w:rFonts w:hint="eastAsia"/>
                <w:color w:val="auto"/>
                <w:sz w:val="21"/>
                <w:szCs w:val="21"/>
                <w:lang w:val="en-US" w:eastAsia="zh-CN"/>
              </w:rPr>
              <w:t>50</w:t>
            </w:r>
            <w:r>
              <w:rPr>
                <w:rFonts w:ascii="Times New Roman" w:hAnsi="Times New Roman"/>
                <w:color w:val="auto"/>
                <w:sz w:val="21"/>
                <w:szCs w:val="21"/>
              </w:rPr>
              <w:t>m</w:t>
            </w:r>
            <w:r>
              <w:rPr>
                <w:rFonts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lang w:val="en-US" w:eastAsia="zh-CN"/>
              </w:rPr>
              <w:t>三级隔油沉淀池</w:t>
            </w:r>
            <w:r>
              <w:rPr>
                <w:rFonts w:ascii="Times New Roman" w:hAnsi="Times New Roman" w:eastAsia="宋体" w:cs="Times New Roman"/>
                <w:color w:val="auto"/>
                <w:sz w:val="21"/>
                <w:szCs w:val="21"/>
              </w:rPr>
              <w:t>，</w:t>
            </w:r>
            <w:r>
              <w:rPr>
                <w:rFonts w:ascii="Times New Roman" w:hAnsi="Times New Roman"/>
                <w:color w:val="auto"/>
                <w:sz w:val="21"/>
                <w:szCs w:val="21"/>
              </w:rPr>
              <w:t>经沉淀处理后回用</w:t>
            </w:r>
            <w:r>
              <w:rPr>
                <w:rFonts w:hint="eastAsia"/>
                <w:color w:val="auto"/>
                <w:sz w:val="21"/>
                <w:szCs w:val="21"/>
                <w:lang w:val="en-US" w:eastAsia="zh-CN"/>
              </w:rPr>
              <w:t>于</w:t>
            </w:r>
            <w:r>
              <w:rPr>
                <w:rFonts w:hint="default" w:ascii="Times New Roman" w:hAnsi="Times New Roman"/>
                <w:color w:val="auto"/>
                <w:sz w:val="21"/>
                <w:szCs w:val="21"/>
                <w:lang w:val="en-US" w:eastAsia="zh-CN"/>
              </w:rPr>
              <w:t>地面冲洗</w:t>
            </w:r>
            <w:r>
              <w:rPr>
                <w:rFonts w:hint="eastAsia" w:ascii="Times New Roman" w:hAnsi="Times New Roman"/>
                <w:color w:val="auto"/>
                <w:sz w:val="21"/>
                <w:szCs w:val="21"/>
                <w:lang w:val="en-US" w:eastAsia="zh-CN"/>
              </w:rPr>
              <w:t>及洒水降尘</w:t>
            </w:r>
          </w:p>
        </w:tc>
        <w:tc>
          <w:tcPr>
            <w:tcW w:w="1143" w:type="pct"/>
            <w:noWrap w:val="0"/>
            <w:vAlign w:val="center"/>
          </w:tcPr>
          <w:p w14:paraId="135157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回用不外排</w:t>
            </w:r>
          </w:p>
        </w:tc>
      </w:tr>
      <w:tr w14:paraId="66FBE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97" w:type="pct"/>
            <w:vMerge w:val="continue"/>
            <w:noWrap w:val="0"/>
            <w:vAlign w:val="center"/>
          </w:tcPr>
          <w:p w14:paraId="047B1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p>
        </w:tc>
        <w:tc>
          <w:tcPr>
            <w:tcW w:w="883" w:type="pct"/>
            <w:noWrap w:val="0"/>
            <w:vAlign w:val="center"/>
          </w:tcPr>
          <w:p w14:paraId="72C73EF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办公生活</w:t>
            </w:r>
          </w:p>
        </w:tc>
        <w:tc>
          <w:tcPr>
            <w:tcW w:w="486" w:type="pct"/>
            <w:noWrap w:val="0"/>
            <w:vAlign w:val="center"/>
          </w:tcPr>
          <w:p w14:paraId="3B6197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olor w:val="auto"/>
                <w:sz w:val="21"/>
                <w:szCs w:val="21"/>
                <w:lang w:eastAsia="zh-CN"/>
              </w:rPr>
            </w:pPr>
            <w:r>
              <w:rPr>
                <w:rFonts w:ascii="Times New Roman" w:hAnsi="Times New Roman"/>
                <w:color w:val="auto"/>
                <w:sz w:val="21"/>
                <w:szCs w:val="21"/>
              </w:rPr>
              <w:t>生活</w:t>
            </w:r>
            <w:r>
              <w:rPr>
                <w:rFonts w:hint="eastAsia"/>
                <w:color w:val="auto"/>
                <w:sz w:val="21"/>
                <w:szCs w:val="21"/>
                <w:lang w:val="en-US" w:eastAsia="zh-CN"/>
              </w:rPr>
              <w:t>污水</w:t>
            </w:r>
          </w:p>
        </w:tc>
        <w:tc>
          <w:tcPr>
            <w:tcW w:w="2089" w:type="pct"/>
            <w:noWrap w:val="0"/>
            <w:vAlign w:val="center"/>
          </w:tcPr>
          <w:p w14:paraId="28494E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default" w:ascii="Times New Roman" w:hAnsi="Times New Roman" w:cs="Times New Roman"/>
                <w:color w:val="auto"/>
                <w:sz w:val="21"/>
                <w:szCs w:val="21"/>
              </w:rPr>
              <w:t>食堂废水先经</w:t>
            </w:r>
            <w:r>
              <w:rPr>
                <w:rFonts w:hint="eastAsia" w:cs="Times New Roman"/>
                <w:color w:val="auto"/>
                <w:sz w:val="21"/>
                <w:szCs w:val="21"/>
                <w:lang w:eastAsia="zh-CN"/>
              </w:rPr>
              <w:t>隔油池</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bidi="ar"/>
              </w:rPr>
              <w:t>1个</w:t>
            </w:r>
            <w:r>
              <w:rPr>
                <w:rFonts w:hint="eastAsia" w:ascii="Times New Roman" w:hAnsi="Times New Roman" w:cs="Times New Roman"/>
                <w:color w:val="auto"/>
                <w:sz w:val="21"/>
                <w:szCs w:val="21"/>
                <w:lang w:eastAsia="zh-CN" w:bidi="ar"/>
              </w:rPr>
              <w:t>，</w:t>
            </w:r>
            <w:r>
              <w:rPr>
                <w:rFonts w:hint="default" w:ascii="Times New Roman" w:hAnsi="Times New Roman" w:cs="Times New Roman"/>
                <w:color w:val="auto"/>
                <w:sz w:val="21"/>
                <w:szCs w:val="21"/>
                <w:lang w:bidi="ar"/>
              </w:rPr>
              <w:t>0.5m</w:t>
            </w:r>
            <w:r>
              <w:rPr>
                <w:rFonts w:hint="default" w:ascii="Times New Roman" w:hAnsi="Times New Roman" w:cs="Times New Roman"/>
                <w:color w:val="auto"/>
                <w:sz w:val="21"/>
                <w:szCs w:val="21"/>
                <w:vertAlign w:val="superscript"/>
                <w:lang w:bidi="ar"/>
              </w:rPr>
              <w:t>3</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预处理后同其他生活污水一起排入化粪池（</w:t>
            </w:r>
            <w:r>
              <w:rPr>
                <w:rFonts w:hint="eastAsia" w:ascii="Times New Roman" w:hAnsi="Times New Roman" w:cs="Times New Roman"/>
                <w:color w:val="auto"/>
                <w:sz w:val="21"/>
                <w:szCs w:val="21"/>
                <w:lang w:val="en-US" w:eastAsia="zh-CN"/>
              </w:rPr>
              <w:t>1座，</w:t>
            </w:r>
            <w:r>
              <w:rPr>
                <w:rFonts w:hint="default" w:ascii="Times New Roman" w:hAnsi="Times New Roman" w:cs="Times New Roman"/>
                <w:color w:val="auto"/>
                <w:sz w:val="21"/>
                <w:szCs w:val="21"/>
              </w:rPr>
              <w:t>容积为30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rPr>
              <w:t>）进行处理，再排入自建污水处理站（</w:t>
            </w:r>
            <w:r>
              <w:rPr>
                <w:rFonts w:hint="eastAsia" w:ascii="Times New Roman" w:hAnsi="Times New Roman" w:cs="Times New Roman"/>
                <w:color w:val="auto"/>
                <w:sz w:val="21"/>
                <w:szCs w:val="21"/>
                <w:lang w:val="en-US" w:eastAsia="zh-CN"/>
              </w:rPr>
              <w:t>1座，</w:t>
            </w:r>
            <w:r>
              <w:rPr>
                <w:rFonts w:hint="default" w:ascii="Times New Roman" w:hAnsi="Times New Roman" w:cs="Times New Roman"/>
                <w:color w:val="auto"/>
                <w:kern w:val="0"/>
                <w:sz w:val="21"/>
                <w:szCs w:val="21"/>
              </w:rPr>
              <w:t>采用“厌氧+接触氧化+MBR生物膜反应器+消毒</w:t>
            </w:r>
            <w:r>
              <w:rPr>
                <w:rFonts w:hint="default" w:ascii="Times New Roman" w:hAnsi="Times New Roman" w:cs="Times New Roman"/>
                <w:color w:val="auto"/>
                <w:sz w:val="21"/>
                <w:szCs w:val="21"/>
              </w:rPr>
              <w:t>”处理工艺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处理规模为</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bidi="ar"/>
              </w:rPr>
              <w:t>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/d</w:t>
            </w:r>
            <w:r>
              <w:rPr>
                <w:rFonts w:hint="default" w:ascii="Times New Roman" w:hAnsi="Times New Roman" w:cs="Times New Roman"/>
                <w:color w:val="auto"/>
                <w:sz w:val="21"/>
                <w:szCs w:val="21"/>
              </w:rPr>
              <w:t>）处理</w:t>
            </w:r>
          </w:p>
        </w:tc>
        <w:tc>
          <w:tcPr>
            <w:tcW w:w="1143" w:type="pct"/>
            <w:noWrap w:val="0"/>
            <w:vAlign w:val="center"/>
          </w:tcPr>
          <w:p w14:paraId="543E9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近期</w:t>
            </w:r>
            <w:r>
              <w:rPr>
                <w:rFonts w:hint="eastAsia" w:ascii="Times New Roman" w:hAnsi="Times New Roman" w:eastAsia="宋体" w:cs="Times New Roman"/>
                <w:color w:val="auto"/>
                <w:sz w:val="21"/>
                <w:szCs w:val="21"/>
                <w:lang w:val="en-US" w:eastAsia="zh-CN"/>
              </w:rPr>
              <w:t>用于厂区绿化，</w:t>
            </w:r>
            <w:r>
              <w:rPr>
                <w:rFonts w:hint="default" w:ascii="Times New Roman" w:hAnsi="Times New Roman" w:eastAsia="宋体" w:cs="Times New Roman"/>
                <w:color w:val="auto"/>
                <w:sz w:val="21"/>
                <w:szCs w:val="21"/>
                <w:lang w:val="en-US" w:eastAsia="zh-CN"/>
              </w:rPr>
              <w:t>远期进入帕底工业园区污水处理厂</w:t>
            </w:r>
          </w:p>
        </w:tc>
      </w:tr>
      <w:tr w14:paraId="34B53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397" w:type="pct"/>
            <w:noWrap w:val="0"/>
            <w:vAlign w:val="center"/>
          </w:tcPr>
          <w:p w14:paraId="30136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声环境</w:t>
            </w:r>
          </w:p>
        </w:tc>
        <w:tc>
          <w:tcPr>
            <w:tcW w:w="883" w:type="pct"/>
            <w:noWrap w:val="0"/>
            <w:vAlign w:val="center"/>
          </w:tcPr>
          <w:p w14:paraId="3F0CB11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生产车间</w:t>
            </w:r>
          </w:p>
        </w:tc>
        <w:tc>
          <w:tcPr>
            <w:tcW w:w="486" w:type="pct"/>
            <w:noWrap w:val="0"/>
            <w:vAlign w:val="center"/>
          </w:tcPr>
          <w:p w14:paraId="1EB5CB3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设备噪声</w:t>
            </w:r>
          </w:p>
        </w:tc>
        <w:tc>
          <w:tcPr>
            <w:tcW w:w="2089" w:type="pct"/>
            <w:noWrap w:val="0"/>
            <w:vAlign w:val="center"/>
          </w:tcPr>
          <w:p w14:paraId="72C4D36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1、选择合格技术成熟的生产设备，从源头降低噪声源强。</w:t>
            </w:r>
          </w:p>
          <w:p w14:paraId="1B045A1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2、合理布置厂房内各高噪声机械设备，尽可能布置于车间中部，远离门窗。</w:t>
            </w:r>
          </w:p>
          <w:p w14:paraId="3247A30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3、生产设备采取减振降噪措施。水泵、风机设置于设备房内。</w:t>
            </w:r>
          </w:p>
        </w:tc>
        <w:tc>
          <w:tcPr>
            <w:tcW w:w="1143" w:type="pct"/>
            <w:noWrap w:val="0"/>
            <w:vAlign w:val="center"/>
          </w:tcPr>
          <w:p w14:paraId="4DE551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厂界噪声满足《工业企业厂界环境噪声排放标准》（GB12348-2008）</w:t>
            </w:r>
            <w:r>
              <w:rPr>
                <w:rFonts w:hint="eastAsia"/>
                <w:color w:val="auto"/>
                <w:sz w:val="21"/>
                <w:szCs w:val="21"/>
                <w:lang w:val="en-US" w:eastAsia="zh-CN"/>
              </w:rPr>
              <w:t>3</w:t>
            </w:r>
            <w:r>
              <w:rPr>
                <w:rFonts w:ascii="Times New Roman" w:hAnsi="Times New Roman"/>
                <w:color w:val="auto"/>
                <w:sz w:val="21"/>
                <w:szCs w:val="21"/>
              </w:rPr>
              <w:t>类标准</w:t>
            </w:r>
          </w:p>
        </w:tc>
      </w:tr>
      <w:tr w14:paraId="5405E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97" w:type="pct"/>
            <w:noWrap w:val="0"/>
            <w:vAlign w:val="center"/>
          </w:tcPr>
          <w:p w14:paraId="6D10E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电磁辐射</w:t>
            </w:r>
          </w:p>
        </w:tc>
        <w:tc>
          <w:tcPr>
            <w:tcW w:w="4602" w:type="pct"/>
            <w:gridSpan w:val="4"/>
            <w:noWrap w:val="0"/>
            <w:vAlign w:val="center"/>
          </w:tcPr>
          <w:p w14:paraId="42BCAC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r>
      <w:tr w14:paraId="648604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97" w:type="pct"/>
            <w:noWrap w:val="0"/>
            <w:vAlign w:val="center"/>
          </w:tcPr>
          <w:p w14:paraId="340F8F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固体废物</w:t>
            </w:r>
          </w:p>
        </w:tc>
        <w:tc>
          <w:tcPr>
            <w:tcW w:w="4602" w:type="pct"/>
            <w:gridSpan w:val="4"/>
            <w:noWrap w:val="0"/>
            <w:vAlign w:val="center"/>
          </w:tcPr>
          <w:p w14:paraId="18EB1607">
            <w:pPr>
              <w:keepNext w:val="0"/>
              <w:keepLines w:val="0"/>
              <w:pageBreakBefore w:val="0"/>
              <w:widowControl w:val="0"/>
              <w:numPr>
                <w:ilvl w:val="0"/>
                <w:numId w:val="7"/>
              </w:numPr>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ascii="Times New Roman" w:hAnsi="Times New Roman"/>
                <w:color w:val="auto"/>
                <w:sz w:val="21"/>
                <w:szCs w:val="21"/>
              </w:rPr>
              <w:t>一般固废：</w:t>
            </w:r>
            <w:r>
              <w:rPr>
                <w:rFonts w:ascii="Times New Roman" w:hAnsi="Times New Roman"/>
                <w:bCs/>
                <w:color w:val="auto"/>
                <w:sz w:val="21"/>
                <w:szCs w:val="21"/>
              </w:rPr>
              <w:t>除尘器粉尘回用于生产线不外排；生活垃圾</w:t>
            </w:r>
            <w:r>
              <w:rPr>
                <w:rFonts w:hint="eastAsia"/>
                <w:bCs/>
                <w:color w:val="auto"/>
                <w:sz w:val="21"/>
                <w:szCs w:val="21"/>
                <w:lang w:val="en-US" w:eastAsia="zh-CN"/>
              </w:rPr>
              <w:t>、</w:t>
            </w:r>
            <w:r>
              <w:rPr>
                <w:rFonts w:hint="eastAsia" w:ascii="Times New Roman" w:hAnsi="Times New Roman"/>
                <w:bCs/>
                <w:color w:val="auto"/>
                <w:sz w:val="21"/>
                <w:szCs w:val="21"/>
                <w:lang w:val="en-US" w:eastAsia="zh-CN"/>
              </w:rPr>
              <w:t>厨余垃圾</w:t>
            </w:r>
            <w:r>
              <w:rPr>
                <w:rFonts w:hint="eastAsia"/>
                <w:bCs/>
                <w:color w:val="auto"/>
                <w:sz w:val="21"/>
                <w:szCs w:val="21"/>
                <w:lang w:val="en-US" w:eastAsia="zh-CN"/>
              </w:rPr>
              <w:t>和生活隔油池废油交</w:t>
            </w:r>
            <w:r>
              <w:rPr>
                <w:rFonts w:ascii="Times New Roman" w:hAnsi="Times New Roman"/>
                <w:bCs/>
                <w:color w:val="auto"/>
                <w:sz w:val="21"/>
                <w:szCs w:val="21"/>
              </w:rPr>
              <w:t>由环卫部门统一清运处</w:t>
            </w:r>
            <w:r>
              <w:rPr>
                <w:rFonts w:ascii="Times New Roman" w:hAnsi="Times New Roman" w:eastAsia="宋体" w:cs="Times New Roman"/>
                <w:color w:val="auto"/>
                <w:sz w:val="21"/>
                <w:szCs w:val="21"/>
              </w:rPr>
              <w:t>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化粪池和污水站</w:t>
            </w:r>
            <w:r>
              <w:rPr>
                <w:rFonts w:ascii="Times New Roman" w:hAnsi="Times New Roman" w:eastAsia="宋体" w:cs="Times New Roman"/>
                <w:color w:val="auto"/>
                <w:sz w:val="21"/>
                <w:szCs w:val="21"/>
              </w:rPr>
              <w:t>污泥</w:t>
            </w:r>
            <w:r>
              <w:rPr>
                <w:rFonts w:hint="default" w:ascii="Times New Roman" w:hAnsi="Times New Roman" w:eastAsia="宋体" w:cs="Times New Roman"/>
                <w:color w:val="auto"/>
                <w:sz w:val="21"/>
                <w:szCs w:val="21"/>
              </w:rPr>
              <w:t>定期清掏</w:t>
            </w:r>
            <w:r>
              <w:rPr>
                <w:rFonts w:hint="eastAsia" w:ascii="Times New Roman" w:hAnsi="Times New Roman" w:eastAsia="宋体" w:cs="Times New Roman"/>
                <w:color w:val="auto"/>
                <w:sz w:val="21"/>
                <w:szCs w:val="21"/>
                <w:lang w:eastAsia="zh-CN"/>
              </w:rPr>
              <w:t>用于周边农户农田施肥</w:t>
            </w:r>
            <w:r>
              <w:rPr>
                <w:rFonts w:hint="default" w:ascii="Times New Roman" w:hAnsi="Times New Roman" w:eastAsia="宋体" w:cs="Times New Roman"/>
                <w:color w:val="auto"/>
                <w:sz w:val="21"/>
                <w:szCs w:val="21"/>
              </w:rPr>
              <w:t>。</w:t>
            </w:r>
          </w:p>
          <w:p w14:paraId="0FB9512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ascii="Times New Roman" w:hAnsi="Times New Roman"/>
                <w:bCs/>
                <w:color w:val="auto"/>
                <w:sz w:val="21"/>
                <w:szCs w:val="21"/>
              </w:rPr>
            </w:pPr>
            <w:r>
              <w:rPr>
                <w:rFonts w:ascii="Times New Roman" w:hAnsi="Times New Roman"/>
                <w:bCs/>
                <w:color w:val="auto"/>
                <w:sz w:val="21"/>
                <w:szCs w:val="21"/>
              </w:rPr>
              <w:t>2、</w:t>
            </w:r>
            <w:r>
              <w:rPr>
                <w:rFonts w:hint="eastAsia" w:ascii="Times New Roman" w:hAnsi="Times New Roman" w:cs="Times New Roman"/>
                <w:color w:val="auto"/>
                <w:sz w:val="21"/>
                <w:szCs w:val="21"/>
                <w:lang w:bidi="ar"/>
              </w:rPr>
              <w:t>三级隔油沉淀池污泥</w:t>
            </w:r>
            <w:r>
              <w:rPr>
                <w:rFonts w:hint="eastAsia" w:ascii="Times New Roman" w:hAnsi="Times New Roman" w:cs="Times New Roman"/>
                <w:color w:val="auto"/>
                <w:sz w:val="21"/>
                <w:szCs w:val="21"/>
                <w:lang w:eastAsia="zh-CN" w:bidi="ar"/>
              </w:rPr>
              <w:t>、</w:t>
            </w:r>
            <w:r>
              <w:rPr>
                <w:rFonts w:hint="eastAsia"/>
                <w:color w:val="auto"/>
                <w:sz w:val="21"/>
                <w:szCs w:val="21"/>
                <w:lang w:val="en-US" w:eastAsia="zh-CN"/>
              </w:rPr>
              <w:t>含油抹布、</w:t>
            </w:r>
            <w:r>
              <w:rPr>
                <w:rFonts w:hint="default" w:ascii="Times New Roman" w:hAnsi="Times New Roman" w:cs="Times New Roman"/>
                <w:color w:val="auto"/>
                <w:sz w:val="21"/>
                <w:szCs w:val="21"/>
                <w:lang w:bidi="ar"/>
              </w:rPr>
              <w:t>废活性炭及设备检修废机油暂存于危废暂存间</w:t>
            </w:r>
            <w:r>
              <w:rPr>
                <w:rFonts w:hint="eastAsia" w:cs="Times New Roman"/>
                <w:color w:val="auto"/>
                <w:sz w:val="21"/>
                <w:szCs w:val="21"/>
                <w:lang w:eastAsia="zh-CN" w:bidi="ar"/>
              </w:rPr>
              <w:t>。</w:t>
            </w:r>
            <w:r>
              <w:rPr>
                <w:rFonts w:ascii="Times New Roman" w:hAnsi="Times New Roman"/>
                <w:bCs/>
                <w:color w:val="auto"/>
                <w:sz w:val="21"/>
                <w:szCs w:val="21"/>
              </w:rPr>
              <w:t>按照《危险废物贮存污染控制标准》（GB18597-20</w:t>
            </w:r>
            <w:r>
              <w:rPr>
                <w:rFonts w:hint="eastAsia" w:ascii="Times New Roman" w:hAnsi="Times New Roman"/>
                <w:bCs/>
                <w:color w:val="auto"/>
                <w:sz w:val="21"/>
                <w:szCs w:val="21"/>
                <w:lang w:val="en-US" w:eastAsia="zh-CN"/>
              </w:rPr>
              <w:t>23</w:t>
            </w:r>
            <w:r>
              <w:rPr>
                <w:rFonts w:ascii="Times New Roman" w:hAnsi="Times New Roman"/>
                <w:bCs/>
                <w:color w:val="auto"/>
                <w:sz w:val="21"/>
                <w:szCs w:val="21"/>
              </w:rPr>
              <w:t>）的要求，设置1个</w:t>
            </w:r>
            <w:r>
              <w:rPr>
                <w:rFonts w:hint="eastAsia"/>
                <w:bCs/>
                <w:color w:val="auto"/>
                <w:sz w:val="21"/>
                <w:szCs w:val="21"/>
                <w:lang w:val="en-US" w:eastAsia="zh-CN"/>
              </w:rPr>
              <w:t>10</w:t>
            </w:r>
            <w:r>
              <w:rPr>
                <w:rFonts w:ascii="Times New Roman" w:hAnsi="Times New Roman"/>
                <w:bCs/>
                <w:color w:val="auto"/>
                <w:sz w:val="21"/>
                <w:szCs w:val="21"/>
              </w:rPr>
              <w:t>m</w:t>
            </w:r>
            <w:r>
              <w:rPr>
                <w:rFonts w:ascii="Times New Roman" w:hAnsi="Times New Roman"/>
                <w:bCs/>
                <w:color w:val="auto"/>
                <w:sz w:val="21"/>
                <w:szCs w:val="21"/>
                <w:vertAlign w:val="superscript"/>
              </w:rPr>
              <w:t>2</w:t>
            </w:r>
            <w:r>
              <w:rPr>
                <w:rFonts w:ascii="Times New Roman" w:hAnsi="Times New Roman"/>
                <w:bCs/>
                <w:color w:val="auto"/>
                <w:sz w:val="21"/>
                <w:szCs w:val="21"/>
              </w:rPr>
              <w:t>的危废暂存间：</w:t>
            </w:r>
          </w:p>
          <w:p w14:paraId="2218752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ascii="Times New Roman" w:hAnsi="Times New Roman"/>
                <w:bCs/>
                <w:color w:val="auto"/>
                <w:sz w:val="21"/>
                <w:szCs w:val="21"/>
              </w:rPr>
              <w:t>1）危险废物暂存的一般要求</w:t>
            </w:r>
          </w:p>
          <w:p w14:paraId="193AE48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①</w:t>
            </w:r>
            <w:r>
              <w:rPr>
                <w:rFonts w:ascii="Times New Roman" w:hAnsi="Times New Roman"/>
                <w:bCs/>
                <w:color w:val="auto"/>
                <w:sz w:val="21"/>
                <w:szCs w:val="21"/>
              </w:rPr>
              <w:t>禁止将不相容（相互反应）的危险废物在同一容器内混装。</w:t>
            </w:r>
          </w:p>
          <w:p w14:paraId="1820B75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②</w:t>
            </w:r>
            <w:r>
              <w:rPr>
                <w:rFonts w:ascii="Times New Roman" w:hAnsi="Times New Roman"/>
                <w:bCs/>
                <w:color w:val="auto"/>
                <w:sz w:val="21"/>
                <w:szCs w:val="21"/>
              </w:rPr>
              <w:t>无法装入常用容器的危险废物可用防漏胶袋等盛装。</w:t>
            </w:r>
          </w:p>
          <w:p w14:paraId="601B898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③</w:t>
            </w:r>
            <w:r>
              <w:rPr>
                <w:rFonts w:ascii="Times New Roman" w:hAnsi="Times New Roman"/>
                <w:bCs/>
                <w:color w:val="auto"/>
                <w:sz w:val="21"/>
                <w:szCs w:val="21"/>
              </w:rPr>
              <w:t>装载液体、半固体危险废物的容器内须留足够空间，容器顶部与液体表面之间保留100毫米以上的空间。</w:t>
            </w:r>
          </w:p>
          <w:p w14:paraId="0697116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④</w:t>
            </w:r>
            <w:r>
              <w:rPr>
                <w:rFonts w:ascii="Times New Roman" w:hAnsi="Times New Roman"/>
                <w:bCs/>
                <w:color w:val="auto"/>
                <w:sz w:val="21"/>
                <w:szCs w:val="21"/>
              </w:rPr>
              <w:t>盛装危险废物的容器上必须粘贴符合《危险废物贮存污染控制标准》（GB18597-20</w:t>
            </w:r>
            <w:r>
              <w:rPr>
                <w:rFonts w:hint="eastAsia" w:ascii="Times New Roman" w:hAnsi="Times New Roman"/>
                <w:bCs/>
                <w:color w:val="auto"/>
                <w:sz w:val="21"/>
                <w:szCs w:val="21"/>
                <w:lang w:val="en-US" w:eastAsia="zh-CN"/>
              </w:rPr>
              <w:t>23</w:t>
            </w:r>
            <w:r>
              <w:rPr>
                <w:rFonts w:ascii="Times New Roman" w:hAnsi="Times New Roman"/>
                <w:bCs/>
                <w:color w:val="auto"/>
                <w:sz w:val="21"/>
                <w:szCs w:val="21"/>
              </w:rPr>
              <w:t>）附录A所示的标签。</w:t>
            </w:r>
          </w:p>
          <w:p w14:paraId="5C1B3A4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⑤</w:t>
            </w:r>
            <w:r>
              <w:rPr>
                <w:rFonts w:ascii="Times New Roman" w:hAnsi="Times New Roman"/>
                <w:bCs/>
                <w:color w:val="auto"/>
                <w:sz w:val="21"/>
                <w:szCs w:val="21"/>
              </w:rPr>
              <w:t>不同类别的危险废物应分区存放。</w:t>
            </w:r>
          </w:p>
          <w:p w14:paraId="7C1C636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ascii="Times New Roman" w:hAnsi="Times New Roman"/>
                <w:bCs/>
                <w:color w:val="auto"/>
                <w:sz w:val="21"/>
                <w:szCs w:val="21"/>
              </w:rPr>
              <w:t>2）危险废物贮存容器的要求</w:t>
            </w:r>
          </w:p>
          <w:p w14:paraId="05634EA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①</w:t>
            </w:r>
            <w:r>
              <w:rPr>
                <w:rFonts w:ascii="Times New Roman" w:hAnsi="Times New Roman"/>
                <w:bCs/>
                <w:color w:val="auto"/>
                <w:sz w:val="21"/>
                <w:szCs w:val="21"/>
              </w:rPr>
              <w:t>应当使用符合标准的容器盛装危险废物。</w:t>
            </w:r>
          </w:p>
          <w:p w14:paraId="25E5302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②</w:t>
            </w:r>
            <w:r>
              <w:rPr>
                <w:rFonts w:ascii="Times New Roman" w:hAnsi="Times New Roman"/>
                <w:bCs/>
                <w:color w:val="auto"/>
                <w:sz w:val="21"/>
                <w:szCs w:val="21"/>
              </w:rPr>
              <w:t>装载危险废物的容器及材质要满足相应的强度要求。</w:t>
            </w:r>
          </w:p>
          <w:p w14:paraId="3B6A39C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③</w:t>
            </w:r>
            <w:r>
              <w:rPr>
                <w:rFonts w:ascii="Times New Roman" w:hAnsi="Times New Roman"/>
                <w:bCs/>
                <w:color w:val="auto"/>
                <w:sz w:val="21"/>
                <w:szCs w:val="21"/>
              </w:rPr>
              <w:t>装载危险废物的容器必须完好无损。</w:t>
            </w:r>
          </w:p>
          <w:p w14:paraId="25B3E33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④</w:t>
            </w:r>
            <w:r>
              <w:rPr>
                <w:rFonts w:ascii="Times New Roman" w:hAnsi="Times New Roman"/>
                <w:bCs/>
                <w:color w:val="auto"/>
                <w:sz w:val="21"/>
                <w:szCs w:val="21"/>
              </w:rPr>
              <w:t>盛装危险废物的容器材质和衬里要与危险废物相容（不相互反应）。</w:t>
            </w:r>
          </w:p>
          <w:p w14:paraId="582D603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ascii="Times New Roman" w:hAnsi="Times New Roman"/>
                <w:bCs/>
                <w:color w:val="auto"/>
                <w:sz w:val="21"/>
                <w:szCs w:val="21"/>
              </w:rPr>
              <w:t>3）危险废物暂存间的设计原则</w:t>
            </w:r>
          </w:p>
          <w:p w14:paraId="098AF62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①</w:t>
            </w:r>
            <w:r>
              <w:rPr>
                <w:rFonts w:ascii="Times New Roman" w:hAnsi="Times New Roman"/>
                <w:bCs/>
                <w:color w:val="auto"/>
                <w:sz w:val="21"/>
                <w:szCs w:val="21"/>
              </w:rPr>
              <w:t>地面与裙角要用坚固、防渗的材料建造，建筑材料必须与危险废物相容；</w:t>
            </w:r>
          </w:p>
          <w:p w14:paraId="42FBA88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②</w:t>
            </w:r>
            <w:r>
              <w:rPr>
                <w:rFonts w:ascii="Times New Roman" w:hAnsi="Times New Roman"/>
                <w:bCs/>
                <w:color w:val="auto"/>
                <w:sz w:val="21"/>
                <w:szCs w:val="21"/>
              </w:rPr>
              <w:t>必须有泄漏液态收集装置；</w:t>
            </w:r>
          </w:p>
          <w:p w14:paraId="29820A9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③</w:t>
            </w:r>
            <w:r>
              <w:rPr>
                <w:rFonts w:ascii="Times New Roman" w:hAnsi="Times New Roman"/>
                <w:bCs/>
                <w:color w:val="auto"/>
                <w:sz w:val="21"/>
                <w:szCs w:val="21"/>
              </w:rPr>
              <w:t>设施内要有安全照明设施和观察窗口；</w:t>
            </w:r>
          </w:p>
          <w:p w14:paraId="7AF8737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④</w:t>
            </w:r>
            <w:r>
              <w:rPr>
                <w:rFonts w:ascii="Times New Roman" w:hAnsi="Times New Roman"/>
                <w:bCs/>
                <w:color w:val="auto"/>
                <w:sz w:val="21"/>
                <w:szCs w:val="21"/>
              </w:rPr>
              <w:t>用于存放装载液体、半固体危险废弃物容器的地方，必须有耐腐蚀的硬化地面，且表面无裂痕；</w:t>
            </w:r>
          </w:p>
          <w:p w14:paraId="09A90CF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⑤</w:t>
            </w:r>
            <w:r>
              <w:rPr>
                <w:rFonts w:ascii="Times New Roman" w:hAnsi="Times New Roman"/>
                <w:bCs/>
                <w:color w:val="auto"/>
                <w:sz w:val="21"/>
                <w:szCs w:val="21"/>
              </w:rPr>
              <w:t>应设计堵截泄漏的群脚，地面与群脚所围建的容积不低于堵截最大容器的最大储量或总储量的1/</w:t>
            </w:r>
            <w:r>
              <w:rPr>
                <w:rFonts w:hint="eastAsia" w:ascii="Times New Roman" w:hAnsi="Times New Roman"/>
                <w:bCs/>
                <w:color w:val="auto"/>
                <w:sz w:val="21"/>
                <w:szCs w:val="21"/>
                <w:lang w:val="en-US" w:eastAsia="zh-CN"/>
              </w:rPr>
              <w:t>10</w:t>
            </w:r>
            <w:r>
              <w:rPr>
                <w:rFonts w:ascii="Times New Roman" w:hAnsi="Times New Roman"/>
                <w:bCs/>
                <w:color w:val="auto"/>
                <w:sz w:val="21"/>
                <w:szCs w:val="21"/>
              </w:rPr>
              <w:t>。</w:t>
            </w:r>
          </w:p>
          <w:p w14:paraId="261A150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ascii="Times New Roman" w:hAnsi="Times New Roman"/>
                <w:bCs/>
                <w:color w:val="auto"/>
                <w:sz w:val="21"/>
                <w:szCs w:val="21"/>
              </w:rPr>
              <w:t>本项目危废暂存间按照重点防渗要求建设：</w:t>
            </w:r>
            <w:r>
              <w:rPr>
                <w:rFonts w:hint="default" w:ascii="Times New Roman" w:hAnsi="Times New Roman" w:cs="Times New Roman"/>
                <w:bCs/>
                <w:color w:val="auto"/>
                <w:sz w:val="21"/>
                <w:szCs w:val="21"/>
              </w:rPr>
              <w:t>基础采取至少2mm厚的防渗人工材料，</w:t>
            </w:r>
            <w:r>
              <w:rPr>
                <w:rFonts w:ascii="Times New Roman" w:hAnsi="Times New Roman"/>
                <w:bCs/>
                <w:color w:val="auto"/>
                <w:sz w:val="21"/>
                <w:szCs w:val="21"/>
              </w:rPr>
              <w:t>渗透系数K≤1×10</w:t>
            </w:r>
            <w:r>
              <w:rPr>
                <w:rFonts w:ascii="Times New Roman" w:hAnsi="Times New Roman"/>
                <w:bCs/>
                <w:color w:val="auto"/>
                <w:sz w:val="21"/>
                <w:szCs w:val="21"/>
                <w:vertAlign w:val="superscript"/>
              </w:rPr>
              <w:t>-10</w:t>
            </w:r>
            <w:r>
              <w:rPr>
                <w:rFonts w:ascii="Times New Roman" w:hAnsi="Times New Roman"/>
                <w:bCs/>
                <w:color w:val="auto"/>
                <w:sz w:val="21"/>
                <w:szCs w:val="21"/>
              </w:rPr>
              <w:t>cm/s。</w:t>
            </w:r>
          </w:p>
          <w:p w14:paraId="61585DC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color w:val="auto"/>
                <w:sz w:val="21"/>
                <w:szCs w:val="21"/>
              </w:rPr>
            </w:pPr>
            <w:r>
              <w:rPr>
                <w:rFonts w:ascii="Times New Roman" w:hAnsi="Times New Roman"/>
                <w:bCs/>
                <w:color w:val="auto"/>
                <w:sz w:val="21"/>
                <w:szCs w:val="21"/>
              </w:rPr>
              <w:t>3、危险废物分类收集后，按照不同类别的危险废物分区暂存，定期委托相关危废处理资质单位清运处置；做好危废转移联单制度，定期向危废中心移交项目所暂存的危废，并填写好转移联单。</w:t>
            </w:r>
          </w:p>
        </w:tc>
      </w:tr>
      <w:tr w14:paraId="7D1B2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97" w:type="pct"/>
            <w:noWrap w:val="0"/>
            <w:vAlign w:val="center"/>
          </w:tcPr>
          <w:p w14:paraId="16787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土壤及地下水</w:t>
            </w:r>
          </w:p>
          <w:p w14:paraId="668B0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污染防治措施</w:t>
            </w:r>
          </w:p>
        </w:tc>
        <w:tc>
          <w:tcPr>
            <w:tcW w:w="4602" w:type="pct"/>
            <w:gridSpan w:val="4"/>
            <w:noWrap w:val="0"/>
            <w:vAlign w:val="center"/>
          </w:tcPr>
          <w:p w14:paraId="39AF99A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ascii="Times New Roman" w:hAnsi="Times New Roman"/>
                <w:bCs/>
                <w:color w:val="auto"/>
                <w:sz w:val="21"/>
                <w:szCs w:val="21"/>
              </w:rPr>
              <w:t>危废暂存间、柴油储罐区、沥青储罐区按照重点防渗要求建设：</w:t>
            </w:r>
            <w:r>
              <w:rPr>
                <w:rFonts w:hint="default" w:ascii="Times New Roman" w:hAnsi="Times New Roman" w:cs="Times New Roman"/>
                <w:bCs/>
                <w:color w:val="auto"/>
                <w:sz w:val="21"/>
                <w:szCs w:val="21"/>
                <w:lang w:val="en-US" w:eastAsia="zh-CN"/>
              </w:rPr>
              <w:t>其中</w:t>
            </w:r>
            <w:r>
              <w:rPr>
                <w:rFonts w:hint="default" w:ascii="Times New Roman" w:hAnsi="Times New Roman" w:cs="Times New Roman"/>
                <w:bCs/>
                <w:color w:val="auto"/>
                <w:sz w:val="21"/>
                <w:szCs w:val="21"/>
              </w:rPr>
              <w:t>危废暂存间基础采取至少2mm厚的防渗人工材料，渗透系数应≤1×10</w:t>
            </w:r>
            <w:r>
              <w:rPr>
                <w:rFonts w:hint="default" w:ascii="Times New Roman" w:hAnsi="Times New Roman" w:cs="Times New Roman"/>
                <w:bCs/>
                <w:color w:val="auto"/>
                <w:sz w:val="21"/>
                <w:szCs w:val="21"/>
                <w:vertAlign w:val="superscript"/>
              </w:rPr>
              <w:t>-10</w:t>
            </w:r>
            <w:r>
              <w:rPr>
                <w:rFonts w:hint="default" w:ascii="Times New Roman" w:hAnsi="Times New Roman" w:cs="Times New Roman"/>
                <w:bCs/>
                <w:color w:val="auto"/>
                <w:sz w:val="21"/>
                <w:szCs w:val="21"/>
              </w:rPr>
              <w:t>cm/s；沥青储罐和柴油储罐区</w:t>
            </w:r>
            <w:r>
              <w:rPr>
                <w:rFonts w:hint="default" w:ascii="Times New Roman" w:hAnsi="Times New Roman" w:cs="Times New Roman"/>
                <w:color w:val="auto"/>
                <w:sz w:val="21"/>
                <w:szCs w:val="21"/>
              </w:rPr>
              <w:t>防渗层防渗要求为等效厚度≥6m，渗透系数≤1.0×10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ascii="Times New Roman" w:hAnsi="Times New Roman"/>
                <w:bCs/>
                <w:color w:val="auto"/>
                <w:sz w:val="21"/>
                <w:szCs w:val="21"/>
              </w:rPr>
              <w:t>。并在运营中落实以下措施：</w:t>
            </w:r>
          </w:p>
          <w:p w14:paraId="3B4C6A7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①</w:t>
            </w:r>
            <w:r>
              <w:rPr>
                <w:rFonts w:ascii="Times New Roman" w:hAnsi="Times New Roman"/>
                <w:bCs/>
                <w:color w:val="auto"/>
                <w:sz w:val="21"/>
                <w:szCs w:val="21"/>
              </w:rPr>
              <w:t>向合法的厂家采购柴油、沥青储罐，生产过程设专人进行巡检自查，杜绝容器跑冒滴漏发生；</w:t>
            </w:r>
          </w:p>
          <w:p w14:paraId="47FF4DC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②</w:t>
            </w:r>
            <w:r>
              <w:rPr>
                <w:rFonts w:ascii="Times New Roman" w:hAnsi="Times New Roman"/>
                <w:bCs/>
                <w:color w:val="auto"/>
                <w:sz w:val="21"/>
                <w:szCs w:val="21"/>
              </w:rPr>
              <w:t>设置禁火标识牌等；</w:t>
            </w:r>
          </w:p>
          <w:p w14:paraId="0468C00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③</w:t>
            </w:r>
            <w:r>
              <w:rPr>
                <w:rFonts w:ascii="Times New Roman" w:hAnsi="Times New Roman"/>
                <w:bCs/>
                <w:color w:val="auto"/>
                <w:sz w:val="21"/>
                <w:szCs w:val="21"/>
              </w:rPr>
              <w:t>加强对柴油储罐、沥青罐、危废的管理，安排专人定期对柴油储罐、沥青储罐、危废暂存间、危废收集桶进行排查，出现跑冒滴漏情况立即开展调查及处理。</w:t>
            </w:r>
          </w:p>
          <w:p w14:paraId="7C16A5D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bCs/>
                <w:color w:val="auto"/>
                <w:sz w:val="21"/>
                <w:szCs w:val="21"/>
              </w:rPr>
            </w:pPr>
            <w:r>
              <w:rPr>
                <w:rFonts w:hint="eastAsia" w:ascii="宋体" w:hAnsi="宋体" w:cs="宋体"/>
                <w:bCs/>
                <w:color w:val="auto"/>
                <w:sz w:val="21"/>
                <w:szCs w:val="21"/>
              </w:rPr>
              <w:t>④</w:t>
            </w:r>
            <w:r>
              <w:rPr>
                <w:rFonts w:ascii="Times New Roman" w:hAnsi="Times New Roman"/>
                <w:bCs/>
                <w:color w:val="auto"/>
                <w:sz w:val="21"/>
                <w:szCs w:val="21"/>
              </w:rPr>
              <w:t>与有资质单位签订危废处置协议，确保危废能得到妥善处置，建立台账制度。</w:t>
            </w:r>
          </w:p>
          <w:p w14:paraId="5EF8CCA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color w:val="auto"/>
                <w:sz w:val="21"/>
                <w:szCs w:val="21"/>
              </w:rPr>
            </w:pPr>
            <w:r>
              <w:rPr>
                <w:rFonts w:hint="eastAsia" w:ascii="宋体" w:hAnsi="宋体" w:cs="宋体"/>
                <w:bCs/>
                <w:color w:val="auto"/>
                <w:sz w:val="21"/>
                <w:szCs w:val="21"/>
              </w:rPr>
              <w:t>⑤</w:t>
            </w:r>
            <w:r>
              <w:rPr>
                <w:rFonts w:ascii="Times New Roman" w:hAnsi="Times New Roman"/>
                <w:bCs/>
                <w:color w:val="auto"/>
                <w:sz w:val="21"/>
                <w:szCs w:val="21"/>
              </w:rPr>
              <w:t>管道出现跑冒滴漏情况下，立即停止供料，开展检修，并及时采用密闭容器收集滴漏的油类、沥青，采用毡布处理地面油类物质，禁止地面有积油。</w:t>
            </w:r>
          </w:p>
        </w:tc>
      </w:tr>
      <w:tr w14:paraId="455F7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97" w:type="pct"/>
            <w:noWrap w:val="0"/>
            <w:vAlign w:val="center"/>
          </w:tcPr>
          <w:p w14:paraId="38B51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生态保护措施</w:t>
            </w:r>
          </w:p>
        </w:tc>
        <w:tc>
          <w:tcPr>
            <w:tcW w:w="4602" w:type="pct"/>
            <w:gridSpan w:val="4"/>
            <w:noWrap w:val="0"/>
            <w:vAlign w:val="center"/>
          </w:tcPr>
          <w:p w14:paraId="61D79C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ascii="Times New Roman" w:hAnsi="Times New Roman"/>
                <w:color w:val="auto"/>
                <w:sz w:val="21"/>
                <w:szCs w:val="21"/>
              </w:rPr>
            </w:pPr>
            <w:r>
              <w:rPr>
                <w:rFonts w:hint="eastAsia" w:ascii="Times New Roman" w:hAnsi="Times New Roman" w:eastAsia="宋体" w:cs="Times New Roman"/>
                <w:bCs/>
                <w:color w:val="auto"/>
                <w:sz w:val="21"/>
                <w:szCs w:val="21"/>
                <w:lang w:val="en-US" w:eastAsia="zh-CN"/>
              </w:rPr>
              <w:t>严格执行</w:t>
            </w:r>
            <w:r>
              <w:rPr>
                <w:rFonts w:hint="default" w:ascii="Times New Roman" w:hAnsi="Times New Roman" w:eastAsia="宋体" w:cs="Times New Roman"/>
                <w:bCs/>
                <w:color w:val="auto"/>
                <w:sz w:val="21"/>
                <w:szCs w:val="21"/>
                <w:lang w:val="en-US" w:eastAsia="zh-CN"/>
              </w:rPr>
              <w:t>“水土保持方案”</w:t>
            </w:r>
            <w:r>
              <w:rPr>
                <w:rFonts w:hint="eastAsia" w:ascii="Times New Roman" w:hAnsi="Times New Roman" w:eastAsia="宋体" w:cs="Times New Roman"/>
                <w:bCs/>
                <w:color w:val="auto"/>
                <w:sz w:val="21"/>
                <w:szCs w:val="21"/>
                <w:lang w:val="en-US" w:eastAsia="zh-CN"/>
              </w:rPr>
              <w:t>提出的水保防治措施</w:t>
            </w:r>
            <w:r>
              <w:rPr>
                <w:rFonts w:hint="eastAsia" w:cs="Times New Roman"/>
                <w:bCs/>
                <w:color w:val="auto"/>
                <w:sz w:val="21"/>
                <w:szCs w:val="21"/>
                <w:lang w:val="en-US" w:eastAsia="zh-CN"/>
              </w:rPr>
              <w:t>；设置绿化面积4000㎡</w:t>
            </w:r>
            <w:r>
              <w:rPr>
                <w:rFonts w:hint="eastAsia" w:ascii="Times New Roman" w:hAnsi="Times New Roman" w:eastAsia="宋体" w:cs="Times New Roman"/>
                <w:bCs/>
                <w:color w:val="auto"/>
                <w:sz w:val="21"/>
                <w:szCs w:val="21"/>
                <w:lang w:val="en-US" w:eastAsia="zh-CN"/>
              </w:rPr>
              <w:t>。</w:t>
            </w:r>
          </w:p>
        </w:tc>
      </w:tr>
      <w:tr w14:paraId="28BCB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397" w:type="pct"/>
            <w:noWrap w:val="0"/>
            <w:vAlign w:val="center"/>
          </w:tcPr>
          <w:p w14:paraId="13E31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pacing w:val="-8"/>
                <w:sz w:val="21"/>
                <w:szCs w:val="21"/>
              </w:rPr>
            </w:pPr>
            <w:r>
              <w:rPr>
                <w:rFonts w:ascii="Times New Roman" w:hAnsi="Times New Roman"/>
                <w:color w:val="auto"/>
                <w:spacing w:val="-8"/>
                <w:sz w:val="21"/>
                <w:szCs w:val="21"/>
              </w:rPr>
              <w:t>环境风险</w:t>
            </w:r>
          </w:p>
          <w:p w14:paraId="510BCB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pacing w:val="-8"/>
                <w:sz w:val="21"/>
                <w:szCs w:val="21"/>
              </w:rPr>
            </w:pPr>
            <w:r>
              <w:rPr>
                <w:rFonts w:ascii="Times New Roman" w:hAnsi="Times New Roman"/>
                <w:color w:val="auto"/>
                <w:spacing w:val="-8"/>
                <w:sz w:val="21"/>
                <w:szCs w:val="21"/>
              </w:rPr>
              <w:t>防范措施</w:t>
            </w:r>
          </w:p>
        </w:tc>
        <w:tc>
          <w:tcPr>
            <w:tcW w:w="4602" w:type="pct"/>
            <w:gridSpan w:val="4"/>
            <w:noWrap w:val="0"/>
            <w:vAlign w:val="center"/>
          </w:tcPr>
          <w:p w14:paraId="3BECC19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b/>
                <w:bCs/>
                <w:color w:val="auto"/>
                <w:sz w:val="21"/>
                <w:szCs w:val="21"/>
              </w:rPr>
            </w:pPr>
            <w:r>
              <w:rPr>
                <w:rFonts w:hint="eastAsia" w:ascii="宋体" w:hAnsi="宋体" w:cs="宋体"/>
                <w:bCs/>
                <w:color w:val="auto"/>
                <w:sz w:val="21"/>
                <w:szCs w:val="21"/>
              </w:rPr>
              <w:t>①</w:t>
            </w:r>
            <w:r>
              <w:rPr>
                <w:rFonts w:ascii="Times New Roman" w:hAnsi="Times New Roman"/>
                <w:bCs/>
                <w:color w:val="auto"/>
                <w:sz w:val="21"/>
                <w:szCs w:val="21"/>
              </w:rPr>
              <w:t>柴油储罐、沥青罐采用符合设计规范的储罐储存，严格按照操作规程进行操作，建立台账记录；废机油更换后采用专用密闭容器收集，暂存在危废暂存间；导热油由相关资质厂家更换后回收处置，禁止私自倾倒。</w:t>
            </w:r>
          </w:p>
          <w:p w14:paraId="3271462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bCs/>
                <w:color w:val="auto"/>
                <w:sz w:val="21"/>
                <w:szCs w:val="21"/>
              </w:rPr>
            </w:pPr>
            <w:r>
              <w:rPr>
                <w:rFonts w:hint="eastAsia" w:ascii="宋体" w:hAnsi="宋体" w:cs="宋体"/>
                <w:bCs/>
                <w:color w:val="auto"/>
                <w:sz w:val="21"/>
                <w:szCs w:val="21"/>
              </w:rPr>
              <w:t>②</w:t>
            </w:r>
            <w:r>
              <w:rPr>
                <w:rFonts w:ascii="Times New Roman" w:hAnsi="Times New Roman"/>
                <w:bCs/>
                <w:color w:val="auto"/>
                <w:sz w:val="21"/>
                <w:szCs w:val="21"/>
              </w:rPr>
              <w:t>对操作人员进行有关的法律、法规、规章和安全知识、专业技术、职业卫生防护和应急救援知识的培训，并定期进行考核。</w:t>
            </w:r>
          </w:p>
          <w:p w14:paraId="5ECD1F5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bCs/>
                <w:color w:val="auto"/>
                <w:sz w:val="21"/>
                <w:szCs w:val="21"/>
              </w:rPr>
            </w:pPr>
            <w:r>
              <w:rPr>
                <w:rFonts w:hint="eastAsia" w:ascii="宋体" w:hAnsi="宋体" w:cs="宋体"/>
                <w:bCs/>
                <w:color w:val="auto"/>
                <w:sz w:val="21"/>
                <w:szCs w:val="21"/>
              </w:rPr>
              <w:t>③</w:t>
            </w:r>
            <w:r>
              <w:rPr>
                <w:rFonts w:ascii="Times New Roman" w:hAnsi="Times New Roman"/>
                <w:bCs/>
                <w:color w:val="auto"/>
                <w:sz w:val="21"/>
                <w:szCs w:val="21"/>
              </w:rPr>
              <w:t>储罐区、危废暂存间等风险单元设置禁火标识牌等，严格禁火制度；</w:t>
            </w:r>
          </w:p>
          <w:p w14:paraId="656A505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bCs/>
                <w:color w:val="auto"/>
                <w:sz w:val="21"/>
                <w:szCs w:val="21"/>
              </w:rPr>
            </w:pPr>
            <w:r>
              <w:rPr>
                <w:rFonts w:hint="eastAsia" w:ascii="宋体" w:hAnsi="宋体" w:cs="宋体"/>
                <w:bCs/>
                <w:color w:val="auto"/>
                <w:sz w:val="21"/>
                <w:szCs w:val="21"/>
              </w:rPr>
              <w:t>④</w:t>
            </w:r>
            <w:r>
              <w:rPr>
                <w:rFonts w:ascii="Times New Roman" w:hAnsi="Times New Roman"/>
                <w:bCs/>
                <w:color w:val="auto"/>
                <w:sz w:val="21"/>
                <w:szCs w:val="21"/>
              </w:rPr>
              <w:t>加强对各类风险物质使用的管理，加强安全检查，安排专人定期对柴油储罐、沥青储罐、危废暂存间、危废收集桶进行排查，出现跑冒滴漏等情况立即开展调查及处理。</w:t>
            </w:r>
          </w:p>
          <w:p w14:paraId="504AFCA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bCs/>
                <w:color w:val="auto"/>
                <w:sz w:val="21"/>
                <w:szCs w:val="21"/>
              </w:rPr>
            </w:pPr>
            <w:r>
              <w:rPr>
                <w:rFonts w:hint="eastAsia" w:ascii="宋体" w:hAnsi="宋体" w:cs="宋体"/>
                <w:bCs/>
                <w:color w:val="auto"/>
                <w:sz w:val="21"/>
                <w:szCs w:val="21"/>
                <w:lang w:val="en-US" w:eastAsia="zh-CN"/>
              </w:rPr>
              <w:t>⑤</w:t>
            </w:r>
            <w:r>
              <w:rPr>
                <w:rFonts w:ascii="Times New Roman" w:hAnsi="Times New Roman"/>
                <w:bCs/>
                <w:color w:val="auto"/>
                <w:sz w:val="21"/>
                <w:szCs w:val="21"/>
              </w:rPr>
              <w:t>柴油储罐区、沥青储罐区、危废暂存间按照重点防渗要求建设：</w:t>
            </w:r>
            <w:r>
              <w:rPr>
                <w:rFonts w:hint="default" w:ascii="Times New Roman" w:hAnsi="Times New Roman" w:cs="Times New Roman"/>
                <w:bCs/>
                <w:color w:val="auto"/>
                <w:sz w:val="21"/>
                <w:szCs w:val="21"/>
                <w:lang w:val="en-US" w:eastAsia="zh-CN"/>
              </w:rPr>
              <w:t>其中</w:t>
            </w:r>
            <w:r>
              <w:rPr>
                <w:rFonts w:hint="default" w:ascii="Times New Roman" w:hAnsi="Times New Roman" w:cs="Times New Roman"/>
                <w:bCs/>
                <w:color w:val="auto"/>
                <w:sz w:val="21"/>
                <w:szCs w:val="21"/>
              </w:rPr>
              <w:t>危废暂存间基础采取至少2mm厚的防渗人工材料，渗透系数应≤1×10</w:t>
            </w:r>
            <w:r>
              <w:rPr>
                <w:rFonts w:hint="default" w:ascii="Times New Roman" w:hAnsi="Times New Roman" w:cs="Times New Roman"/>
                <w:bCs/>
                <w:color w:val="auto"/>
                <w:sz w:val="21"/>
                <w:szCs w:val="21"/>
                <w:vertAlign w:val="superscript"/>
              </w:rPr>
              <w:t>-10</w:t>
            </w:r>
            <w:r>
              <w:rPr>
                <w:rFonts w:hint="default" w:ascii="Times New Roman" w:hAnsi="Times New Roman" w:cs="Times New Roman"/>
                <w:bCs/>
                <w:color w:val="auto"/>
                <w:sz w:val="21"/>
                <w:szCs w:val="21"/>
              </w:rPr>
              <w:t>cm/s；沥青储罐和柴油储罐区</w:t>
            </w:r>
            <w:r>
              <w:rPr>
                <w:rFonts w:hint="default" w:ascii="Times New Roman" w:hAnsi="Times New Roman" w:cs="Times New Roman"/>
                <w:color w:val="auto"/>
                <w:sz w:val="21"/>
                <w:szCs w:val="21"/>
              </w:rPr>
              <w:t>防渗层防渗要求为等效厚度≥6m，渗透系数≤1.0×10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ascii="Times New Roman" w:hAnsi="Times New Roman"/>
                <w:bCs/>
                <w:color w:val="auto"/>
                <w:sz w:val="21"/>
                <w:szCs w:val="21"/>
              </w:rPr>
              <w:t>。</w:t>
            </w:r>
          </w:p>
          <w:p w14:paraId="586A648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bCs/>
                <w:color w:val="auto"/>
                <w:sz w:val="21"/>
                <w:szCs w:val="21"/>
              </w:rPr>
            </w:pPr>
            <w:r>
              <w:rPr>
                <w:rFonts w:hint="eastAsia" w:ascii="宋体" w:hAnsi="宋体" w:cs="宋体"/>
                <w:bCs/>
                <w:color w:val="auto"/>
                <w:sz w:val="21"/>
                <w:szCs w:val="21"/>
                <w:lang w:val="en-US" w:eastAsia="zh-CN"/>
              </w:rPr>
              <w:t>⑥</w:t>
            </w:r>
            <w:r>
              <w:rPr>
                <w:rFonts w:ascii="Times New Roman" w:hAnsi="Times New Roman"/>
                <w:bCs/>
                <w:color w:val="auto"/>
                <w:sz w:val="21"/>
                <w:szCs w:val="21"/>
              </w:rPr>
              <w:t>建立健全安全、环境管理体系及高效的安全生产机构，一旦发生事故，要做到快速、高效、安全处置。</w:t>
            </w:r>
          </w:p>
          <w:p w14:paraId="5F28CE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⑦</w:t>
            </w:r>
            <w:r>
              <w:rPr>
                <w:rFonts w:hint="eastAsia"/>
                <w:bCs/>
                <w:color w:val="auto"/>
                <w:spacing w:val="0"/>
                <w:sz w:val="21"/>
                <w:szCs w:val="21"/>
                <w:lang w:val="en-US" w:eastAsia="zh-CN"/>
              </w:rPr>
              <w:t>燃烧器废气</w:t>
            </w:r>
            <w:r>
              <w:rPr>
                <w:rFonts w:hint="default" w:ascii="Times New Roman" w:hAnsi="Times New Roman" w:cs="Times New Roman"/>
                <w:color w:val="auto"/>
                <w:sz w:val="21"/>
                <w:szCs w:val="21"/>
              </w:rPr>
              <w:t>管道沿线应专门安排人员定时巡视，并实施定期检测、修缮制度</w:t>
            </w:r>
            <w:r>
              <w:rPr>
                <w:rFonts w:hint="eastAsia" w:cs="Times New Roman"/>
                <w:color w:val="auto"/>
                <w:sz w:val="21"/>
                <w:szCs w:val="21"/>
                <w:lang w:eastAsia="zh-CN"/>
              </w:rPr>
              <w:t>，</w:t>
            </w:r>
            <w:r>
              <w:rPr>
                <w:rFonts w:hint="eastAsia" w:cs="Times New Roman"/>
                <w:color w:val="auto"/>
                <w:sz w:val="21"/>
                <w:szCs w:val="21"/>
                <w:lang w:val="en-US" w:eastAsia="zh-CN"/>
              </w:rPr>
              <w:t>防控二氧化硫及二氧化氮泄露造成大气污染</w:t>
            </w:r>
            <w:r>
              <w:rPr>
                <w:rFonts w:hint="default" w:ascii="Times New Roman" w:hAnsi="Times New Roman" w:cs="Times New Roman"/>
                <w:color w:val="auto"/>
                <w:sz w:val="21"/>
                <w:szCs w:val="21"/>
              </w:rPr>
              <w:t>。</w:t>
            </w:r>
          </w:p>
          <w:p w14:paraId="06D7F6C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ascii="Times New Roman" w:hAnsi="Times New Roman"/>
                <w:color w:val="auto"/>
                <w:sz w:val="21"/>
                <w:szCs w:val="21"/>
              </w:rPr>
            </w:pPr>
            <w:r>
              <w:rPr>
                <w:rFonts w:hint="eastAsia" w:ascii="宋体" w:hAnsi="宋体" w:cs="宋体"/>
                <w:bCs/>
                <w:color w:val="auto"/>
                <w:sz w:val="21"/>
                <w:szCs w:val="21"/>
                <w:lang w:val="en-US" w:eastAsia="zh-CN"/>
              </w:rPr>
              <w:t>⑧</w:t>
            </w:r>
            <w:r>
              <w:rPr>
                <w:rFonts w:ascii="Times New Roman" w:hAnsi="Times New Roman"/>
                <w:bCs/>
                <w:color w:val="auto"/>
                <w:sz w:val="21"/>
                <w:szCs w:val="21"/>
              </w:rPr>
              <w:t>柴油储罐、沥青储罐设置围堰≥0.6m</w:t>
            </w:r>
            <w:r>
              <w:rPr>
                <w:rFonts w:hint="eastAsia"/>
                <w:bCs/>
                <w:color w:val="auto"/>
                <w:sz w:val="21"/>
                <w:szCs w:val="21"/>
                <w:lang w:eastAsia="zh-CN"/>
              </w:rPr>
              <w:t>，</w:t>
            </w:r>
            <w:r>
              <w:rPr>
                <w:rFonts w:hint="eastAsia" w:cs="Times New Roman"/>
                <w:color w:val="auto"/>
                <w:sz w:val="21"/>
                <w:szCs w:val="21"/>
                <w:lang w:val="en-US" w:eastAsia="zh-CN"/>
              </w:rPr>
              <w:t>1#和2#</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，3#</w:t>
            </w:r>
            <w:r>
              <w:rPr>
                <w:rFonts w:hint="default" w:ascii="Times New Roman" w:hAnsi="Times New Roman" w:cs="Times New Roman"/>
                <w:bCs/>
                <w:color w:val="auto"/>
                <w:sz w:val="21"/>
                <w:szCs w:val="21"/>
                <w:lang w:bidi="ar"/>
              </w:rPr>
              <w:t>沥青储罐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180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bidi="ar"/>
              </w:rPr>
              <w:t>柴油</w:t>
            </w:r>
            <w:r>
              <w:rPr>
                <w:rFonts w:hint="eastAsia" w:cs="Times New Roman"/>
                <w:color w:val="auto"/>
                <w:sz w:val="21"/>
                <w:szCs w:val="21"/>
                <w:lang w:val="en-US" w:eastAsia="zh-CN" w:bidi="ar"/>
              </w:rPr>
              <w:t>撬装加油站</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eastAsia" w:cs="Times New Roman"/>
                <w:color w:val="auto"/>
                <w:sz w:val="21"/>
                <w:szCs w:val="21"/>
                <w:lang w:val="en-US" w:eastAsia="zh-CN" w:bidi="ar"/>
              </w:rPr>
              <w:t>轻质柴油储罐</w:t>
            </w:r>
            <w:r>
              <w:rPr>
                <w:rFonts w:hint="eastAsia" w:ascii="Times New Roman" w:hAnsi="Times New Roman" w:cs="Times New Roman"/>
                <w:color w:val="auto"/>
                <w:sz w:val="21"/>
                <w:szCs w:val="21"/>
                <w:lang w:val="en-US" w:eastAsia="zh-CN"/>
              </w:rPr>
              <w:t>围堰容积不小于</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default" w:ascii="Times New Roman" w:hAnsi="Times New Roman" w:eastAsia="宋体" w:cs="Times New Roman"/>
                <w:bCs/>
                <w:color w:val="auto"/>
                <w:sz w:val="21"/>
                <w:szCs w:val="21"/>
                <w:lang w:val="en-US" w:eastAsia="zh-CN"/>
              </w:rPr>
              <w:t>在</w:t>
            </w:r>
            <w:r>
              <w:rPr>
                <w:rFonts w:hint="eastAsia" w:ascii="Times New Roman" w:hAnsi="Times New Roman" w:eastAsia="宋体" w:cs="Times New Roman"/>
                <w:bCs/>
                <w:color w:val="auto"/>
                <w:sz w:val="21"/>
                <w:szCs w:val="21"/>
                <w:lang w:val="en-US" w:eastAsia="zh-CN"/>
              </w:rPr>
              <w:t>三级隔油</w:t>
            </w:r>
            <w:r>
              <w:rPr>
                <w:rFonts w:hint="default" w:ascii="Times New Roman" w:hAnsi="Times New Roman" w:eastAsia="宋体" w:cs="Times New Roman"/>
                <w:bCs/>
                <w:color w:val="auto"/>
                <w:sz w:val="21"/>
                <w:szCs w:val="21"/>
                <w:lang w:val="en-US" w:eastAsia="zh-CN"/>
              </w:rPr>
              <w:t>池站旁设置</w:t>
            </w:r>
            <w:r>
              <w:rPr>
                <w:rFonts w:hint="eastAsia"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座</w:t>
            </w:r>
            <w:r>
              <w:rPr>
                <w:rFonts w:hint="eastAsia" w:ascii="Times New Roman" w:hAnsi="Times New Roman" w:eastAsia="宋体" w:cs="Times New Roman"/>
                <w:bCs/>
                <w:color w:val="auto"/>
                <w:sz w:val="21"/>
                <w:szCs w:val="21"/>
                <w:lang w:val="en-US" w:eastAsia="zh-CN"/>
              </w:rPr>
              <w:t>应急</w:t>
            </w:r>
            <w:r>
              <w:rPr>
                <w:rFonts w:hint="default" w:ascii="Times New Roman" w:hAnsi="Times New Roman" w:eastAsia="宋体" w:cs="Times New Roman"/>
                <w:bCs/>
                <w:color w:val="auto"/>
                <w:sz w:val="21"/>
                <w:szCs w:val="21"/>
                <w:lang w:val="en-US" w:eastAsia="zh-CN"/>
              </w:rPr>
              <w:t>事故池，</w:t>
            </w:r>
            <w:r>
              <w:rPr>
                <w:rFonts w:hint="eastAsia" w:ascii="Times New Roman" w:hAnsi="Times New Roman" w:eastAsia="宋体" w:cs="Times New Roman"/>
                <w:bCs/>
                <w:color w:val="auto"/>
                <w:sz w:val="21"/>
                <w:szCs w:val="21"/>
                <w:lang w:val="en-US" w:eastAsia="zh-CN"/>
              </w:rPr>
              <w:t>三级隔油</w:t>
            </w:r>
            <w:r>
              <w:rPr>
                <w:rFonts w:hint="default" w:ascii="Times New Roman" w:hAnsi="Times New Roman" w:eastAsia="宋体" w:cs="Times New Roman"/>
                <w:bCs/>
                <w:color w:val="auto"/>
                <w:sz w:val="21"/>
                <w:szCs w:val="21"/>
                <w:lang w:val="en-US" w:eastAsia="zh-CN"/>
              </w:rPr>
              <w:t>池</w:t>
            </w:r>
            <w:r>
              <w:rPr>
                <w:rFonts w:hint="eastAsia" w:ascii="Times New Roman" w:hAnsi="Times New Roman" w:eastAsia="宋体" w:cs="Times New Roman"/>
                <w:bCs/>
                <w:color w:val="auto"/>
                <w:sz w:val="21"/>
                <w:szCs w:val="21"/>
                <w:lang w:val="en-US" w:eastAsia="zh-CN"/>
              </w:rPr>
              <w:t>运行故障、储罐区泄漏物料和消防废水可排入事故池内。</w:t>
            </w:r>
            <w:r>
              <w:rPr>
                <w:rFonts w:hint="default" w:ascii="Times New Roman" w:hAnsi="Times New Roman" w:eastAsia="宋体" w:cs="Times New Roman"/>
                <w:bCs/>
                <w:color w:val="auto"/>
                <w:sz w:val="21"/>
                <w:szCs w:val="21"/>
              </w:rPr>
              <w:t>为防止消防废水等从雨水排口或清下水排口直接排出，在排水管网（包括雨水管网、污水管网）全部设置切断装置</w:t>
            </w:r>
            <w:r>
              <w:rPr>
                <w:rFonts w:hint="eastAsia" w:ascii="Times New Roman" w:hAnsi="Times New Roman" w:eastAsia="宋体" w:cs="Times New Roman"/>
                <w:bCs/>
                <w:color w:val="auto"/>
                <w:sz w:val="21"/>
                <w:szCs w:val="21"/>
                <w:lang w:val="en-US" w:eastAsia="zh-CN"/>
              </w:rPr>
              <w:t>，紧急状态下可关闭排水管网出水阀，不会经雨污水管道溢流至厂外。</w:t>
            </w:r>
          </w:p>
        </w:tc>
      </w:tr>
      <w:tr w14:paraId="68D98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397" w:type="pct"/>
            <w:noWrap w:val="0"/>
            <w:vAlign w:val="center"/>
          </w:tcPr>
          <w:p w14:paraId="65FF8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pacing w:val="-8"/>
                <w:sz w:val="21"/>
                <w:szCs w:val="21"/>
              </w:rPr>
            </w:pPr>
            <w:r>
              <w:rPr>
                <w:rFonts w:ascii="Times New Roman" w:hAnsi="Times New Roman"/>
                <w:color w:val="auto"/>
                <w:spacing w:val="-8"/>
                <w:sz w:val="21"/>
                <w:szCs w:val="21"/>
              </w:rPr>
              <w:t>其他环境</w:t>
            </w:r>
          </w:p>
          <w:p w14:paraId="475B40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pacing w:val="-8"/>
                <w:sz w:val="21"/>
                <w:szCs w:val="21"/>
              </w:rPr>
            </w:pPr>
            <w:r>
              <w:rPr>
                <w:rFonts w:ascii="Times New Roman" w:hAnsi="Times New Roman"/>
                <w:color w:val="auto"/>
                <w:spacing w:val="-8"/>
                <w:sz w:val="21"/>
                <w:szCs w:val="21"/>
              </w:rPr>
              <w:t>管理要求</w:t>
            </w:r>
          </w:p>
        </w:tc>
        <w:tc>
          <w:tcPr>
            <w:tcW w:w="4602" w:type="pct"/>
            <w:gridSpan w:val="4"/>
            <w:noWrap w:val="0"/>
            <w:vAlign w:val="center"/>
          </w:tcPr>
          <w:p w14:paraId="4C297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color w:val="auto"/>
                <w:sz w:val="21"/>
                <w:szCs w:val="21"/>
              </w:rPr>
            </w:pPr>
            <w:r>
              <w:rPr>
                <w:rFonts w:hint="eastAsia" w:ascii="Times New Roman" w:hAnsi="Times New Roman" w:eastAsia="宋体" w:cs="Times New Roman"/>
                <w:bCs/>
                <w:color w:val="auto"/>
                <w:sz w:val="21"/>
                <w:szCs w:val="21"/>
                <w:lang w:val="en-US" w:eastAsia="zh-CN"/>
              </w:rPr>
              <w:t>相关建设必须严格退让河道管理范围线，后期建设不得压占河道。</w:t>
            </w:r>
          </w:p>
        </w:tc>
      </w:tr>
    </w:tbl>
    <w:p w14:paraId="42D1238B">
      <w:pPr>
        <w:ind w:firstLine="480"/>
        <w:rPr>
          <w:color w:val="auto"/>
          <w:highlight w:val="none"/>
        </w:rPr>
      </w:pPr>
      <w:r>
        <w:rPr>
          <w:rFonts w:hint="eastAsia"/>
          <w:color w:val="auto"/>
          <w:highlight w:val="none"/>
        </w:rPr>
        <w:br w:type="page"/>
      </w:r>
    </w:p>
    <w:p w14:paraId="2EBDF270">
      <w:pPr>
        <w:pStyle w:val="5"/>
        <w:jc w:val="center"/>
        <w:rPr>
          <w:color w:val="auto"/>
          <w:highlight w:val="none"/>
        </w:rPr>
      </w:pPr>
      <w:bookmarkStart w:id="7" w:name="_Toc12811"/>
      <w:r>
        <w:rPr>
          <w:rFonts w:hint="eastAsia" w:ascii="宋体" w:hAnsi="宋体"/>
          <w:color w:val="auto"/>
          <w:highlight w:val="none"/>
        </w:rPr>
        <w:t>六、</w:t>
      </w:r>
      <w:r>
        <w:rPr>
          <w:rFonts w:ascii="宋体" w:hAnsi="宋体"/>
          <w:color w:val="auto"/>
          <w:highlight w:val="none"/>
        </w:rPr>
        <w:t>结论</w:t>
      </w:r>
      <w:bookmarkEnd w:id="7"/>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414"/>
      </w:tblGrid>
      <w:tr w14:paraId="70A0ED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608" w:hRule="atLeast"/>
          <w:jc w:val="center"/>
        </w:trPr>
        <w:tc>
          <w:tcPr>
            <w:tcW w:w="8420" w:type="dxa"/>
            <w:vAlign w:val="top"/>
          </w:tcPr>
          <w:p w14:paraId="19B35B6D">
            <w:pPr>
              <w:adjustRightInd w:val="0"/>
              <w:snapToGrid w:val="0"/>
              <w:spacing w:before="120" w:beforeLines="50" w:line="360" w:lineRule="auto"/>
              <w:ind w:firstLine="480" w:firstLineChars="200"/>
              <w:rPr>
                <w:rFonts w:ascii="Times New Roman" w:hAnsi="Times New Roman"/>
                <w:color w:val="auto"/>
                <w:szCs w:val="21"/>
              </w:rPr>
            </w:pPr>
            <w:r>
              <w:rPr>
                <w:rFonts w:ascii="Times New Roman" w:hAnsi="Times New Roman"/>
                <w:color w:val="auto"/>
                <w:szCs w:val="21"/>
              </w:rPr>
              <w:t>“</w:t>
            </w:r>
            <w:r>
              <w:rPr>
                <w:rFonts w:hint="default" w:ascii="Times New Roman" w:hAnsi="Times New Roman" w:cs="Times New Roman"/>
                <w:color w:val="auto"/>
                <w:sz w:val="24"/>
              </w:rPr>
              <w:t>瑞丽市富康路桥工程有限公司新型墙材厂及沥青混凝土拌合站项目（一期）</w:t>
            </w:r>
            <w:r>
              <w:rPr>
                <w:rFonts w:ascii="Times New Roman" w:hAnsi="Times New Roman"/>
                <w:color w:val="auto"/>
                <w:szCs w:val="21"/>
              </w:rPr>
              <w:t>”的建设符合国家及地方产业政策，符合相关规划要求，选址合理可行。通过对项目所在地区的环境现状以及项目运营过程中产生的环境影响进行分析，项目产生的环境影响包括废气、噪声、废水、固体废物等，在采取环评提出的防治措施后，废气、噪声均能达标排放</w:t>
            </w:r>
            <w:r>
              <w:rPr>
                <w:rFonts w:hint="eastAsia"/>
                <w:color w:val="auto"/>
                <w:szCs w:val="21"/>
                <w:lang w:eastAsia="zh-CN"/>
              </w:rPr>
              <w:t>。</w:t>
            </w:r>
            <w:r>
              <w:rPr>
                <w:rFonts w:hint="default" w:ascii="Times New Roman" w:hAnsi="Times New Roman" w:eastAsia="宋体" w:cs="Times New Roman"/>
                <w:smallCaps w:val="0"/>
                <w:color w:val="auto"/>
                <w:sz w:val="24"/>
                <w:szCs w:val="24"/>
                <w:lang w:val="en-US" w:eastAsia="zh-CN"/>
              </w:rPr>
              <w:t>地面冲洗废水</w:t>
            </w:r>
            <w:r>
              <w:rPr>
                <w:rFonts w:hint="eastAsia" w:cs="Times New Roman"/>
                <w:smallCaps w:val="0"/>
                <w:color w:val="auto"/>
                <w:sz w:val="24"/>
                <w:szCs w:val="24"/>
                <w:lang w:val="en-US" w:eastAsia="zh-CN"/>
              </w:rPr>
              <w:t>、车辆及设备冲洗废水、</w:t>
            </w:r>
            <w:r>
              <w:rPr>
                <w:rFonts w:hint="default" w:ascii="Times New Roman" w:hAnsi="Times New Roman" w:eastAsia="宋体" w:cs="Times New Roman"/>
                <w:smallCaps w:val="0"/>
                <w:color w:val="auto"/>
                <w:sz w:val="24"/>
                <w:szCs w:val="24"/>
                <w:lang w:val="en-US" w:eastAsia="zh-CN"/>
              </w:rPr>
              <w:t>初期雨水</w:t>
            </w:r>
            <w:r>
              <w:rPr>
                <w:rFonts w:hint="eastAsia" w:cs="Times New Roman"/>
                <w:smallCaps w:val="0"/>
                <w:color w:val="auto"/>
                <w:sz w:val="24"/>
                <w:szCs w:val="24"/>
                <w:lang w:val="en-US" w:eastAsia="zh-CN"/>
              </w:rPr>
              <w:t>等废水经隔油</w:t>
            </w:r>
            <w:r>
              <w:rPr>
                <w:rFonts w:hint="eastAsia" w:ascii="Times New Roman" w:hAnsi="Times New Roman"/>
                <w:color w:val="auto"/>
                <w:szCs w:val="21"/>
                <w:lang w:val="en-US" w:eastAsia="zh-CN"/>
              </w:rPr>
              <w:t>沉淀处理后</w:t>
            </w:r>
            <w:r>
              <w:rPr>
                <w:rFonts w:ascii="Times New Roman" w:hAnsi="Times New Roman"/>
                <w:color w:val="auto"/>
                <w:szCs w:val="21"/>
              </w:rPr>
              <w:t>回用于</w:t>
            </w:r>
            <w:r>
              <w:rPr>
                <w:rFonts w:hint="eastAsia" w:ascii="Times New Roman" w:hAnsi="Times New Roman"/>
                <w:color w:val="auto"/>
                <w:szCs w:val="21"/>
                <w:lang w:val="en-US" w:eastAsia="zh-CN"/>
              </w:rPr>
              <w:t>厂区地面清洗及洒水</w:t>
            </w:r>
            <w:r>
              <w:rPr>
                <w:rFonts w:hint="eastAsia"/>
                <w:color w:val="auto"/>
                <w:szCs w:val="21"/>
                <w:lang w:val="en-US" w:eastAsia="zh-CN"/>
              </w:rPr>
              <w:t>降尘</w:t>
            </w:r>
            <w:r>
              <w:rPr>
                <w:rFonts w:ascii="Times New Roman" w:hAnsi="Times New Roman"/>
                <w:color w:val="auto"/>
                <w:szCs w:val="21"/>
              </w:rPr>
              <w:t>，</w:t>
            </w:r>
            <w:r>
              <w:rPr>
                <w:rFonts w:hint="eastAsia" w:ascii="Times New Roman" w:hAnsi="Times New Roman" w:eastAsia="宋体" w:cs="Times New Roman"/>
                <w:smallCaps w:val="0"/>
                <w:color w:val="auto"/>
                <w:sz w:val="24"/>
                <w:szCs w:val="24"/>
                <w:lang w:val="en-US" w:eastAsia="zh-CN"/>
              </w:rPr>
              <w:t>项目</w:t>
            </w:r>
            <w:r>
              <w:rPr>
                <w:rFonts w:hint="default" w:ascii="Times New Roman" w:hAnsi="Times New Roman" w:eastAsia="宋体" w:cs="Times New Roman"/>
                <w:smallCaps w:val="0"/>
                <w:color w:val="auto"/>
                <w:sz w:val="24"/>
                <w:szCs w:val="24"/>
                <w:lang w:val="en-US" w:eastAsia="zh-CN"/>
              </w:rPr>
              <w:t>食堂废水经</w:t>
            </w:r>
            <w:r>
              <w:rPr>
                <w:rFonts w:hint="eastAsia" w:cs="Times New Roman"/>
                <w:smallCaps w:val="0"/>
                <w:color w:val="auto"/>
                <w:sz w:val="24"/>
                <w:szCs w:val="24"/>
                <w:lang w:val="en-US" w:eastAsia="zh-CN"/>
              </w:rPr>
              <w:t>隔油池</w:t>
            </w:r>
            <w:r>
              <w:rPr>
                <w:rFonts w:hint="default" w:ascii="Times New Roman" w:hAnsi="Times New Roman" w:eastAsia="宋体" w:cs="Times New Roman"/>
                <w:smallCaps w:val="0"/>
                <w:color w:val="auto"/>
                <w:sz w:val="24"/>
                <w:szCs w:val="24"/>
                <w:lang w:val="en-US" w:eastAsia="zh-CN"/>
              </w:rPr>
              <w:t>预处理后同</w:t>
            </w:r>
            <w:r>
              <w:rPr>
                <w:rFonts w:hint="eastAsia" w:cs="Times New Roman"/>
                <w:smallCaps w:val="0"/>
                <w:color w:val="auto"/>
                <w:sz w:val="24"/>
                <w:szCs w:val="24"/>
                <w:lang w:val="en-US" w:eastAsia="zh-CN"/>
              </w:rPr>
              <w:t>其他生活</w:t>
            </w:r>
            <w:r>
              <w:rPr>
                <w:rFonts w:hint="default" w:ascii="Times New Roman" w:hAnsi="Times New Roman" w:eastAsia="宋体" w:cs="Times New Roman"/>
                <w:smallCaps w:val="0"/>
                <w:color w:val="auto"/>
                <w:sz w:val="24"/>
                <w:szCs w:val="24"/>
                <w:lang w:val="en-US" w:eastAsia="zh-CN"/>
              </w:rPr>
              <w:t>污水一起排入化粪池</w:t>
            </w:r>
            <w:r>
              <w:rPr>
                <w:rFonts w:hint="eastAsia" w:cs="Times New Roman"/>
                <w:smallCaps w:val="0"/>
                <w:color w:val="auto"/>
                <w:sz w:val="24"/>
                <w:szCs w:val="24"/>
                <w:lang w:val="en-US" w:eastAsia="zh-CN"/>
              </w:rPr>
              <w:t>预</w:t>
            </w:r>
            <w:r>
              <w:rPr>
                <w:rFonts w:hint="default" w:ascii="Times New Roman" w:hAnsi="Times New Roman" w:eastAsia="宋体" w:cs="Times New Roman"/>
                <w:smallCaps w:val="0"/>
                <w:color w:val="auto"/>
                <w:sz w:val="24"/>
                <w:szCs w:val="24"/>
                <w:lang w:val="en-US" w:eastAsia="zh-CN"/>
              </w:rPr>
              <w:t>处理</w:t>
            </w:r>
            <w:r>
              <w:rPr>
                <w:rFonts w:hint="eastAsia" w:ascii="Times New Roman" w:hAnsi="Times New Roman" w:eastAsia="宋体" w:cs="Times New Roman"/>
                <w:smallCaps w:val="0"/>
                <w:color w:val="auto"/>
                <w:sz w:val="24"/>
                <w:szCs w:val="24"/>
                <w:lang w:val="en-US" w:eastAsia="zh-CN"/>
              </w:rPr>
              <w:t>后</w:t>
            </w:r>
            <w:r>
              <w:rPr>
                <w:rFonts w:hint="eastAsia" w:cs="Times New Roman"/>
                <w:smallCaps w:val="0"/>
                <w:color w:val="auto"/>
                <w:sz w:val="24"/>
                <w:szCs w:val="24"/>
                <w:lang w:val="en-US" w:eastAsia="zh-CN"/>
              </w:rPr>
              <w:t>在排入污水处</w:t>
            </w:r>
            <w:r>
              <w:rPr>
                <w:rFonts w:hint="eastAsia" w:ascii="Times New Roman" w:hAnsi="Times New Roman" w:eastAsia="宋体" w:cs="Times New Roman"/>
                <w:smallCaps w:val="0"/>
                <w:color w:val="auto"/>
                <w:sz w:val="24"/>
                <w:szCs w:val="24"/>
                <w:lang w:val="en-US" w:eastAsia="zh-CN"/>
              </w:rPr>
              <w:t>理站，</w:t>
            </w:r>
            <w:r>
              <w:rPr>
                <w:rFonts w:hint="default" w:ascii="Times New Roman" w:hAnsi="Times New Roman" w:eastAsia="宋体" w:cs="Times New Roman"/>
                <w:smallCaps w:val="0"/>
                <w:color w:val="auto"/>
                <w:sz w:val="24"/>
                <w:szCs w:val="24"/>
                <w:lang w:val="en-US" w:eastAsia="zh-CN"/>
              </w:rPr>
              <w:t>近期</w:t>
            </w:r>
            <w:r>
              <w:rPr>
                <w:rFonts w:hint="eastAsia" w:ascii="Times New Roman" w:hAnsi="Times New Roman" w:eastAsia="宋体" w:cs="Times New Roman"/>
                <w:smallCaps w:val="0"/>
                <w:color w:val="auto"/>
                <w:sz w:val="24"/>
                <w:szCs w:val="24"/>
                <w:lang w:val="en-US" w:eastAsia="zh-CN"/>
              </w:rPr>
              <w:t>用于厂区绿化，</w:t>
            </w:r>
            <w:r>
              <w:rPr>
                <w:rFonts w:hint="default" w:ascii="Times New Roman" w:hAnsi="Times New Roman" w:eastAsia="宋体" w:cs="Times New Roman"/>
                <w:smallCaps w:val="0"/>
                <w:color w:val="auto"/>
                <w:sz w:val="24"/>
                <w:szCs w:val="24"/>
                <w:lang w:val="en-US" w:eastAsia="zh-CN"/>
              </w:rPr>
              <w:t>远期进入帕底工业园区污水处理厂</w:t>
            </w:r>
            <w:r>
              <w:rPr>
                <w:rFonts w:hint="eastAsia" w:ascii="Times New Roman" w:hAnsi="Times New Roman" w:eastAsia="宋体" w:cs="Times New Roman"/>
                <w:smallCaps w:val="0"/>
                <w:color w:val="auto"/>
                <w:sz w:val="24"/>
                <w:szCs w:val="24"/>
                <w:lang w:val="en-US" w:eastAsia="zh-CN"/>
              </w:rPr>
              <w:t>。</w:t>
            </w:r>
            <w:r>
              <w:rPr>
                <w:rFonts w:ascii="Times New Roman" w:hAnsi="Times New Roman"/>
                <w:color w:val="auto"/>
                <w:szCs w:val="21"/>
              </w:rPr>
              <w:t>固体废物能妥善处置，处置率达100%。本次环评认为，建设单位在认真执行本次环评提出的污染防治措施后，项目产生的污染物对环境的影响较小，不会改变当地环境功能。从环境保护的角度分析，项目的实施是可行的。</w:t>
            </w:r>
          </w:p>
          <w:p w14:paraId="3B45F52D">
            <w:pPr>
              <w:spacing w:line="600" w:lineRule="exact"/>
              <w:ind w:firstLine="560"/>
              <w:rPr>
                <w:color w:val="auto"/>
                <w:sz w:val="28"/>
                <w:szCs w:val="28"/>
                <w:highlight w:val="none"/>
              </w:rPr>
            </w:pPr>
          </w:p>
          <w:p w14:paraId="0DAEDF9C">
            <w:pPr>
              <w:spacing w:line="600" w:lineRule="exact"/>
              <w:ind w:firstLine="480"/>
              <w:rPr>
                <w:color w:val="auto"/>
                <w:szCs w:val="20"/>
                <w:highlight w:val="none"/>
              </w:rPr>
            </w:pPr>
          </w:p>
          <w:p w14:paraId="059AA127">
            <w:pPr>
              <w:spacing w:line="600" w:lineRule="exact"/>
              <w:ind w:firstLine="480"/>
              <w:rPr>
                <w:color w:val="auto"/>
                <w:szCs w:val="20"/>
                <w:highlight w:val="none"/>
              </w:rPr>
            </w:pPr>
          </w:p>
          <w:p w14:paraId="01192D2B">
            <w:pPr>
              <w:spacing w:line="600" w:lineRule="exact"/>
              <w:ind w:firstLine="0" w:firstLineChars="0"/>
              <w:rPr>
                <w:color w:val="auto"/>
                <w:szCs w:val="20"/>
                <w:highlight w:val="none"/>
              </w:rPr>
            </w:pPr>
          </w:p>
        </w:tc>
      </w:tr>
    </w:tbl>
    <w:p w14:paraId="361EC73A">
      <w:pPr>
        <w:ind w:firstLine="0" w:firstLineChars="0"/>
        <w:rPr>
          <w:color w:val="auto"/>
          <w:highlight w:val="none"/>
        </w:rPr>
      </w:pPr>
    </w:p>
    <w:p w14:paraId="6F05E80A">
      <w:pPr>
        <w:ind w:firstLine="0" w:firstLineChars="0"/>
        <w:rPr>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6091339C">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left"/>
        <w:textAlignment w:val="auto"/>
        <w:outlineLvl w:val="9"/>
        <w:rPr>
          <w:rFonts w:hint="eastAsia" w:ascii="方正小标宋_GBK" w:hAnsi="黑体" w:eastAsia="方正小标宋_GBK" w:cs="Times New Roman"/>
          <w:b/>
          <w:bCs/>
          <w:snapToGrid w:val="0"/>
          <w:color w:val="auto"/>
          <w:sz w:val="24"/>
          <w:szCs w:val="24"/>
          <w:highlight w:val="none"/>
        </w:rPr>
      </w:pPr>
      <w:r>
        <w:rPr>
          <w:rFonts w:hint="eastAsia" w:ascii="方正小标宋_GBK" w:hAnsi="黑体" w:eastAsia="方正小标宋_GBK" w:cs="Times New Roman"/>
          <w:b/>
          <w:bCs/>
          <w:snapToGrid w:val="0"/>
          <w:color w:val="auto"/>
          <w:sz w:val="24"/>
          <w:szCs w:val="24"/>
          <w:highlight w:val="none"/>
        </w:rPr>
        <w:t>附表</w:t>
      </w:r>
    </w:p>
    <w:p w14:paraId="0DAF77F0">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9"/>
        <w:rPr>
          <w:rFonts w:hint="eastAsia" w:ascii="方正小标宋_GBK" w:hAnsi="黑体" w:eastAsia="方正小标宋_GBK" w:cs="Times New Roman"/>
          <w:b/>
          <w:bCs/>
          <w:snapToGrid w:val="0"/>
          <w:color w:val="auto"/>
          <w:sz w:val="24"/>
          <w:szCs w:val="24"/>
          <w:highlight w:val="none"/>
        </w:rPr>
      </w:pPr>
      <w:r>
        <w:rPr>
          <w:rFonts w:hint="eastAsia" w:ascii="方正小标宋_GBK" w:hAnsi="黑体" w:eastAsia="方正小标宋_GBK" w:cs="Times New Roman"/>
          <w:b/>
          <w:bCs/>
          <w:snapToGrid w:val="0"/>
          <w:color w:val="auto"/>
          <w:sz w:val="24"/>
          <w:szCs w:val="24"/>
          <w:highlight w:val="none"/>
        </w:rPr>
        <w:t>建设项目污染物排放量汇总表</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638"/>
        <w:gridCol w:w="1463"/>
        <w:gridCol w:w="1300"/>
        <w:gridCol w:w="1420"/>
        <w:gridCol w:w="1559"/>
        <w:gridCol w:w="1601"/>
        <w:gridCol w:w="1601"/>
        <w:gridCol w:w="1344"/>
      </w:tblGrid>
      <w:tr w14:paraId="59CDB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tcBorders>
              <w:tl2br w:val="single" w:color="auto" w:sz="4" w:space="0"/>
            </w:tcBorders>
            <w:noWrap w:val="0"/>
            <w:tcMar>
              <w:left w:w="28" w:type="dxa"/>
              <w:right w:w="28" w:type="dxa"/>
            </w:tcMar>
            <w:vAlign w:val="center"/>
          </w:tcPr>
          <w:p w14:paraId="4969A3CA">
            <w:pPr>
              <w:pStyle w:val="43"/>
              <w:spacing w:beforeLines="0" w:afterLines="0" w:line="240" w:lineRule="auto"/>
              <w:ind w:firstLine="0" w:firstLineChars="0"/>
              <w:jc w:val="right"/>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项目</w:t>
            </w:r>
          </w:p>
          <w:p w14:paraId="07B56C73">
            <w:pPr>
              <w:pStyle w:val="43"/>
              <w:spacing w:beforeLines="0" w:afterLines="0" w:line="240" w:lineRule="auto"/>
              <w:ind w:firstLine="0" w:firstLineChars="0"/>
              <w:jc w:val="left"/>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分类</w:t>
            </w:r>
          </w:p>
        </w:tc>
        <w:tc>
          <w:tcPr>
            <w:tcW w:w="2638" w:type="dxa"/>
            <w:noWrap w:val="0"/>
            <w:tcMar>
              <w:left w:w="28" w:type="dxa"/>
              <w:right w:w="28" w:type="dxa"/>
            </w:tcMar>
            <w:vAlign w:val="center"/>
          </w:tcPr>
          <w:p w14:paraId="31EBDD52">
            <w:pPr>
              <w:pStyle w:val="43"/>
              <w:spacing w:beforeLines="0" w:afterLines="0" w:line="240" w:lineRule="auto"/>
              <w:ind w:firstLine="0" w:firstLineChars="0"/>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污染物名称</w:t>
            </w:r>
          </w:p>
        </w:tc>
        <w:tc>
          <w:tcPr>
            <w:tcW w:w="1463" w:type="dxa"/>
            <w:noWrap w:val="0"/>
            <w:tcMar>
              <w:left w:w="28" w:type="dxa"/>
              <w:right w:w="28" w:type="dxa"/>
            </w:tcMar>
            <w:vAlign w:val="center"/>
          </w:tcPr>
          <w:p w14:paraId="5327D1A4">
            <w:pPr>
              <w:pStyle w:val="43"/>
              <w:spacing w:beforeLines="0" w:afterLines="0" w:line="240" w:lineRule="auto"/>
              <w:ind w:firstLine="0" w:firstLineChars="0"/>
              <w:rPr>
                <w:rFonts w:hint="eastAsia"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t>现有工程</w:t>
            </w:r>
          </w:p>
          <w:p w14:paraId="5E58F545">
            <w:pPr>
              <w:pStyle w:val="43"/>
              <w:spacing w:beforeLines="0" w:afterLines="0" w:line="240" w:lineRule="auto"/>
              <w:ind w:firstLine="0" w:firstLineChars="0"/>
              <w:rPr>
                <w:rFonts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t>排放量（固</w:t>
            </w:r>
            <w:r>
              <w:rPr>
                <w:rFonts w:hint="eastAsia" w:ascii="黑体" w:hAnsi="黑体" w:eastAsia="黑体" w:cs="Times New Roman"/>
                <w:snapToGrid w:val="0"/>
                <w:color w:val="auto"/>
                <w:spacing w:val="-6"/>
                <w:kern w:val="21"/>
                <w:szCs w:val="21"/>
                <w:highlight w:val="none"/>
              </w:rPr>
              <w:t>体</w:t>
            </w:r>
            <w:r>
              <w:rPr>
                <w:rFonts w:ascii="黑体" w:hAnsi="黑体" w:eastAsia="黑体" w:cs="Times New Roman"/>
                <w:snapToGrid w:val="0"/>
                <w:color w:val="auto"/>
                <w:spacing w:val="-6"/>
                <w:kern w:val="21"/>
                <w:szCs w:val="21"/>
                <w:highlight w:val="none"/>
              </w:rPr>
              <w:t>废</w:t>
            </w:r>
            <w:r>
              <w:rPr>
                <w:rFonts w:hint="eastAsia" w:ascii="黑体" w:hAnsi="黑体" w:eastAsia="黑体" w:cs="Times New Roman"/>
                <w:snapToGrid w:val="0"/>
                <w:color w:val="auto"/>
                <w:spacing w:val="-6"/>
                <w:kern w:val="21"/>
                <w:szCs w:val="21"/>
                <w:highlight w:val="none"/>
              </w:rPr>
              <w:t>物</w:t>
            </w:r>
            <w:r>
              <w:rPr>
                <w:rFonts w:ascii="黑体" w:hAnsi="黑体" w:eastAsia="黑体" w:cs="Times New Roman"/>
                <w:snapToGrid w:val="0"/>
                <w:color w:val="auto"/>
                <w:spacing w:val="-6"/>
                <w:kern w:val="21"/>
                <w:szCs w:val="21"/>
                <w:highlight w:val="none"/>
              </w:rPr>
              <w:t>产生量）</w:t>
            </w:r>
            <w:r>
              <w:rPr>
                <w:rFonts w:ascii="黑体" w:hAnsi="黑体" w:eastAsia="黑体" w:cs="Times New Roman"/>
                <w:snapToGrid w:val="0"/>
                <w:color w:val="auto"/>
                <w:spacing w:val="-6"/>
                <w:kern w:val="21"/>
                <w:szCs w:val="21"/>
                <w:highlight w:val="none"/>
              </w:rPr>
              <w:fldChar w:fldCharType="begin"/>
            </w:r>
            <w:r>
              <w:rPr>
                <w:rFonts w:ascii="黑体" w:hAnsi="黑体" w:eastAsia="黑体" w:cs="Times New Roman"/>
                <w:snapToGrid w:val="0"/>
                <w:color w:val="auto"/>
                <w:spacing w:val="-6"/>
                <w:kern w:val="21"/>
                <w:szCs w:val="21"/>
                <w:highlight w:val="none"/>
              </w:rPr>
              <w:instrText xml:space="preserve"> = 1 \* GB3 \* MERGEFORMAT </w:instrText>
            </w:r>
            <w:r>
              <w:rPr>
                <w:rFonts w:ascii="黑体" w:hAnsi="黑体" w:eastAsia="黑体" w:cs="Times New Roman"/>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①</w:t>
            </w:r>
            <w:r>
              <w:rPr>
                <w:rFonts w:ascii="黑体" w:hAnsi="黑体" w:eastAsia="黑体" w:cs="Times New Roman"/>
                <w:snapToGrid w:val="0"/>
                <w:color w:val="auto"/>
                <w:spacing w:val="-6"/>
                <w:kern w:val="21"/>
                <w:szCs w:val="21"/>
                <w:highlight w:val="none"/>
              </w:rPr>
              <w:fldChar w:fldCharType="end"/>
            </w:r>
          </w:p>
        </w:tc>
        <w:tc>
          <w:tcPr>
            <w:tcW w:w="1300" w:type="dxa"/>
            <w:noWrap w:val="0"/>
            <w:tcMar>
              <w:left w:w="28" w:type="dxa"/>
              <w:right w:w="28" w:type="dxa"/>
            </w:tcMar>
            <w:vAlign w:val="center"/>
          </w:tcPr>
          <w:p w14:paraId="2BF520ED">
            <w:pPr>
              <w:pStyle w:val="43"/>
              <w:spacing w:beforeLines="0" w:afterLines="0" w:line="240" w:lineRule="auto"/>
              <w:ind w:firstLine="0" w:firstLineChars="0"/>
              <w:rPr>
                <w:rFonts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t>现有工程</w:t>
            </w:r>
          </w:p>
          <w:p w14:paraId="7EC088FB">
            <w:pPr>
              <w:pStyle w:val="43"/>
              <w:spacing w:beforeLines="0" w:afterLines="0" w:line="240" w:lineRule="auto"/>
              <w:ind w:firstLine="0" w:firstLineChars="0"/>
              <w:rPr>
                <w:rFonts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t>许可排放量</w:t>
            </w:r>
          </w:p>
          <w:p w14:paraId="74D47B58">
            <w:pPr>
              <w:pStyle w:val="43"/>
              <w:spacing w:beforeLines="0" w:afterLines="0"/>
              <w:ind w:firstLine="0" w:firstLineChars="0"/>
              <w:rPr>
                <w:rFonts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fldChar w:fldCharType="begin"/>
            </w:r>
            <w:r>
              <w:rPr>
                <w:rFonts w:ascii="黑体" w:hAnsi="黑体" w:eastAsia="黑体" w:cs="Times New Roman"/>
                <w:snapToGrid w:val="0"/>
                <w:color w:val="auto"/>
                <w:spacing w:val="-6"/>
                <w:kern w:val="21"/>
                <w:szCs w:val="21"/>
                <w:highlight w:val="none"/>
              </w:rPr>
              <w:instrText xml:space="preserve"> = 2 \* GB3 \* MERGEFORMAT </w:instrText>
            </w:r>
            <w:r>
              <w:rPr>
                <w:rFonts w:ascii="黑体" w:hAnsi="黑体" w:eastAsia="黑体" w:cs="Times New Roman"/>
                <w:snapToGrid w:val="0"/>
                <w:color w:val="auto"/>
                <w:spacing w:val="-6"/>
                <w:kern w:val="21"/>
                <w:szCs w:val="21"/>
                <w:highlight w:val="none"/>
              </w:rPr>
              <w:fldChar w:fldCharType="separate"/>
            </w:r>
            <w:r>
              <w:rPr>
                <w:rFonts w:hint="eastAsia" w:ascii="黑体" w:hAnsi="黑体" w:eastAsia="黑体" w:cs="宋体"/>
                <w:snapToGrid w:val="0"/>
                <w:color w:val="auto"/>
                <w:spacing w:val="-6"/>
                <w:kern w:val="21"/>
                <w:szCs w:val="21"/>
                <w:highlight w:val="none"/>
              </w:rPr>
              <w:t>②</w:t>
            </w:r>
            <w:r>
              <w:rPr>
                <w:rFonts w:ascii="黑体" w:hAnsi="黑体" w:eastAsia="黑体" w:cs="Times New Roman"/>
                <w:snapToGrid w:val="0"/>
                <w:color w:val="auto"/>
                <w:spacing w:val="-6"/>
                <w:kern w:val="21"/>
                <w:szCs w:val="21"/>
                <w:highlight w:val="none"/>
              </w:rPr>
              <w:fldChar w:fldCharType="end"/>
            </w:r>
          </w:p>
        </w:tc>
        <w:tc>
          <w:tcPr>
            <w:tcW w:w="1420" w:type="dxa"/>
            <w:noWrap w:val="0"/>
            <w:tcMar>
              <w:left w:w="28" w:type="dxa"/>
              <w:right w:w="28" w:type="dxa"/>
            </w:tcMar>
            <w:vAlign w:val="center"/>
          </w:tcPr>
          <w:p w14:paraId="778B3F89">
            <w:pPr>
              <w:pStyle w:val="43"/>
              <w:spacing w:beforeLines="0" w:afterLines="0" w:line="240" w:lineRule="auto"/>
              <w:ind w:firstLine="0" w:firstLineChars="0"/>
              <w:rPr>
                <w:rFonts w:hint="eastAsia"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t>在建工程</w:t>
            </w:r>
          </w:p>
          <w:p w14:paraId="380D3606">
            <w:pPr>
              <w:pStyle w:val="43"/>
              <w:spacing w:beforeLines="0" w:afterLines="0" w:line="240" w:lineRule="auto"/>
              <w:ind w:firstLine="0" w:firstLineChars="0"/>
              <w:rPr>
                <w:rFonts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t>排放量（固</w:t>
            </w:r>
            <w:r>
              <w:rPr>
                <w:rFonts w:hint="eastAsia" w:ascii="黑体" w:hAnsi="黑体" w:eastAsia="黑体" w:cs="Times New Roman"/>
                <w:snapToGrid w:val="0"/>
                <w:color w:val="auto"/>
                <w:spacing w:val="-6"/>
                <w:kern w:val="21"/>
                <w:szCs w:val="21"/>
                <w:highlight w:val="none"/>
              </w:rPr>
              <w:t>体</w:t>
            </w:r>
            <w:r>
              <w:rPr>
                <w:rFonts w:ascii="黑体" w:hAnsi="黑体" w:eastAsia="黑体" w:cs="Times New Roman"/>
                <w:snapToGrid w:val="0"/>
                <w:color w:val="auto"/>
                <w:spacing w:val="-6"/>
                <w:kern w:val="21"/>
                <w:szCs w:val="21"/>
                <w:highlight w:val="none"/>
              </w:rPr>
              <w:t>废</w:t>
            </w:r>
            <w:r>
              <w:rPr>
                <w:rFonts w:hint="eastAsia" w:ascii="黑体" w:hAnsi="黑体" w:eastAsia="黑体" w:cs="Times New Roman"/>
                <w:snapToGrid w:val="0"/>
                <w:color w:val="auto"/>
                <w:spacing w:val="-6"/>
                <w:kern w:val="21"/>
                <w:szCs w:val="21"/>
                <w:highlight w:val="none"/>
              </w:rPr>
              <w:t>物</w:t>
            </w:r>
            <w:r>
              <w:rPr>
                <w:rFonts w:ascii="黑体" w:hAnsi="黑体" w:eastAsia="黑体" w:cs="Times New Roman"/>
                <w:snapToGrid w:val="0"/>
                <w:color w:val="auto"/>
                <w:spacing w:val="-6"/>
                <w:kern w:val="21"/>
                <w:szCs w:val="21"/>
                <w:highlight w:val="none"/>
              </w:rPr>
              <w:t>产生量）</w:t>
            </w:r>
            <w:r>
              <w:rPr>
                <w:rFonts w:ascii="黑体" w:hAnsi="黑体" w:eastAsia="黑体" w:cs="Times New Roman"/>
                <w:snapToGrid w:val="0"/>
                <w:color w:val="auto"/>
                <w:spacing w:val="-6"/>
                <w:kern w:val="21"/>
                <w:szCs w:val="21"/>
                <w:highlight w:val="none"/>
              </w:rPr>
              <w:fldChar w:fldCharType="begin"/>
            </w:r>
            <w:r>
              <w:rPr>
                <w:rFonts w:ascii="黑体" w:hAnsi="黑体" w:eastAsia="黑体" w:cs="Times New Roman"/>
                <w:snapToGrid w:val="0"/>
                <w:color w:val="auto"/>
                <w:spacing w:val="-6"/>
                <w:kern w:val="21"/>
                <w:szCs w:val="21"/>
                <w:highlight w:val="none"/>
              </w:rPr>
              <w:instrText xml:space="preserve"> = 3 \* GB3 \* MERGEFORMAT </w:instrText>
            </w:r>
            <w:r>
              <w:rPr>
                <w:rFonts w:ascii="黑体" w:hAnsi="黑体" w:eastAsia="黑体" w:cs="Times New Roman"/>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③</w:t>
            </w:r>
            <w:r>
              <w:rPr>
                <w:rFonts w:ascii="黑体" w:hAnsi="黑体" w:eastAsia="黑体" w:cs="Times New Roman"/>
                <w:snapToGrid w:val="0"/>
                <w:color w:val="auto"/>
                <w:spacing w:val="-6"/>
                <w:kern w:val="21"/>
                <w:szCs w:val="21"/>
                <w:highlight w:val="none"/>
              </w:rPr>
              <w:fldChar w:fldCharType="end"/>
            </w:r>
          </w:p>
        </w:tc>
        <w:tc>
          <w:tcPr>
            <w:tcW w:w="1559" w:type="dxa"/>
            <w:noWrap w:val="0"/>
            <w:tcMar>
              <w:left w:w="28" w:type="dxa"/>
              <w:right w:w="28" w:type="dxa"/>
            </w:tcMar>
            <w:vAlign w:val="center"/>
          </w:tcPr>
          <w:p w14:paraId="47A6158F">
            <w:pPr>
              <w:pStyle w:val="43"/>
              <w:spacing w:beforeLines="0" w:afterLines="0" w:line="240" w:lineRule="auto"/>
              <w:ind w:firstLine="0" w:firstLineChars="0"/>
              <w:rPr>
                <w:rFonts w:hint="eastAsia"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t>本项目</w:t>
            </w:r>
          </w:p>
          <w:p w14:paraId="5D8F2A59">
            <w:pPr>
              <w:pStyle w:val="43"/>
              <w:spacing w:beforeLines="0" w:afterLines="0" w:line="240" w:lineRule="auto"/>
              <w:ind w:firstLine="0" w:firstLineChars="0"/>
              <w:rPr>
                <w:rFonts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t>排放量（固</w:t>
            </w:r>
            <w:r>
              <w:rPr>
                <w:rFonts w:hint="eastAsia" w:ascii="黑体" w:hAnsi="黑体" w:eastAsia="黑体" w:cs="Times New Roman"/>
                <w:snapToGrid w:val="0"/>
                <w:color w:val="auto"/>
                <w:spacing w:val="-6"/>
                <w:kern w:val="21"/>
                <w:szCs w:val="21"/>
                <w:highlight w:val="none"/>
              </w:rPr>
              <w:t>体</w:t>
            </w:r>
            <w:r>
              <w:rPr>
                <w:rFonts w:ascii="黑体" w:hAnsi="黑体" w:eastAsia="黑体" w:cs="Times New Roman"/>
                <w:snapToGrid w:val="0"/>
                <w:color w:val="auto"/>
                <w:spacing w:val="-6"/>
                <w:kern w:val="21"/>
                <w:szCs w:val="21"/>
                <w:highlight w:val="none"/>
              </w:rPr>
              <w:t>废</w:t>
            </w:r>
            <w:r>
              <w:rPr>
                <w:rFonts w:hint="eastAsia" w:ascii="黑体" w:hAnsi="黑体" w:eastAsia="黑体" w:cs="Times New Roman"/>
                <w:snapToGrid w:val="0"/>
                <w:color w:val="auto"/>
                <w:spacing w:val="-6"/>
                <w:kern w:val="21"/>
                <w:szCs w:val="21"/>
                <w:highlight w:val="none"/>
              </w:rPr>
              <w:t>物</w:t>
            </w:r>
            <w:r>
              <w:rPr>
                <w:rFonts w:ascii="黑体" w:hAnsi="黑体" w:eastAsia="黑体" w:cs="Times New Roman"/>
                <w:snapToGrid w:val="0"/>
                <w:color w:val="auto"/>
                <w:spacing w:val="-6"/>
                <w:kern w:val="21"/>
                <w:szCs w:val="21"/>
                <w:highlight w:val="none"/>
              </w:rPr>
              <w:t>产生量）</w:t>
            </w:r>
            <w:r>
              <w:rPr>
                <w:rFonts w:ascii="黑体" w:hAnsi="黑体" w:eastAsia="黑体" w:cs="Times New Roman"/>
                <w:snapToGrid w:val="0"/>
                <w:color w:val="auto"/>
                <w:spacing w:val="-6"/>
                <w:kern w:val="21"/>
                <w:szCs w:val="21"/>
                <w:highlight w:val="none"/>
              </w:rPr>
              <w:fldChar w:fldCharType="begin"/>
            </w:r>
            <w:r>
              <w:rPr>
                <w:rFonts w:ascii="黑体" w:hAnsi="黑体" w:eastAsia="黑体" w:cs="Times New Roman"/>
                <w:snapToGrid w:val="0"/>
                <w:color w:val="auto"/>
                <w:spacing w:val="-6"/>
                <w:kern w:val="21"/>
                <w:szCs w:val="21"/>
                <w:highlight w:val="none"/>
              </w:rPr>
              <w:instrText xml:space="preserve"> = 4 \* GB3 \* MERGEFORMAT </w:instrText>
            </w:r>
            <w:r>
              <w:rPr>
                <w:rFonts w:ascii="黑体" w:hAnsi="黑体" w:eastAsia="黑体" w:cs="Times New Roman"/>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④</w:t>
            </w:r>
            <w:r>
              <w:rPr>
                <w:rFonts w:ascii="黑体" w:hAnsi="黑体" w:eastAsia="黑体" w:cs="Times New Roman"/>
                <w:snapToGrid w:val="0"/>
                <w:color w:val="auto"/>
                <w:spacing w:val="-6"/>
                <w:kern w:val="21"/>
                <w:szCs w:val="21"/>
                <w:highlight w:val="none"/>
              </w:rPr>
              <w:fldChar w:fldCharType="end"/>
            </w:r>
          </w:p>
        </w:tc>
        <w:tc>
          <w:tcPr>
            <w:tcW w:w="1601" w:type="dxa"/>
            <w:noWrap w:val="0"/>
            <w:tcMar>
              <w:left w:w="28" w:type="dxa"/>
              <w:right w:w="28" w:type="dxa"/>
            </w:tcMar>
            <w:vAlign w:val="center"/>
          </w:tcPr>
          <w:p w14:paraId="55CA4D20">
            <w:pPr>
              <w:pStyle w:val="43"/>
              <w:spacing w:beforeLines="0" w:afterLines="0" w:line="240" w:lineRule="auto"/>
              <w:ind w:firstLine="0" w:firstLineChars="0"/>
              <w:rPr>
                <w:rFonts w:hint="eastAsia" w:ascii="黑体" w:hAnsi="黑体" w:eastAsia="黑体" w:cs="Times New Roman"/>
                <w:snapToGrid w:val="0"/>
                <w:color w:val="auto"/>
                <w:spacing w:val="-16"/>
                <w:kern w:val="21"/>
                <w:szCs w:val="21"/>
                <w:highlight w:val="none"/>
              </w:rPr>
            </w:pPr>
            <w:r>
              <w:rPr>
                <w:rFonts w:ascii="黑体" w:hAnsi="黑体" w:eastAsia="黑体" w:cs="Times New Roman"/>
                <w:snapToGrid w:val="0"/>
                <w:color w:val="auto"/>
                <w:spacing w:val="-16"/>
                <w:kern w:val="21"/>
                <w:szCs w:val="21"/>
                <w:highlight w:val="none"/>
              </w:rPr>
              <w:t>以新带老削减量</w:t>
            </w:r>
          </w:p>
          <w:p w14:paraId="18B3A1B5">
            <w:pPr>
              <w:pStyle w:val="43"/>
              <w:spacing w:beforeLines="0" w:afterLines="0" w:line="240" w:lineRule="auto"/>
              <w:ind w:firstLine="0" w:firstLineChars="0"/>
              <w:rPr>
                <w:rFonts w:ascii="黑体" w:hAnsi="黑体" w:eastAsia="黑体" w:cs="Times New Roman"/>
                <w:snapToGrid w:val="0"/>
                <w:color w:val="auto"/>
                <w:spacing w:val="-16"/>
                <w:kern w:val="21"/>
                <w:szCs w:val="21"/>
                <w:highlight w:val="none"/>
              </w:rPr>
            </w:pPr>
            <w:r>
              <w:rPr>
                <w:rFonts w:ascii="黑体" w:hAnsi="黑体" w:eastAsia="黑体" w:cs="Times New Roman"/>
                <w:snapToGrid w:val="0"/>
                <w:color w:val="auto"/>
                <w:spacing w:val="-16"/>
                <w:kern w:val="21"/>
                <w:szCs w:val="21"/>
                <w:highlight w:val="none"/>
              </w:rPr>
              <w:t>（新建项目不填）</w:t>
            </w:r>
            <w:r>
              <w:rPr>
                <w:rFonts w:ascii="黑体" w:hAnsi="黑体" w:eastAsia="黑体" w:cs="Times New Roman"/>
                <w:snapToGrid w:val="0"/>
                <w:color w:val="auto"/>
                <w:spacing w:val="-16"/>
                <w:kern w:val="21"/>
                <w:szCs w:val="21"/>
                <w:highlight w:val="none"/>
              </w:rPr>
              <w:fldChar w:fldCharType="begin"/>
            </w:r>
            <w:r>
              <w:rPr>
                <w:rFonts w:ascii="黑体" w:hAnsi="黑体" w:eastAsia="黑体" w:cs="Times New Roman"/>
                <w:snapToGrid w:val="0"/>
                <w:color w:val="auto"/>
                <w:spacing w:val="-16"/>
                <w:kern w:val="21"/>
                <w:szCs w:val="21"/>
                <w:highlight w:val="none"/>
              </w:rPr>
              <w:instrText xml:space="preserve"> = 5 \* GB3 \* MERGEFORMAT </w:instrText>
            </w:r>
            <w:r>
              <w:rPr>
                <w:rFonts w:ascii="黑体" w:hAnsi="黑体" w:eastAsia="黑体" w:cs="Times New Roman"/>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⑤</w:t>
            </w:r>
            <w:r>
              <w:rPr>
                <w:rFonts w:ascii="黑体" w:hAnsi="黑体" w:eastAsia="黑体" w:cs="Times New Roman"/>
                <w:snapToGrid w:val="0"/>
                <w:color w:val="auto"/>
                <w:spacing w:val="-16"/>
                <w:kern w:val="21"/>
                <w:szCs w:val="21"/>
                <w:highlight w:val="none"/>
              </w:rPr>
              <w:fldChar w:fldCharType="end"/>
            </w:r>
          </w:p>
        </w:tc>
        <w:tc>
          <w:tcPr>
            <w:tcW w:w="1601" w:type="dxa"/>
            <w:noWrap w:val="0"/>
            <w:tcMar>
              <w:left w:w="28" w:type="dxa"/>
              <w:right w:w="28" w:type="dxa"/>
            </w:tcMar>
            <w:vAlign w:val="center"/>
          </w:tcPr>
          <w:p w14:paraId="235B17FB">
            <w:pPr>
              <w:pStyle w:val="43"/>
              <w:spacing w:beforeLines="0" w:afterLines="0" w:line="240" w:lineRule="auto"/>
              <w:ind w:firstLine="0" w:firstLineChars="0"/>
              <w:rPr>
                <w:rFonts w:hint="eastAsia" w:ascii="黑体" w:hAnsi="黑体" w:eastAsia="黑体" w:cs="Times New Roman"/>
                <w:snapToGrid w:val="0"/>
                <w:color w:val="auto"/>
                <w:spacing w:val="-16"/>
                <w:kern w:val="21"/>
                <w:szCs w:val="21"/>
                <w:highlight w:val="none"/>
              </w:rPr>
            </w:pPr>
            <w:r>
              <w:rPr>
                <w:rFonts w:ascii="黑体" w:hAnsi="黑体" w:eastAsia="黑体" w:cs="Times New Roman"/>
                <w:snapToGrid w:val="0"/>
                <w:color w:val="auto"/>
                <w:spacing w:val="-16"/>
                <w:kern w:val="21"/>
                <w:szCs w:val="21"/>
                <w:highlight w:val="none"/>
              </w:rPr>
              <w:t>本项目建成后</w:t>
            </w:r>
          </w:p>
          <w:p w14:paraId="3AD6D120">
            <w:pPr>
              <w:pStyle w:val="43"/>
              <w:spacing w:beforeLines="0" w:afterLines="0" w:line="240" w:lineRule="auto"/>
              <w:ind w:firstLine="0" w:firstLineChars="0"/>
              <w:rPr>
                <w:rFonts w:ascii="黑体" w:hAnsi="黑体" w:eastAsia="黑体" w:cs="Times New Roman"/>
                <w:snapToGrid w:val="0"/>
                <w:color w:val="auto"/>
                <w:spacing w:val="-16"/>
                <w:kern w:val="21"/>
                <w:szCs w:val="21"/>
                <w:highlight w:val="none"/>
              </w:rPr>
            </w:pPr>
            <w:r>
              <w:rPr>
                <w:rFonts w:hint="eastAsia" w:ascii="黑体" w:hAnsi="黑体" w:eastAsia="黑体" w:cs="Times New Roman"/>
                <w:snapToGrid w:val="0"/>
                <w:color w:val="auto"/>
                <w:spacing w:val="-16"/>
                <w:kern w:val="21"/>
                <w:szCs w:val="21"/>
                <w:highlight w:val="none"/>
              </w:rPr>
              <w:t>全厂</w:t>
            </w:r>
            <w:r>
              <w:rPr>
                <w:rFonts w:ascii="黑体" w:hAnsi="黑体" w:eastAsia="黑体" w:cs="Times New Roman"/>
                <w:snapToGrid w:val="0"/>
                <w:color w:val="auto"/>
                <w:spacing w:val="-16"/>
                <w:kern w:val="21"/>
                <w:szCs w:val="21"/>
                <w:highlight w:val="none"/>
              </w:rPr>
              <w:t>排放量（固</w:t>
            </w:r>
            <w:r>
              <w:rPr>
                <w:rFonts w:hint="eastAsia" w:ascii="黑体" w:hAnsi="黑体" w:eastAsia="黑体" w:cs="Times New Roman"/>
                <w:snapToGrid w:val="0"/>
                <w:color w:val="auto"/>
                <w:spacing w:val="-16"/>
                <w:kern w:val="21"/>
                <w:szCs w:val="21"/>
                <w:highlight w:val="none"/>
              </w:rPr>
              <w:t>体</w:t>
            </w:r>
            <w:r>
              <w:rPr>
                <w:rFonts w:ascii="黑体" w:hAnsi="黑体" w:eastAsia="黑体" w:cs="Times New Roman"/>
                <w:snapToGrid w:val="0"/>
                <w:color w:val="auto"/>
                <w:spacing w:val="-16"/>
                <w:kern w:val="21"/>
                <w:szCs w:val="21"/>
                <w:highlight w:val="none"/>
              </w:rPr>
              <w:t>废</w:t>
            </w:r>
            <w:r>
              <w:rPr>
                <w:rFonts w:hint="eastAsia" w:ascii="黑体" w:hAnsi="黑体" w:eastAsia="黑体" w:cs="Times New Roman"/>
                <w:snapToGrid w:val="0"/>
                <w:color w:val="auto"/>
                <w:spacing w:val="-16"/>
                <w:kern w:val="21"/>
                <w:szCs w:val="21"/>
                <w:highlight w:val="none"/>
              </w:rPr>
              <w:t>物</w:t>
            </w:r>
            <w:r>
              <w:rPr>
                <w:rFonts w:ascii="黑体" w:hAnsi="黑体" w:eastAsia="黑体" w:cs="Times New Roman"/>
                <w:snapToGrid w:val="0"/>
                <w:color w:val="auto"/>
                <w:spacing w:val="-16"/>
                <w:kern w:val="21"/>
                <w:szCs w:val="21"/>
                <w:highlight w:val="none"/>
              </w:rPr>
              <w:t>产生量）</w:t>
            </w:r>
            <w:r>
              <w:rPr>
                <w:rFonts w:ascii="黑体" w:hAnsi="黑体" w:eastAsia="黑体" w:cs="Times New Roman"/>
                <w:snapToGrid w:val="0"/>
                <w:color w:val="auto"/>
                <w:spacing w:val="-16"/>
                <w:kern w:val="21"/>
                <w:szCs w:val="21"/>
                <w:highlight w:val="none"/>
              </w:rPr>
              <w:fldChar w:fldCharType="begin"/>
            </w:r>
            <w:r>
              <w:rPr>
                <w:rFonts w:ascii="黑体" w:hAnsi="黑体" w:eastAsia="黑体" w:cs="Times New Roman"/>
                <w:snapToGrid w:val="0"/>
                <w:color w:val="auto"/>
                <w:spacing w:val="-16"/>
                <w:kern w:val="21"/>
                <w:szCs w:val="21"/>
                <w:highlight w:val="none"/>
              </w:rPr>
              <w:instrText xml:space="preserve"> = 6 \* GB3 \* MERGEFORMAT </w:instrText>
            </w:r>
            <w:r>
              <w:rPr>
                <w:rFonts w:ascii="黑体" w:hAnsi="黑体" w:eastAsia="黑体" w:cs="Times New Roman"/>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⑥</w:t>
            </w:r>
            <w:r>
              <w:rPr>
                <w:rFonts w:ascii="黑体" w:hAnsi="黑体" w:eastAsia="黑体" w:cs="Times New Roman"/>
                <w:snapToGrid w:val="0"/>
                <w:color w:val="auto"/>
                <w:spacing w:val="-16"/>
                <w:kern w:val="21"/>
                <w:szCs w:val="21"/>
                <w:highlight w:val="none"/>
              </w:rPr>
              <w:fldChar w:fldCharType="end"/>
            </w:r>
          </w:p>
        </w:tc>
        <w:tc>
          <w:tcPr>
            <w:tcW w:w="1344" w:type="dxa"/>
            <w:noWrap w:val="0"/>
            <w:tcMar>
              <w:left w:w="28" w:type="dxa"/>
              <w:right w:w="28" w:type="dxa"/>
            </w:tcMar>
            <w:vAlign w:val="center"/>
          </w:tcPr>
          <w:p w14:paraId="4A10FA86">
            <w:pPr>
              <w:pStyle w:val="43"/>
              <w:spacing w:beforeLines="0" w:afterLines="0" w:line="240" w:lineRule="auto"/>
              <w:ind w:firstLine="0" w:firstLineChars="0"/>
              <w:rPr>
                <w:rFonts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t>变化量</w:t>
            </w:r>
          </w:p>
          <w:p w14:paraId="4F0FB54F">
            <w:pPr>
              <w:pStyle w:val="43"/>
              <w:spacing w:beforeLines="0" w:afterLines="0" w:line="240" w:lineRule="auto"/>
              <w:ind w:firstLine="0" w:firstLineChars="0"/>
              <w:rPr>
                <w:rFonts w:ascii="黑体" w:hAnsi="黑体" w:eastAsia="黑体" w:cs="Times New Roman"/>
                <w:snapToGrid w:val="0"/>
                <w:color w:val="auto"/>
                <w:spacing w:val="-6"/>
                <w:kern w:val="21"/>
                <w:szCs w:val="21"/>
                <w:highlight w:val="none"/>
              </w:rPr>
            </w:pPr>
            <w:r>
              <w:rPr>
                <w:rFonts w:ascii="黑体" w:hAnsi="黑体" w:eastAsia="黑体" w:cs="Times New Roman"/>
                <w:snapToGrid w:val="0"/>
                <w:color w:val="auto"/>
                <w:spacing w:val="-6"/>
                <w:kern w:val="21"/>
                <w:szCs w:val="21"/>
                <w:highlight w:val="none"/>
              </w:rPr>
              <w:fldChar w:fldCharType="begin"/>
            </w:r>
            <w:r>
              <w:rPr>
                <w:rFonts w:ascii="黑体" w:hAnsi="黑体" w:eastAsia="黑体" w:cs="Times New Roman"/>
                <w:snapToGrid w:val="0"/>
                <w:color w:val="auto"/>
                <w:spacing w:val="-6"/>
                <w:kern w:val="21"/>
                <w:szCs w:val="21"/>
                <w:highlight w:val="none"/>
              </w:rPr>
              <w:instrText xml:space="preserve"> = 7 \* GB3 \* MERGEFORMAT </w:instrText>
            </w:r>
            <w:r>
              <w:rPr>
                <w:rFonts w:ascii="黑体" w:hAnsi="黑体" w:eastAsia="黑体" w:cs="Times New Roman"/>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⑦</w:t>
            </w:r>
            <w:r>
              <w:rPr>
                <w:rFonts w:ascii="黑体" w:hAnsi="黑体" w:eastAsia="黑体" w:cs="Times New Roman"/>
                <w:snapToGrid w:val="0"/>
                <w:color w:val="auto"/>
                <w:spacing w:val="-6"/>
                <w:kern w:val="21"/>
                <w:szCs w:val="21"/>
                <w:highlight w:val="none"/>
              </w:rPr>
              <w:fldChar w:fldCharType="end"/>
            </w:r>
          </w:p>
        </w:tc>
      </w:tr>
      <w:tr w14:paraId="37D07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restart"/>
            <w:noWrap w:val="0"/>
            <w:vAlign w:val="center"/>
          </w:tcPr>
          <w:p w14:paraId="47CFAB0F">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废气</w:t>
            </w:r>
          </w:p>
        </w:tc>
        <w:tc>
          <w:tcPr>
            <w:tcW w:w="2638" w:type="dxa"/>
            <w:noWrap w:val="0"/>
            <w:vAlign w:val="center"/>
          </w:tcPr>
          <w:p w14:paraId="49B9CD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color w:val="auto"/>
                <w:sz w:val="21"/>
                <w:szCs w:val="21"/>
              </w:rPr>
              <w:t>颗粒物</w:t>
            </w:r>
          </w:p>
        </w:tc>
        <w:tc>
          <w:tcPr>
            <w:tcW w:w="1463" w:type="dxa"/>
            <w:noWrap w:val="0"/>
            <w:vAlign w:val="center"/>
          </w:tcPr>
          <w:p w14:paraId="00A7988D">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12F79C33">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672ED031">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036125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color w:val="auto"/>
                <w:spacing w:val="0"/>
                <w:position w:val="0"/>
                <w:sz w:val="21"/>
                <w:szCs w:val="21"/>
                <w:lang w:val="en-US" w:eastAsia="zh-CN"/>
              </w:rPr>
              <w:t>0.5926</w:t>
            </w:r>
            <w:r>
              <w:rPr>
                <w:rFonts w:hint="default" w:ascii="Times New Roman" w:hAnsi="Times New Roman" w:cs="Times New Roman"/>
                <w:b w:val="0"/>
                <w:bCs w:val="0"/>
                <w:color w:val="auto"/>
                <w:sz w:val="21"/>
                <w:szCs w:val="21"/>
              </w:rPr>
              <w:t>t/a</w:t>
            </w:r>
          </w:p>
        </w:tc>
        <w:tc>
          <w:tcPr>
            <w:tcW w:w="1601" w:type="dxa"/>
            <w:noWrap w:val="0"/>
            <w:vAlign w:val="center"/>
          </w:tcPr>
          <w:p w14:paraId="56CA9B27">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601" w:type="dxa"/>
            <w:noWrap w:val="0"/>
            <w:vAlign w:val="center"/>
          </w:tcPr>
          <w:p w14:paraId="6F381B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snapToGrid w:val="0"/>
                <w:color w:val="auto"/>
                <w:kern w:val="21"/>
                <w:szCs w:val="21"/>
                <w:highlight w:val="none"/>
              </w:rPr>
            </w:pPr>
            <w:r>
              <w:rPr>
                <w:rFonts w:hint="eastAsia" w:ascii="Times New Roman" w:hAnsi="Times New Roman" w:eastAsia="宋体" w:cs="Times New Roman"/>
                <w:color w:val="auto"/>
                <w:spacing w:val="0"/>
                <w:position w:val="0"/>
                <w:sz w:val="21"/>
                <w:szCs w:val="21"/>
                <w:lang w:val="en-US" w:eastAsia="zh-CN"/>
              </w:rPr>
              <w:t>0.5926</w:t>
            </w:r>
            <w:r>
              <w:rPr>
                <w:rFonts w:hint="default" w:ascii="Times New Roman" w:hAnsi="Times New Roman" w:cs="Times New Roman"/>
                <w:b w:val="0"/>
                <w:bCs w:val="0"/>
                <w:color w:val="auto"/>
                <w:sz w:val="21"/>
                <w:szCs w:val="21"/>
              </w:rPr>
              <w:t>t/a</w:t>
            </w:r>
          </w:p>
        </w:tc>
        <w:tc>
          <w:tcPr>
            <w:tcW w:w="1344" w:type="dxa"/>
            <w:noWrap w:val="0"/>
            <w:vAlign w:val="center"/>
          </w:tcPr>
          <w:p w14:paraId="0DFA72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color w:val="auto"/>
                <w:spacing w:val="0"/>
                <w:position w:val="0"/>
                <w:sz w:val="21"/>
                <w:szCs w:val="21"/>
                <w:lang w:val="en-US" w:eastAsia="zh-CN"/>
              </w:rPr>
              <w:t>0.5926</w:t>
            </w:r>
            <w:r>
              <w:rPr>
                <w:rFonts w:hint="default" w:ascii="Times New Roman" w:hAnsi="Times New Roman" w:cs="Times New Roman"/>
                <w:b w:val="0"/>
                <w:bCs w:val="0"/>
                <w:color w:val="auto"/>
                <w:sz w:val="21"/>
                <w:szCs w:val="21"/>
              </w:rPr>
              <w:t>t/a</w:t>
            </w:r>
          </w:p>
        </w:tc>
      </w:tr>
      <w:tr w14:paraId="3DA71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0BAEA720">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48AF84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463" w:type="dxa"/>
            <w:noWrap w:val="0"/>
            <w:vAlign w:val="center"/>
          </w:tcPr>
          <w:p w14:paraId="78BC54CE">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38B82F20">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79B90444">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755DAB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b w:val="0"/>
                <w:bCs w:val="0"/>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w:t>
            </w:r>
            <w:r>
              <w:rPr>
                <w:rFonts w:hint="eastAsia" w:ascii="Times New Roman" w:hAnsi="Times New Roman" w:cs="Times New Roman"/>
                <w:b w:val="0"/>
                <w:bCs w:val="0"/>
                <w:color w:val="auto"/>
                <w:kern w:val="0"/>
                <w:sz w:val="21"/>
                <w:szCs w:val="21"/>
                <w:lang w:val="en-US" w:eastAsia="zh-CN" w:bidi="ar"/>
              </w:rPr>
              <w:t>2918</w:t>
            </w:r>
            <w:r>
              <w:rPr>
                <w:rFonts w:hint="default" w:ascii="Times New Roman" w:hAnsi="Times New Roman" w:cs="Times New Roman"/>
                <w:b w:val="0"/>
                <w:bCs w:val="0"/>
                <w:color w:val="auto"/>
                <w:sz w:val="21"/>
                <w:szCs w:val="21"/>
              </w:rPr>
              <w:t>t/a</w:t>
            </w:r>
          </w:p>
        </w:tc>
        <w:tc>
          <w:tcPr>
            <w:tcW w:w="1601" w:type="dxa"/>
            <w:noWrap w:val="0"/>
            <w:vAlign w:val="center"/>
          </w:tcPr>
          <w:p w14:paraId="40BA9505">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601" w:type="dxa"/>
            <w:noWrap w:val="0"/>
            <w:vAlign w:val="center"/>
          </w:tcPr>
          <w:p w14:paraId="106189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w:t>
            </w:r>
            <w:r>
              <w:rPr>
                <w:rFonts w:hint="eastAsia" w:ascii="Times New Roman" w:hAnsi="Times New Roman" w:cs="Times New Roman"/>
                <w:b w:val="0"/>
                <w:bCs w:val="0"/>
                <w:color w:val="auto"/>
                <w:kern w:val="0"/>
                <w:sz w:val="21"/>
                <w:szCs w:val="21"/>
                <w:lang w:val="en-US" w:eastAsia="zh-CN" w:bidi="ar"/>
              </w:rPr>
              <w:t>2918</w:t>
            </w:r>
            <w:r>
              <w:rPr>
                <w:rFonts w:hint="default" w:ascii="Times New Roman" w:hAnsi="Times New Roman" w:cs="Times New Roman"/>
                <w:b w:val="0"/>
                <w:bCs w:val="0"/>
                <w:color w:val="auto"/>
                <w:sz w:val="21"/>
                <w:szCs w:val="21"/>
              </w:rPr>
              <w:t>t/a</w:t>
            </w:r>
          </w:p>
        </w:tc>
        <w:tc>
          <w:tcPr>
            <w:tcW w:w="1344" w:type="dxa"/>
            <w:noWrap w:val="0"/>
            <w:vAlign w:val="center"/>
          </w:tcPr>
          <w:p w14:paraId="7A2EAC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w:t>
            </w:r>
            <w:r>
              <w:rPr>
                <w:rFonts w:hint="eastAsia" w:ascii="Times New Roman" w:hAnsi="Times New Roman" w:cs="Times New Roman"/>
                <w:b w:val="0"/>
                <w:bCs w:val="0"/>
                <w:color w:val="auto"/>
                <w:kern w:val="0"/>
                <w:sz w:val="21"/>
                <w:szCs w:val="21"/>
                <w:lang w:val="en-US" w:eastAsia="zh-CN" w:bidi="ar"/>
              </w:rPr>
              <w:t>2918</w:t>
            </w:r>
            <w:r>
              <w:rPr>
                <w:rFonts w:hint="default" w:ascii="Times New Roman" w:hAnsi="Times New Roman" w:cs="Times New Roman"/>
                <w:b w:val="0"/>
                <w:bCs w:val="0"/>
                <w:color w:val="auto"/>
                <w:sz w:val="21"/>
                <w:szCs w:val="21"/>
              </w:rPr>
              <w:t>t/a</w:t>
            </w:r>
          </w:p>
        </w:tc>
      </w:tr>
      <w:tr w14:paraId="41AD5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58DB3F0C">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7A5E66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x</w:t>
            </w:r>
          </w:p>
        </w:tc>
        <w:tc>
          <w:tcPr>
            <w:tcW w:w="1463" w:type="dxa"/>
            <w:noWrap w:val="0"/>
            <w:vAlign w:val="center"/>
          </w:tcPr>
          <w:p w14:paraId="0E5FCDB4">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34318A3F">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37AAA85B">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44354B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b w:val="0"/>
                <w:bCs w:val="0"/>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w:t>
            </w:r>
            <w:r>
              <w:rPr>
                <w:rFonts w:hint="eastAsia" w:ascii="Times New Roman" w:hAnsi="Times New Roman" w:cs="Times New Roman"/>
                <w:b w:val="0"/>
                <w:bCs w:val="0"/>
                <w:color w:val="auto"/>
                <w:kern w:val="0"/>
                <w:sz w:val="21"/>
                <w:szCs w:val="21"/>
                <w:lang w:val="en-US" w:eastAsia="zh-CN" w:bidi="ar"/>
              </w:rPr>
              <w:t>3878</w:t>
            </w:r>
            <w:r>
              <w:rPr>
                <w:rFonts w:hint="default" w:ascii="Times New Roman" w:hAnsi="Times New Roman" w:cs="Times New Roman"/>
                <w:b w:val="0"/>
                <w:bCs w:val="0"/>
                <w:color w:val="auto"/>
                <w:sz w:val="21"/>
                <w:szCs w:val="21"/>
              </w:rPr>
              <w:t>t/a</w:t>
            </w:r>
          </w:p>
        </w:tc>
        <w:tc>
          <w:tcPr>
            <w:tcW w:w="1601" w:type="dxa"/>
            <w:noWrap w:val="0"/>
            <w:vAlign w:val="center"/>
          </w:tcPr>
          <w:p w14:paraId="35A817BB">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601" w:type="dxa"/>
            <w:noWrap w:val="0"/>
            <w:vAlign w:val="center"/>
          </w:tcPr>
          <w:p w14:paraId="3015A4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w:t>
            </w:r>
            <w:r>
              <w:rPr>
                <w:rFonts w:hint="eastAsia" w:ascii="Times New Roman" w:hAnsi="Times New Roman" w:cs="Times New Roman"/>
                <w:b w:val="0"/>
                <w:bCs w:val="0"/>
                <w:color w:val="auto"/>
                <w:kern w:val="0"/>
                <w:sz w:val="21"/>
                <w:szCs w:val="21"/>
                <w:lang w:val="en-US" w:eastAsia="zh-CN" w:bidi="ar"/>
              </w:rPr>
              <w:t>3878</w:t>
            </w:r>
            <w:r>
              <w:rPr>
                <w:rFonts w:hint="default" w:ascii="Times New Roman" w:hAnsi="Times New Roman" w:cs="Times New Roman"/>
                <w:b w:val="0"/>
                <w:bCs w:val="0"/>
                <w:color w:val="auto"/>
                <w:sz w:val="21"/>
                <w:szCs w:val="21"/>
              </w:rPr>
              <w:t>t/a</w:t>
            </w:r>
          </w:p>
        </w:tc>
        <w:tc>
          <w:tcPr>
            <w:tcW w:w="1344" w:type="dxa"/>
            <w:noWrap w:val="0"/>
            <w:vAlign w:val="center"/>
          </w:tcPr>
          <w:p w14:paraId="260DCC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w:t>
            </w:r>
            <w:r>
              <w:rPr>
                <w:rFonts w:hint="eastAsia" w:ascii="Times New Roman" w:hAnsi="Times New Roman" w:cs="Times New Roman"/>
                <w:b w:val="0"/>
                <w:bCs w:val="0"/>
                <w:color w:val="auto"/>
                <w:kern w:val="0"/>
                <w:sz w:val="21"/>
                <w:szCs w:val="21"/>
                <w:lang w:val="en-US" w:eastAsia="zh-CN" w:bidi="ar"/>
              </w:rPr>
              <w:t>3878</w:t>
            </w:r>
            <w:r>
              <w:rPr>
                <w:rFonts w:hint="default" w:ascii="Times New Roman" w:hAnsi="Times New Roman" w:cs="Times New Roman"/>
                <w:b w:val="0"/>
                <w:bCs w:val="0"/>
                <w:color w:val="auto"/>
                <w:sz w:val="21"/>
                <w:szCs w:val="21"/>
              </w:rPr>
              <w:t>t/a</w:t>
            </w:r>
          </w:p>
        </w:tc>
      </w:tr>
      <w:tr w14:paraId="03611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582564D1">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672F14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color w:val="auto"/>
                <w:sz w:val="21"/>
                <w:szCs w:val="21"/>
              </w:rPr>
              <w:t>沥青烟</w:t>
            </w:r>
          </w:p>
        </w:tc>
        <w:tc>
          <w:tcPr>
            <w:tcW w:w="1463" w:type="dxa"/>
            <w:noWrap w:val="0"/>
            <w:vAlign w:val="center"/>
          </w:tcPr>
          <w:p w14:paraId="3BD5D954">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0072ED01">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35813118">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34D42A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b w:val="0"/>
                <w:bCs w:val="0"/>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0.0</w:t>
            </w:r>
            <w:r>
              <w:rPr>
                <w:rFonts w:hint="eastAsia" w:ascii="Times New Roman" w:hAnsi="Times New Roman" w:cs="Times New Roman"/>
                <w:b w:val="0"/>
                <w:bCs w:val="0"/>
                <w:color w:val="auto"/>
                <w:kern w:val="0"/>
                <w:sz w:val="21"/>
                <w:szCs w:val="21"/>
                <w:lang w:val="en-US" w:eastAsia="zh-CN" w:bidi="ar"/>
              </w:rPr>
              <w:t>1</w:t>
            </w:r>
            <w:r>
              <w:rPr>
                <w:rFonts w:hint="eastAsia" w:cs="Times New Roman"/>
                <w:b w:val="0"/>
                <w:bCs w:val="0"/>
                <w:color w:val="auto"/>
                <w:kern w:val="0"/>
                <w:sz w:val="21"/>
                <w:szCs w:val="21"/>
                <w:lang w:val="en-US" w:eastAsia="zh-CN" w:bidi="ar"/>
              </w:rPr>
              <w:t>38</w:t>
            </w:r>
            <w:r>
              <w:rPr>
                <w:rFonts w:hint="default" w:ascii="Times New Roman" w:hAnsi="Times New Roman" w:cs="Times New Roman"/>
                <w:b w:val="0"/>
                <w:bCs w:val="0"/>
                <w:color w:val="auto"/>
                <w:sz w:val="21"/>
                <w:szCs w:val="21"/>
              </w:rPr>
              <w:t>t/a</w:t>
            </w:r>
          </w:p>
        </w:tc>
        <w:tc>
          <w:tcPr>
            <w:tcW w:w="1601" w:type="dxa"/>
            <w:noWrap w:val="0"/>
            <w:vAlign w:val="center"/>
          </w:tcPr>
          <w:p w14:paraId="61EBB9AD">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601" w:type="dxa"/>
            <w:noWrap w:val="0"/>
            <w:vAlign w:val="center"/>
          </w:tcPr>
          <w:p w14:paraId="119796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0.0</w:t>
            </w:r>
            <w:r>
              <w:rPr>
                <w:rFonts w:hint="eastAsia" w:ascii="Times New Roman" w:hAnsi="Times New Roman" w:cs="Times New Roman"/>
                <w:b w:val="0"/>
                <w:bCs w:val="0"/>
                <w:color w:val="auto"/>
                <w:kern w:val="0"/>
                <w:sz w:val="21"/>
                <w:szCs w:val="21"/>
                <w:lang w:val="en-US" w:eastAsia="zh-CN" w:bidi="ar"/>
              </w:rPr>
              <w:t>1</w:t>
            </w:r>
            <w:r>
              <w:rPr>
                <w:rFonts w:hint="eastAsia" w:cs="Times New Roman"/>
                <w:b w:val="0"/>
                <w:bCs w:val="0"/>
                <w:color w:val="auto"/>
                <w:kern w:val="0"/>
                <w:sz w:val="21"/>
                <w:szCs w:val="21"/>
                <w:lang w:val="en-US" w:eastAsia="zh-CN" w:bidi="ar"/>
              </w:rPr>
              <w:t>38</w:t>
            </w:r>
            <w:r>
              <w:rPr>
                <w:rFonts w:hint="default" w:ascii="Times New Roman" w:hAnsi="Times New Roman" w:cs="Times New Roman"/>
                <w:b w:val="0"/>
                <w:bCs w:val="0"/>
                <w:color w:val="auto"/>
                <w:sz w:val="21"/>
                <w:szCs w:val="21"/>
              </w:rPr>
              <w:t>t/a</w:t>
            </w:r>
          </w:p>
        </w:tc>
        <w:tc>
          <w:tcPr>
            <w:tcW w:w="1344" w:type="dxa"/>
            <w:noWrap w:val="0"/>
            <w:vAlign w:val="center"/>
          </w:tcPr>
          <w:p w14:paraId="4BEEC9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0.0</w:t>
            </w:r>
            <w:r>
              <w:rPr>
                <w:rFonts w:hint="eastAsia" w:ascii="Times New Roman" w:hAnsi="Times New Roman" w:cs="Times New Roman"/>
                <w:b w:val="0"/>
                <w:bCs w:val="0"/>
                <w:color w:val="auto"/>
                <w:kern w:val="0"/>
                <w:sz w:val="21"/>
                <w:szCs w:val="21"/>
                <w:lang w:val="en-US" w:eastAsia="zh-CN" w:bidi="ar"/>
              </w:rPr>
              <w:t>1</w:t>
            </w:r>
            <w:r>
              <w:rPr>
                <w:rFonts w:hint="eastAsia" w:cs="Times New Roman"/>
                <w:b w:val="0"/>
                <w:bCs w:val="0"/>
                <w:color w:val="auto"/>
                <w:kern w:val="0"/>
                <w:sz w:val="21"/>
                <w:szCs w:val="21"/>
                <w:lang w:val="en-US" w:eastAsia="zh-CN" w:bidi="ar"/>
              </w:rPr>
              <w:t>38</w:t>
            </w:r>
            <w:r>
              <w:rPr>
                <w:rFonts w:hint="default" w:ascii="Times New Roman" w:hAnsi="Times New Roman" w:cs="Times New Roman"/>
                <w:b w:val="0"/>
                <w:bCs w:val="0"/>
                <w:color w:val="auto"/>
                <w:sz w:val="21"/>
                <w:szCs w:val="21"/>
              </w:rPr>
              <w:t>t/a</w:t>
            </w:r>
          </w:p>
        </w:tc>
      </w:tr>
      <w:tr w14:paraId="1C7E5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10FAB658">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762023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bCs/>
                <w:color w:val="auto"/>
                <w:sz w:val="21"/>
                <w:szCs w:val="21"/>
              </w:rPr>
              <w:t>苯并[a]芘</w:t>
            </w:r>
          </w:p>
        </w:tc>
        <w:tc>
          <w:tcPr>
            <w:tcW w:w="1463" w:type="dxa"/>
            <w:noWrap w:val="0"/>
            <w:vAlign w:val="center"/>
          </w:tcPr>
          <w:p w14:paraId="721D50D8">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5453D79F">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75F97758">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39661B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b w:val="0"/>
                <w:bCs w:val="0"/>
                <w:snapToGrid w:val="0"/>
                <w:color w:val="auto"/>
                <w:kern w:val="21"/>
                <w:szCs w:val="21"/>
                <w:highlight w:val="none"/>
                <w:lang w:val="en-US" w:eastAsia="zh-CN"/>
              </w:rPr>
            </w:pPr>
            <w:r>
              <w:rPr>
                <w:rFonts w:hint="eastAsia" w:cs="Times New Roman"/>
                <w:b w:val="0"/>
                <w:bCs w:val="0"/>
                <w:color w:val="auto"/>
                <w:kern w:val="0"/>
                <w:sz w:val="21"/>
                <w:szCs w:val="21"/>
                <w:lang w:val="en-US" w:eastAsia="zh-CN" w:bidi="ar"/>
              </w:rPr>
              <w:t>3.1</w:t>
            </w:r>
            <w:r>
              <w:rPr>
                <w:rFonts w:hint="default" w:ascii="Times New Roman" w:hAnsi="Times New Roman" w:cs="Times New Roman"/>
                <w:b w:val="0"/>
                <w:bCs w:val="0"/>
                <w:color w:val="auto"/>
                <w:kern w:val="0"/>
                <w:sz w:val="21"/>
                <w:szCs w:val="21"/>
                <w:lang w:bidi="ar"/>
              </w:rPr>
              <w:t>×10</w:t>
            </w:r>
            <w:r>
              <w:rPr>
                <w:rFonts w:hint="default" w:ascii="Times New Roman" w:hAnsi="Times New Roman" w:cs="Times New Roman"/>
                <w:b w:val="0"/>
                <w:bCs w:val="0"/>
                <w:color w:val="auto"/>
                <w:kern w:val="0"/>
                <w:sz w:val="21"/>
                <w:szCs w:val="21"/>
                <w:vertAlign w:val="superscript"/>
                <w:lang w:bidi="ar"/>
              </w:rPr>
              <w:t>-5</w:t>
            </w:r>
            <w:r>
              <w:rPr>
                <w:rFonts w:hint="default" w:ascii="Times New Roman" w:hAnsi="Times New Roman" w:cs="Times New Roman"/>
                <w:b w:val="0"/>
                <w:bCs w:val="0"/>
                <w:color w:val="auto"/>
                <w:sz w:val="21"/>
                <w:szCs w:val="21"/>
              </w:rPr>
              <w:t>t/a</w:t>
            </w:r>
          </w:p>
        </w:tc>
        <w:tc>
          <w:tcPr>
            <w:tcW w:w="1601" w:type="dxa"/>
            <w:noWrap w:val="0"/>
            <w:vAlign w:val="center"/>
          </w:tcPr>
          <w:p w14:paraId="43D26913">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601" w:type="dxa"/>
            <w:noWrap w:val="0"/>
            <w:vAlign w:val="center"/>
          </w:tcPr>
          <w:p w14:paraId="53FA48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snapToGrid w:val="0"/>
                <w:color w:val="auto"/>
                <w:kern w:val="21"/>
                <w:szCs w:val="21"/>
                <w:highlight w:val="none"/>
                <w:lang w:val="en-US" w:eastAsia="zh-CN"/>
              </w:rPr>
            </w:pPr>
            <w:r>
              <w:rPr>
                <w:rFonts w:hint="eastAsia" w:cs="Times New Roman"/>
                <w:b w:val="0"/>
                <w:bCs w:val="0"/>
                <w:color w:val="auto"/>
                <w:kern w:val="0"/>
                <w:sz w:val="21"/>
                <w:szCs w:val="21"/>
                <w:lang w:val="en-US" w:eastAsia="zh-CN" w:bidi="ar"/>
              </w:rPr>
              <w:t>3.1</w:t>
            </w:r>
            <w:r>
              <w:rPr>
                <w:rFonts w:hint="default" w:ascii="Times New Roman" w:hAnsi="Times New Roman" w:cs="Times New Roman"/>
                <w:b w:val="0"/>
                <w:bCs w:val="0"/>
                <w:color w:val="auto"/>
                <w:kern w:val="0"/>
                <w:sz w:val="21"/>
                <w:szCs w:val="21"/>
                <w:lang w:bidi="ar"/>
              </w:rPr>
              <w:t>×10</w:t>
            </w:r>
            <w:r>
              <w:rPr>
                <w:rFonts w:hint="default" w:ascii="Times New Roman" w:hAnsi="Times New Roman" w:cs="Times New Roman"/>
                <w:b w:val="0"/>
                <w:bCs w:val="0"/>
                <w:color w:val="auto"/>
                <w:kern w:val="0"/>
                <w:sz w:val="21"/>
                <w:szCs w:val="21"/>
                <w:vertAlign w:val="superscript"/>
                <w:lang w:bidi="ar"/>
              </w:rPr>
              <w:t>-5</w:t>
            </w:r>
            <w:r>
              <w:rPr>
                <w:rFonts w:hint="default" w:ascii="Times New Roman" w:hAnsi="Times New Roman" w:cs="Times New Roman"/>
                <w:b w:val="0"/>
                <w:bCs w:val="0"/>
                <w:color w:val="auto"/>
                <w:sz w:val="21"/>
                <w:szCs w:val="21"/>
              </w:rPr>
              <w:t>t/a</w:t>
            </w:r>
          </w:p>
        </w:tc>
        <w:tc>
          <w:tcPr>
            <w:tcW w:w="1344" w:type="dxa"/>
            <w:noWrap w:val="0"/>
            <w:vAlign w:val="center"/>
          </w:tcPr>
          <w:p w14:paraId="4F78B1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snapToGrid w:val="0"/>
                <w:color w:val="auto"/>
                <w:kern w:val="21"/>
                <w:szCs w:val="21"/>
                <w:highlight w:val="none"/>
                <w:lang w:val="en-US" w:eastAsia="zh-CN"/>
              </w:rPr>
            </w:pPr>
            <w:r>
              <w:rPr>
                <w:rFonts w:hint="eastAsia" w:cs="Times New Roman"/>
                <w:b w:val="0"/>
                <w:bCs w:val="0"/>
                <w:color w:val="auto"/>
                <w:kern w:val="0"/>
                <w:sz w:val="21"/>
                <w:szCs w:val="21"/>
                <w:lang w:val="en-US" w:eastAsia="zh-CN" w:bidi="ar"/>
              </w:rPr>
              <w:t>3.1</w:t>
            </w:r>
            <w:r>
              <w:rPr>
                <w:rFonts w:hint="default" w:ascii="Times New Roman" w:hAnsi="Times New Roman" w:cs="Times New Roman"/>
                <w:b w:val="0"/>
                <w:bCs w:val="0"/>
                <w:color w:val="auto"/>
                <w:kern w:val="0"/>
                <w:sz w:val="21"/>
                <w:szCs w:val="21"/>
                <w:lang w:bidi="ar"/>
              </w:rPr>
              <w:t>×10</w:t>
            </w:r>
            <w:r>
              <w:rPr>
                <w:rFonts w:hint="default" w:ascii="Times New Roman" w:hAnsi="Times New Roman" w:cs="Times New Roman"/>
                <w:b w:val="0"/>
                <w:bCs w:val="0"/>
                <w:color w:val="auto"/>
                <w:kern w:val="0"/>
                <w:sz w:val="21"/>
                <w:szCs w:val="21"/>
                <w:vertAlign w:val="superscript"/>
                <w:lang w:bidi="ar"/>
              </w:rPr>
              <w:t>-5</w:t>
            </w:r>
            <w:r>
              <w:rPr>
                <w:rFonts w:hint="default" w:ascii="Times New Roman" w:hAnsi="Times New Roman" w:cs="Times New Roman"/>
                <w:b w:val="0"/>
                <w:bCs w:val="0"/>
                <w:color w:val="auto"/>
                <w:sz w:val="21"/>
                <w:szCs w:val="21"/>
              </w:rPr>
              <w:t>t/a</w:t>
            </w:r>
          </w:p>
        </w:tc>
      </w:tr>
      <w:tr w14:paraId="16F14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557914A3">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3D6472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bCs/>
                <w:color w:val="auto"/>
                <w:sz w:val="21"/>
                <w:szCs w:val="21"/>
              </w:rPr>
              <w:t>非甲烷总烃</w:t>
            </w:r>
          </w:p>
        </w:tc>
        <w:tc>
          <w:tcPr>
            <w:tcW w:w="1463" w:type="dxa"/>
            <w:noWrap w:val="0"/>
            <w:vAlign w:val="center"/>
          </w:tcPr>
          <w:p w14:paraId="00A1978B">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5BB8E2AA">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7FEF3AEB">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723B1C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b w:val="0"/>
                <w:bCs w:val="0"/>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0.0</w:t>
            </w:r>
            <w:r>
              <w:rPr>
                <w:rFonts w:hint="eastAsia" w:ascii="Times New Roman" w:hAnsi="Times New Roman" w:cs="Times New Roman"/>
                <w:b w:val="0"/>
                <w:bCs w:val="0"/>
                <w:color w:val="auto"/>
                <w:kern w:val="0"/>
                <w:sz w:val="21"/>
                <w:szCs w:val="21"/>
                <w:lang w:val="en-US" w:eastAsia="zh-CN" w:bidi="ar"/>
              </w:rPr>
              <w:t>128</w:t>
            </w:r>
            <w:r>
              <w:rPr>
                <w:rFonts w:hint="default" w:ascii="Times New Roman" w:hAnsi="Times New Roman" w:cs="Times New Roman"/>
                <w:b w:val="0"/>
                <w:bCs w:val="0"/>
                <w:color w:val="auto"/>
                <w:sz w:val="21"/>
                <w:szCs w:val="21"/>
              </w:rPr>
              <w:t>t/a</w:t>
            </w:r>
          </w:p>
        </w:tc>
        <w:tc>
          <w:tcPr>
            <w:tcW w:w="1601" w:type="dxa"/>
            <w:noWrap w:val="0"/>
            <w:vAlign w:val="center"/>
          </w:tcPr>
          <w:p w14:paraId="0DBC675E">
            <w:pPr>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601" w:type="dxa"/>
            <w:noWrap w:val="0"/>
            <w:vAlign w:val="center"/>
          </w:tcPr>
          <w:p w14:paraId="339229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0.0</w:t>
            </w:r>
            <w:r>
              <w:rPr>
                <w:rFonts w:hint="eastAsia" w:ascii="Times New Roman" w:hAnsi="Times New Roman" w:cs="Times New Roman"/>
                <w:b w:val="0"/>
                <w:bCs w:val="0"/>
                <w:color w:val="auto"/>
                <w:kern w:val="0"/>
                <w:sz w:val="21"/>
                <w:szCs w:val="21"/>
                <w:lang w:val="en-US" w:eastAsia="zh-CN" w:bidi="ar"/>
              </w:rPr>
              <w:t>128</w:t>
            </w:r>
            <w:r>
              <w:rPr>
                <w:rFonts w:hint="default" w:ascii="Times New Roman" w:hAnsi="Times New Roman" w:cs="Times New Roman"/>
                <w:b w:val="0"/>
                <w:bCs w:val="0"/>
                <w:color w:val="auto"/>
                <w:sz w:val="21"/>
                <w:szCs w:val="21"/>
              </w:rPr>
              <w:t>t/a</w:t>
            </w:r>
          </w:p>
        </w:tc>
        <w:tc>
          <w:tcPr>
            <w:tcW w:w="1344" w:type="dxa"/>
            <w:noWrap w:val="0"/>
            <w:vAlign w:val="center"/>
          </w:tcPr>
          <w:p w14:paraId="70F1FD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cs="Times New Roman"/>
                <w:snapToGrid w:val="0"/>
                <w:color w:val="auto"/>
                <w:kern w:val="21"/>
                <w:szCs w:val="21"/>
                <w:highlight w:val="none"/>
                <w:lang w:val="en-US" w:eastAsia="zh-CN"/>
              </w:rPr>
            </w:pPr>
            <w:r>
              <w:rPr>
                <w:rFonts w:hint="default" w:ascii="Times New Roman" w:hAnsi="Times New Roman" w:cs="Times New Roman"/>
                <w:b w:val="0"/>
                <w:bCs w:val="0"/>
                <w:color w:val="auto"/>
                <w:kern w:val="0"/>
                <w:sz w:val="21"/>
                <w:szCs w:val="21"/>
                <w:lang w:bidi="ar"/>
              </w:rPr>
              <w:t>0.0</w:t>
            </w:r>
            <w:r>
              <w:rPr>
                <w:rFonts w:hint="eastAsia" w:ascii="Times New Roman" w:hAnsi="Times New Roman" w:cs="Times New Roman"/>
                <w:b w:val="0"/>
                <w:bCs w:val="0"/>
                <w:color w:val="auto"/>
                <w:kern w:val="0"/>
                <w:sz w:val="21"/>
                <w:szCs w:val="21"/>
                <w:lang w:val="en-US" w:eastAsia="zh-CN" w:bidi="ar"/>
              </w:rPr>
              <w:t>128</w:t>
            </w:r>
            <w:r>
              <w:rPr>
                <w:rFonts w:hint="default" w:ascii="Times New Roman" w:hAnsi="Times New Roman" w:cs="Times New Roman"/>
                <w:b w:val="0"/>
                <w:bCs w:val="0"/>
                <w:color w:val="auto"/>
                <w:sz w:val="21"/>
                <w:szCs w:val="21"/>
              </w:rPr>
              <w:t>t/a</w:t>
            </w:r>
          </w:p>
        </w:tc>
      </w:tr>
      <w:tr w14:paraId="5A316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62" w:type="dxa"/>
            <w:noWrap w:val="0"/>
            <w:vAlign w:val="center"/>
          </w:tcPr>
          <w:p w14:paraId="4F3A0203">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废水</w:t>
            </w:r>
          </w:p>
        </w:tc>
        <w:tc>
          <w:tcPr>
            <w:tcW w:w="2638" w:type="dxa"/>
            <w:noWrap w:val="0"/>
            <w:vAlign w:val="center"/>
          </w:tcPr>
          <w:p w14:paraId="3E4E26F5">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废水量</w:t>
            </w:r>
          </w:p>
        </w:tc>
        <w:tc>
          <w:tcPr>
            <w:tcW w:w="1463" w:type="dxa"/>
            <w:noWrap w:val="0"/>
            <w:vAlign w:val="center"/>
          </w:tcPr>
          <w:p w14:paraId="0D228689">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2A629581">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1CBA2F2C">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53CD0BF9">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w:t>
            </w:r>
          </w:p>
        </w:tc>
        <w:tc>
          <w:tcPr>
            <w:tcW w:w="1601" w:type="dxa"/>
            <w:noWrap w:val="0"/>
            <w:vAlign w:val="center"/>
          </w:tcPr>
          <w:p w14:paraId="3239F0C5">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601" w:type="dxa"/>
            <w:noWrap w:val="0"/>
            <w:vAlign w:val="center"/>
          </w:tcPr>
          <w:p w14:paraId="7033D7A1">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w:t>
            </w:r>
          </w:p>
        </w:tc>
        <w:tc>
          <w:tcPr>
            <w:tcW w:w="1344" w:type="dxa"/>
            <w:noWrap w:val="0"/>
            <w:vAlign w:val="center"/>
          </w:tcPr>
          <w:p w14:paraId="4278E962">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w:t>
            </w:r>
          </w:p>
        </w:tc>
      </w:tr>
      <w:tr w14:paraId="7E34A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restart"/>
            <w:noWrap w:val="0"/>
            <w:vAlign w:val="center"/>
          </w:tcPr>
          <w:p w14:paraId="7E3773D2">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一般工业固体废物</w:t>
            </w:r>
          </w:p>
        </w:tc>
        <w:tc>
          <w:tcPr>
            <w:tcW w:w="2638" w:type="dxa"/>
            <w:noWrap w:val="0"/>
            <w:vAlign w:val="center"/>
          </w:tcPr>
          <w:p w14:paraId="4B949143">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ascii="Times New Roman" w:hAnsi="Times New Roman"/>
                <w:color w:val="auto"/>
                <w:sz w:val="21"/>
                <w:szCs w:val="21"/>
              </w:rPr>
              <w:t>除尘器</w:t>
            </w:r>
            <w:r>
              <w:rPr>
                <w:rFonts w:hint="eastAsia"/>
                <w:color w:val="auto"/>
                <w:sz w:val="21"/>
                <w:szCs w:val="21"/>
                <w:lang w:val="en-US" w:eastAsia="zh-CN"/>
              </w:rPr>
              <w:t>收尘灰</w:t>
            </w:r>
          </w:p>
        </w:tc>
        <w:tc>
          <w:tcPr>
            <w:tcW w:w="1463" w:type="dxa"/>
            <w:noWrap w:val="0"/>
            <w:vAlign w:val="center"/>
          </w:tcPr>
          <w:p w14:paraId="44D44109">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6F8B9519">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41D1B9AB">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167FD371">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54.6499</w:t>
            </w:r>
            <w:r>
              <w:rPr>
                <w:rFonts w:hint="default" w:ascii="Times New Roman" w:hAnsi="Times New Roman" w:cs="Times New Roman"/>
                <w:b w:val="0"/>
                <w:bCs w:val="0"/>
                <w:color w:val="auto"/>
                <w:sz w:val="21"/>
                <w:szCs w:val="21"/>
              </w:rPr>
              <w:t>t/a</w:t>
            </w:r>
          </w:p>
        </w:tc>
        <w:tc>
          <w:tcPr>
            <w:tcW w:w="1601" w:type="dxa"/>
            <w:noWrap w:val="0"/>
            <w:vAlign w:val="center"/>
          </w:tcPr>
          <w:p w14:paraId="5AAC2FA6">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601" w:type="dxa"/>
            <w:noWrap w:val="0"/>
            <w:vAlign w:val="center"/>
          </w:tcPr>
          <w:p w14:paraId="35DD36C0">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54.6499</w:t>
            </w:r>
            <w:r>
              <w:rPr>
                <w:rFonts w:hint="default" w:ascii="Times New Roman" w:hAnsi="Times New Roman" w:cs="Times New Roman"/>
                <w:b w:val="0"/>
                <w:bCs w:val="0"/>
                <w:color w:val="auto"/>
                <w:sz w:val="21"/>
                <w:szCs w:val="21"/>
              </w:rPr>
              <w:t>t/a</w:t>
            </w:r>
          </w:p>
        </w:tc>
        <w:tc>
          <w:tcPr>
            <w:tcW w:w="1344" w:type="dxa"/>
            <w:noWrap w:val="0"/>
            <w:vAlign w:val="center"/>
          </w:tcPr>
          <w:p w14:paraId="3D6C41C8">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54.6499</w:t>
            </w:r>
            <w:r>
              <w:rPr>
                <w:rFonts w:hint="default" w:ascii="Times New Roman" w:hAnsi="Times New Roman" w:cs="Times New Roman"/>
                <w:b w:val="0"/>
                <w:bCs w:val="0"/>
                <w:color w:val="auto"/>
                <w:sz w:val="21"/>
                <w:szCs w:val="21"/>
              </w:rPr>
              <w:t>t/a</w:t>
            </w:r>
          </w:p>
        </w:tc>
      </w:tr>
      <w:tr w14:paraId="74D4A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4656720F">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0FA0766F">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污泥</w:t>
            </w:r>
          </w:p>
        </w:tc>
        <w:tc>
          <w:tcPr>
            <w:tcW w:w="1463" w:type="dxa"/>
            <w:noWrap w:val="0"/>
            <w:vAlign w:val="center"/>
          </w:tcPr>
          <w:p w14:paraId="3E817D40">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2291455A">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536ECC30">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0EEC0F33">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1.5</w:t>
            </w:r>
            <w:r>
              <w:rPr>
                <w:rFonts w:hint="default" w:ascii="Times New Roman" w:hAnsi="Times New Roman" w:cs="Times New Roman"/>
                <w:b w:val="0"/>
                <w:bCs w:val="0"/>
                <w:color w:val="auto"/>
                <w:sz w:val="21"/>
                <w:szCs w:val="21"/>
              </w:rPr>
              <w:t>t/a</w:t>
            </w:r>
          </w:p>
        </w:tc>
        <w:tc>
          <w:tcPr>
            <w:tcW w:w="1601" w:type="dxa"/>
            <w:noWrap w:val="0"/>
            <w:vAlign w:val="center"/>
          </w:tcPr>
          <w:p w14:paraId="43B52748">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601" w:type="dxa"/>
            <w:noWrap w:val="0"/>
            <w:vAlign w:val="center"/>
          </w:tcPr>
          <w:p w14:paraId="7EB07EE4">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1.5</w:t>
            </w:r>
            <w:r>
              <w:rPr>
                <w:rFonts w:hint="default" w:ascii="Times New Roman" w:hAnsi="Times New Roman" w:cs="Times New Roman"/>
                <w:b w:val="0"/>
                <w:bCs w:val="0"/>
                <w:color w:val="auto"/>
                <w:sz w:val="21"/>
                <w:szCs w:val="21"/>
              </w:rPr>
              <w:t>t/a</w:t>
            </w:r>
          </w:p>
        </w:tc>
        <w:tc>
          <w:tcPr>
            <w:tcW w:w="1344" w:type="dxa"/>
            <w:noWrap w:val="0"/>
            <w:vAlign w:val="center"/>
          </w:tcPr>
          <w:p w14:paraId="66A3B851">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1.5</w:t>
            </w:r>
            <w:r>
              <w:rPr>
                <w:rFonts w:hint="default" w:ascii="Times New Roman" w:hAnsi="Times New Roman" w:cs="Times New Roman"/>
                <w:b w:val="0"/>
                <w:bCs w:val="0"/>
                <w:color w:val="auto"/>
                <w:sz w:val="21"/>
                <w:szCs w:val="21"/>
              </w:rPr>
              <w:t>t/a</w:t>
            </w:r>
          </w:p>
        </w:tc>
      </w:tr>
      <w:tr w14:paraId="373A2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0C393510">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4694E551">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color w:val="auto"/>
                <w:sz w:val="21"/>
                <w:szCs w:val="21"/>
                <w:lang w:val="en-US" w:eastAsia="zh-CN"/>
              </w:rPr>
              <w:t>废UV催化板</w:t>
            </w:r>
          </w:p>
        </w:tc>
        <w:tc>
          <w:tcPr>
            <w:tcW w:w="1463" w:type="dxa"/>
            <w:noWrap w:val="0"/>
            <w:vAlign w:val="center"/>
          </w:tcPr>
          <w:p w14:paraId="074047DA">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43D22B81">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420" w:type="dxa"/>
            <w:noWrap w:val="0"/>
            <w:vAlign w:val="center"/>
          </w:tcPr>
          <w:p w14:paraId="6E127F5F">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559" w:type="dxa"/>
            <w:noWrap w:val="0"/>
            <w:vAlign w:val="center"/>
          </w:tcPr>
          <w:p w14:paraId="31AAB6C5">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0.0006</w:t>
            </w:r>
            <w:r>
              <w:rPr>
                <w:rFonts w:hint="default" w:ascii="Times New Roman" w:hAnsi="Times New Roman" w:cs="Times New Roman"/>
                <w:b w:val="0"/>
                <w:bCs w:val="0"/>
                <w:color w:val="auto"/>
                <w:sz w:val="21"/>
                <w:szCs w:val="21"/>
              </w:rPr>
              <w:t>t/a</w:t>
            </w:r>
          </w:p>
        </w:tc>
        <w:tc>
          <w:tcPr>
            <w:tcW w:w="1601" w:type="dxa"/>
            <w:noWrap w:val="0"/>
            <w:vAlign w:val="center"/>
          </w:tcPr>
          <w:p w14:paraId="30305BD6">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601" w:type="dxa"/>
            <w:noWrap w:val="0"/>
            <w:vAlign w:val="center"/>
          </w:tcPr>
          <w:p w14:paraId="2D309DC6">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0.0006</w:t>
            </w:r>
            <w:r>
              <w:rPr>
                <w:rFonts w:hint="default" w:ascii="Times New Roman" w:hAnsi="Times New Roman" w:cs="Times New Roman"/>
                <w:b w:val="0"/>
                <w:bCs w:val="0"/>
                <w:color w:val="auto"/>
                <w:sz w:val="21"/>
                <w:szCs w:val="21"/>
              </w:rPr>
              <w:t>t/a</w:t>
            </w:r>
          </w:p>
        </w:tc>
        <w:tc>
          <w:tcPr>
            <w:tcW w:w="1344" w:type="dxa"/>
            <w:noWrap w:val="0"/>
            <w:vAlign w:val="center"/>
          </w:tcPr>
          <w:p w14:paraId="39A22AF6">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0.0006</w:t>
            </w:r>
            <w:r>
              <w:rPr>
                <w:rFonts w:hint="default" w:ascii="Times New Roman" w:hAnsi="Times New Roman" w:cs="Times New Roman"/>
                <w:b w:val="0"/>
                <w:bCs w:val="0"/>
                <w:color w:val="auto"/>
                <w:sz w:val="21"/>
                <w:szCs w:val="21"/>
              </w:rPr>
              <w:t>t/a</w:t>
            </w:r>
          </w:p>
        </w:tc>
      </w:tr>
      <w:tr w14:paraId="60094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restart"/>
            <w:noWrap w:val="0"/>
            <w:vAlign w:val="center"/>
          </w:tcPr>
          <w:p w14:paraId="012EC46C">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危险废物</w:t>
            </w:r>
          </w:p>
        </w:tc>
        <w:tc>
          <w:tcPr>
            <w:tcW w:w="2638" w:type="dxa"/>
            <w:noWrap w:val="0"/>
            <w:vAlign w:val="center"/>
          </w:tcPr>
          <w:p w14:paraId="492AA17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ascii="Times New Roman" w:hAnsi="Times New Roman"/>
                <w:bCs/>
                <w:color w:val="auto"/>
                <w:sz w:val="21"/>
                <w:szCs w:val="21"/>
              </w:rPr>
              <w:t>废活性炭（900-039-49）</w:t>
            </w:r>
          </w:p>
        </w:tc>
        <w:tc>
          <w:tcPr>
            <w:tcW w:w="1463" w:type="dxa"/>
            <w:noWrap w:val="0"/>
            <w:vAlign w:val="center"/>
          </w:tcPr>
          <w:p w14:paraId="421D3B6A">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45EA78D2">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0CB94CD1">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6F3BBBE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ascii="Times New Roman" w:hAnsi="Times New Roman"/>
                <w:color w:val="auto"/>
                <w:sz w:val="21"/>
                <w:szCs w:val="21"/>
              </w:rPr>
              <w:t>0.0024</w:t>
            </w:r>
            <w:r>
              <w:rPr>
                <w:rFonts w:hint="default" w:ascii="Times New Roman" w:hAnsi="Times New Roman" w:cs="Times New Roman"/>
                <w:b w:val="0"/>
                <w:bCs w:val="0"/>
                <w:color w:val="auto"/>
                <w:sz w:val="21"/>
                <w:szCs w:val="21"/>
              </w:rPr>
              <w:t>t/a</w:t>
            </w:r>
          </w:p>
        </w:tc>
        <w:tc>
          <w:tcPr>
            <w:tcW w:w="1601" w:type="dxa"/>
            <w:noWrap w:val="0"/>
            <w:vAlign w:val="center"/>
          </w:tcPr>
          <w:p w14:paraId="4F4F99E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601" w:type="dxa"/>
            <w:noWrap w:val="0"/>
            <w:vAlign w:val="center"/>
          </w:tcPr>
          <w:p w14:paraId="32A3AA9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ascii="Times New Roman" w:hAnsi="Times New Roman"/>
                <w:color w:val="auto"/>
                <w:sz w:val="21"/>
                <w:szCs w:val="21"/>
              </w:rPr>
              <w:t>0.0024</w:t>
            </w:r>
            <w:r>
              <w:rPr>
                <w:rFonts w:hint="default" w:ascii="Times New Roman" w:hAnsi="Times New Roman" w:cs="Times New Roman"/>
                <w:b w:val="0"/>
                <w:bCs w:val="0"/>
                <w:color w:val="auto"/>
                <w:sz w:val="21"/>
                <w:szCs w:val="21"/>
              </w:rPr>
              <w:t>t/a</w:t>
            </w:r>
          </w:p>
        </w:tc>
        <w:tc>
          <w:tcPr>
            <w:tcW w:w="1344" w:type="dxa"/>
            <w:noWrap w:val="0"/>
            <w:vAlign w:val="center"/>
          </w:tcPr>
          <w:p w14:paraId="2924EC1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ascii="Times New Roman" w:hAnsi="Times New Roman"/>
                <w:color w:val="auto"/>
                <w:sz w:val="21"/>
                <w:szCs w:val="21"/>
              </w:rPr>
              <w:t>0.0024</w:t>
            </w:r>
            <w:r>
              <w:rPr>
                <w:rFonts w:hint="default" w:ascii="Times New Roman" w:hAnsi="Times New Roman" w:cs="Times New Roman"/>
                <w:b w:val="0"/>
                <w:bCs w:val="0"/>
                <w:color w:val="auto"/>
                <w:sz w:val="21"/>
                <w:szCs w:val="21"/>
              </w:rPr>
              <w:t>t/a</w:t>
            </w:r>
          </w:p>
        </w:tc>
      </w:tr>
      <w:tr w14:paraId="31045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7787506A">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28A0B32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bCs/>
                <w:color w:val="auto"/>
                <w:sz w:val="21"/>
                <w:szCs w:val="21"/>
              </w:rPr>
            </w:pPr>
            <w:r>
              <w:rPr>
                <w:rFonts w:hint="eastAsia" w:ascii="Times New Roman" w:hAnsi="Times New Roman" w:eastAsia="宋体" w:cs="Times New Roman"/>
                <w:b w:val="0"/>
                <w:bCs/>
                <w:color w:val="auto"/>
                <w:sz w:val="21"/>
                <w:szCs w:val="21"/>
                <w:lang w:val="en-US" w:eastAsia="zh-CN" w:bidi="ar"/>
              </w:rPr>
              <w:t>废UV灯管（900-023-29）</w:t>
            </w:r>
          </w:p>
        </w:tc>
        <w:tc>
          <w:tcPr>
            <w:tcW w:w="1463" w:type="dxa"/>
            <w:noWrap w:val="0"/>
            <w:vAlign w:val="center"/>
          </w:tcPr>
          <w:p w14:paraId="1C6F1B25">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53079F8C">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420" w:type="dxa"/>
            <w:noWrap w:val="0"/>
            <w:vAlign w:val="center"/>
          </w:tcPr>
          <w:p w14:paraId="1C8B79FD">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559" w:type="dxa"/>
            <w:noWrap w:val="0"/>
            <w:vAlign w:val="center"/>
          </w:tcPr>
          <w:p w14:paraId="0856D0C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0.016</w:t>
            </w:r>
            <w:r>
              <w:rPr>
                <w:rFonts w:hint="default" w:ascii="Times New Roman" w:hAnsi="Times New Roman" w:cs="Times New Roman"/>
                <w:b w:val="0"/>
                <w:bCs w:val="0"/>
                <w:color w:val="auto"/>
                <w:sz w:val="21"/>
                <w:szCs w:val="21"/>
              </w:rPr>
              <w:t>t/a</w:t>
            </w:r>
          </w:p>
        </w:tc>
        <w:tc>
          <w:tcPr>
            <w:tcW w:w="1601" w:type="dxa"/>
            <w:noWrap w:val="0"/>
            <w:vAlign w:val="center"/>
          </w:tcPr>
          <w:p w14:paraId="497691C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601" w:type="dxa"/>
            <w:noWrap w:val="0"/>
            <w:vAlign w:val="center"/>
          </w:tcPr>
          <w:p w14:paraId="45D0582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Times New Roman" w:hAnsi="Times New Roman"/>
                <w:color w:val="auto"/>
                <w:sz w:val="21"/>
                <w:szCs w:val="21"/>
              </w:rPr>
            </w:pPr>
            <w:r>
              <w:rPr>
                <w:rFonts w:hint="eastAsia"/>
                <w:color w:val="auto"/>
                <w:sz w:val="21"/>
                <w:szCs w:val="21"/>
                <w:lang w:val="en-US" w:eastAsia="zh-CN"/>
              </w:rPr>
              <w:t>0.016</w:t>
            </w:r>
            <w:r>
              <w:rPr>
                <w:rFonts w:hint="default" w:ascii="Times New Roman" w:hAnsi="Times New Roman" w:cs="Times New Roman"/>
                <w:b w:val="0"/>
                <w:bCs w:val="0"/>
                <w:color w:val="auto"/>
                <w:sz w:val="21"/>
                <w:szCs w:val="21"/>
              </w:rPr>
              <w:t>t/a</w:t>
            </w:r>
          </w:p>
        </w:tc>
        <w:tc>
          <w:tcPr>
            <w:tcW w:w="1344" w:type="dxa"/>
            <w:noWrap w:val="0"/>
            <w:vAlign w:val="center"/>
          </w:tcPr>
          <w:p w14:paraId="379EBE1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color w:val="auto"/>
                <w:sz w:val="21"/>
                <w:szCs w:val="21"/>
                <w:lang w:val="en-US" w:eastAsia="zh-CN"/>
              </w:rPr>
              <w:t>0.016</w:t>
            </w:r>
            <w:r>
              <w:rPr>
                <w:rFonts w:hint="default" w:ascii="Times New Roman" w:hAnsi="Times New Roman" w:cs="Times New Roman"/>
                <w:b w:val="0"/>
                <w:bCs w:val="0"/>
                <w:color w:val="auto"/>
                <w:sz w:val="21"/>
                <w:szCs w:val="21"/>
              </w:rPr>
              <w:t>t/a</w:t>
            </w:r>
          </w:p>
        </w:tc>
      </w:tr>
      <w:tr w14:paraId="74331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733DCD4F">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6F67FB8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val="0"/>
                <w:bCs/>
                <w:color w:val="auto"/>
                <w:sz w:val="21"/>
                <w:szCs w:val="21"/>
                <w:lang w:val="en-US" w:eastAsia="zh-CN" w:bidi="ar"/>
              </w:rPr>
            </w:pPr>
            <w:r>
              <w:rPr>
                <w:rFonts w:hint="eastAsia" w:ascii="Times New Roman" w:hAnsi="Times New Roman" w:eastAsia="宋体" w:cs="Times New Roman"/>
                <w:color w:val="auto"/>
                <w:sz w:val="21"/>
                <w:szCs w:val="21"/>
                <w:lang w:val="en-US" w:eastAsia="zh-CN"/>
              </w:rPr>
              <w:t>废UV催化板</w:t>
            </w:r>
            <w:r>
              <w:rPr>
                <w:rFonts w:hint="eastAsia" w:cs="Times New Roman"/>
                <w:color w:val="auto"/>
                <w:sz w:val="21"/>
                <w:szCs w:val="21"/>
                <w:lang w:val="en-US" w:eastAsia="zh-CN"/>
              </w:rPr>
              <w:t>（</w:t>
            </w:r>
            <w:r>
              <w:rPr>
                <w:rFonts w:hint="eastAsia" w:ascii="Times New Roman" w:hAnsi="Times New Roman" w:eastAsia="宋体" w:cs="Times New Roman"/>
                <w:color w:val="auto"/>
                <w:kern w:val="2"/>
                <w:sz w:val="21"/>
                <w:szCs w:val="21"/>
                <w:lang w:val="en-US" w:eastAsia="zh-CN" w:bidi="ar-SA"/>
              </w:rPr>
              <w:t>772-007-50</w:t>
            </w:r>
            <w:r>
              <w:rPr>
                <w:rFonts w:hint="eastAsia" w:cs="Times New Roman"/>
                <w:color w:val="auto"/>
                <w:sz w:val="21"/>
                <w:szCs w:val="21"/>
                <w:lang w:val="en-US" w:eastAsia="zh-CN"/>
              </w:rPr>
              <w:t>）</w:t>
            </w:r>
          </w:p>
        </w:tc>
        <w:tc>
          <w:tcPr>
            <w:tcW w:w="1463" w:type="dxa"/>
            <w:noWrap w:val="0"/>
            <w:vAlign w:val="center"/>
          </w:tcPr>
          <w:p w14:paraId="1B3E1B2A">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48E3E0F6">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420" w:type="dxa"/>
            <w:noWrap w:val="0"/>
            <w:vAlign w:val="center"/>
          </w:tcPr>
          <w:p w14:paraId="3B12354A">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559" w:type="dxa"/>
            <w:noWrap w:val="0"/>
            <w:vAlign w:val="center"/>
          </w:tcPr>
          <w:p w14:paraId="0506776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0.0006</w:t>
            </w:r>
            <w:r>
              <w:rPr>
                <w:rFonts w:hint="default" w:ascii="Times New Roman" w:hAnsi="Times New Roman" w:cs="Times New Roman"/>
                <w:b w:val="0"/>
                <w:bCs w:val="0"/>
                <w:color w:val="auto"/>
                <w:sz w:val="21"/>
                <w:szCs w:val="21"/>
              </w:rPr>
              <w:t>t/a</w:t>
            </w:r>
          </w:p>
        </w:tc>
        <w:tc>
          <w:tcPr>
            <w:tcW w:w="1601" w:type="dxa"/>
            <w:noWrap w:val="0"/>
            <w:vAlign w:val="center"/>
          </w:tcPr>
          <w:p w14:paraId="147DCED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w:t>
            </w:r>
          </w:p>
        </w:tc>
        <w:tc>
          <w:tcPr>
            <w:tcW w:w="1601" w:type="dxa"/>
            <w:noWrap w:val="0"/>
            <w:vAlign w:val="center"/>
          </w:tcPr>
          <w:p w14:paraId="545D499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0.0006</w:t>
            </w:r>
            <w:r>
              <w:rPr>
                <w:rFonts w:hint="default" w:ascii="Times New Roman" w:hAnsi="Times New Roman" w:cs="Times New Roman"/>
                <w:b w:val="0"/>
                <w:bCs w:val="0"/>
                <w:color w:val="auto"/>
                <w:sz w:val="21"/>
                <w:szCs w:val="21"/>
              </w:rPr>
              <w:t>t/a</w:t>
            </w:r>
          </w:p>
        </w:tc>
        <w:tc>
          <w:tcPr>
            <w:tcW w:w="1344" w:type="dxa"/>
            <w:noWrap w:val="0"/>
            <w:vAlign w:val="center"/>
          </w:tcPr>
          <w:p w14:paraId="4B1A414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color w:val="auto"/>
                <w:sz w:val="21"/>
                <w:szCs w:val="21"/>
                <w:lang w:val="en-US" w:eastAsia="zh-CN"/>
              </w:rPr>
              <w:t>0.0006</w:t>
            </w:r>
            <w:r>
              <w:rPr>
                <w:rFonts w:hint="default" w:ascii="Times New Roman" w:hAnsi="Times New Roman" w:cs="Times New Roman"/>
                <w:b w:val="0"/>
                <w:bCs w:val="0"/>
                <w:color w:val="auto"/>
                <w:sz w:val="21"/>
                <w:szCs w:val="21"/>
              </w:rPr>
              <w:t>t/a</w:t>
            </w:r>
          </w:p>
        </w:tc>
      </w:tr>
      <w:tr w14:paraId="39473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3CFADCCB">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31D857C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ascii="Times New Roman" w:hAnsi="Times New Roman"/>
                <w:bCs/>
                <w:color w:val="auto"/>
                <w:sz w:val="21"/>
                <w:szCs w:val="21"/>
                <w:lang w:bidi="ar"/>
              </w:rPr>
              <w:t>废机油（900-214-08）</w:t>
            </w:r>
          </w:p>
        </w:tc>
        <w:tc>
          <w:tcPr>
            <w:tcW w:w="1463" w:type="dxa"/>
            <w:noWrap w:val="0"/>
            <w:vAlign w:val="center"/>
          </w:tcPr>
          <w:p w14:paraId="667BFA6C">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02DC7B0F">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3B04EBDD">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5353ED9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ascii="Times New Roman" w:hAnsi="Times New Roman"/>
                <w:color w:val="auto"/>
                <w:sz w:val="21"/>
                <w:szCs w:val="21"/>
                <w:lang w:bidi="ar"/>
              </w:rPr>
              <w:t>0.2</w:t>
            </w:r>
            <w:r>
              <w:rPr>
                <w:rFonts w:hint="default" w:ascii="Times New Roman" w:hAnsi="Times New Roman" w:cs="Times New Roman"/>
                <w:b w:val="0"/>
                <w:bCs w:val="0"/>
                <w:color w:val="auto"/>
                <w:sz w:val="21"/>
                <w:szCs w:val="21"/>
              </w:rPr>
              <w:t>t/a</w:t>
            </w:r>
          </w:p>
        </w:tc>
        <w:tc>
          <w:tcPr>
            <w:tcW w:w="1601" w:type="dxa"/>
            <w:noWrap w:val="0"/>
            <w:vAlign w:val="center"/>
          </w:tcPr>
          <w:p w14:paraId="531E2EA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601" w:type="dxa"/>
            <w:noWrap w:val="0"/>
            <w:vAlign w:val="center"/>
          </w:tcPr>
          <w:p w14:paraId="5D89AE8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ascii="Times New Roman" w:hAnsi="Times New Roman"/>
                <w:color w:val="auto"/>
                <w:sz w:val="21"/>
                <w:szCs w:val="21"/>
                <w:lang w:bidi="ar"/>
              </w:rPr>
              <w:t>0.2</w:t>
            </w:r>
            <w:r>
              <w:rPr>
                <w:rFonts w:hint="default" w:ascii="Times New Roman" w:hAnsi="Times New Roman" w:cs="Times New Roman"/>
                <w:b w:val="0"/>
                <w:bCs w:val="0"/>
                <w:color w:val="auto"/>
                <w:sz w:val="21"/>
                <w:szCs w:val="21"/>
              </w:rPr>
              <w:t>t/a</w:t>
            </w:r>
          </w:p>
        </w:tc>
        <w:tc>
          <w:tcPr>
            <w:tcW w:w="1344" w:type="dxa"/>
            <w:noWrap w:val="0"/>
            <w:vAlign w:val="center"/>
          </w:tcPr>
          <w:p w14:paraId="3EB1635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snapToGrid w:val="0"/>
                <w:color w:val="auto"/>
                <w:kern w:val="21"/>
                <w:szCs w:val="21"/>
                <w:highlight w:val="none"/>
                <w:lang w:val="en-US" w:eastAsia="zh-CN"/>
              </w:rPr>
            </w:pPr>
            <w:r>
              <w:rPr>
                <w:rFonts w:ascii="Times New Roman" w:hAnsi="Times New Roman"/>
                <w:color w:val="auto"/>
                <w:sz w:val="21"/>
                <w:szCs w:val="21"/>
                <w:lang w:bidi="ar"/>
              </w:rPr>
              <w:t>0.2</w:t>
            </w:r>
            <w:r>
              <w:rPr>
                <w:rFonts w:hint="default" w:ascii="Times New Roman" w:hAnsi="Times New Roman" w:cs="Times New Roman"/>
                <w:b w:val="0"/>
                <w:bCs w:val="0"/>
                <w:color w:val="auto"/>
                <w:sz w:val="21"/>
                <w:szCs w:val="21"/>
              </w:rPr>
              <w:t>t/a</w:t>
            </w:r>
          </w:p>
        </w:tc>
      </w:tr>
      <w:tr w14:paraId="472D0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62" w:type="dxa"/>
            <w:vMerge w:val="continue"/>
            <w:noWrap w:val="0"/>
            <w:vAlign w:val="center"/>
          </w:tcPr>
          <w:p w14:paraId="4B96EC18">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eastAsia" w:hAnsi="宋体" w:cs="宋体"/>
                <w:snapToGrid w:val="0"/>
                <w:color w:val="auto"/>
                <w:kern w:val="21"/>
                <w:szCs w:val="21"/>
                <w:highlight w:val="none"/>
              </w:rPr>
            </w:pPr>
          </w:p>
        </w:tc>
        <w:tc>
          <w:tcPr>
            <w:tcW w:w="2638" w:type="dxa"/>
            <w:noWrap w:val="0"/>
            <w:vAlign w:val="center"/>
          </w:tcPr>
          <w:p w14:paraId="7E32084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ascii="Times New Roman" w:hAnsi="Times New Roman"/>
                <w:bCs/>
                <w:color w:val="auto"/>
                <w:sz w:val="21"/>
                <w:szCs w:val="21"/>
                <w:lang w:bidi="ar"/>
              </w:rPr>
              <w:t>废导热油（900-249-08）</w:t>
            </w:r>
          </w:p>
        </w:tc>
        <w:tc>
          <w:tcPr>
            <w:tcW w:w="1463" w:type="dxa"/>
            <w:noWrap w:val="0"/>
            <w:vAlign w:val="center"/>
          </w:tcPr>
          <w:p w14:paraId="3750C356">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300" w:type="dxa"/>
            <w:noWrap w:val="0"/>
            <w:vAlign w:val="center"/>
          </w:tcPr>
          <w:p w14:paraId="13BC31BE">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20" w:type="dxa"/>
            <w:noWrap w:val="0"/>
            <w:vAlign w:val="center"/>
          </w:tcPr>
          <w:p w14:paraId="21D9AE32">
            <w:pPr>
              <w:pStyle w:val="43"/>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59" w:type="dxa"/>
            <w:noWrap w:val="0"/>
            <w:vAlign w:val="center"/>
          </w:tcPr>
          <w:p w14:paraId="268772D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color w:val="auto"/>
                <w:sz w:val="21"/>
                <w:szCs w:val="21"/>
                <w:lang w:val="en-US" w:eastAsia="zh-CN" w:bidi="ar"/>
              </w:rPr>
              <w:t>3</w:t>
            </w:r>
            <w:r>
              <w:rPr>
                <w:rFonts w:hint="default" w:ascii="Times New Roman" w:hAnsi="Times New Roman" w:cs="Times New Roman"/>
                <w:b w:val="0"/>
                <w:bCs w:val="0"/>
                <w:color w:val="auto"/>
                <w:sz w:val="21"/>
                <w:szCs w:val="21"/>
              </w:rPr>
              <w:t>t/a</w:t>
            </w:r>
          </w:p>
        </w:tc>
        <w:tc>
          <w:tcPr>
            <w:tcW w:w="1601" w:type="dxa"/>
            <w:noWrap w:val="0"/>
            <w:vAlign w:val="center"/>
          </w:tcPr>
          <w:p w14:paraId="0A7D38F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601" w:type="dxa"/>
            <w:noWrap w:val="0"/>
            <w:vAlign w:val="center"/>
          </w:tcPr>
          <w:p w14:paraId="4679ECA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cs="Times New Roman"/>
                <w:snapToGrid w:val="0"/>
                <w:color w:val="auto"/>
                <w:kern w:val="21"/>
                <w:szCs w:val="21"/>
                <w:highlight w:val="none"/>
                <w:lang w:val="en-US" w:eastAsia="zh-CN"/>
              </w:rPr>
            </w:pPr>
            <w:r>
              <w:rPr>
                <w:rFonts w:hint="eastAsia"/>
                <w:color w:val="auto"/>
                <w:sz w:val="21"/>
                <w:szCs w:val="21"/>
                <w:lang w:val="en-US" w:eastAsia="zh-CN" w:bidi="ar"/>
              </w:rPr>
              <w:t>3</w:t>
            </w:r>
            <w:r>
              <w:rPr>
                <w:rFonts w:hint="default" w:ascii="Times New Roman" w:hAnsi="Times New Roman" w:cs="Times New Roman"/>
                <w:b w:val="0"/>
                <w:bCs w:val="0"/>
                <w:color w:val="auto"/>
                <w:sz w:val="21"/>
                <w:szCs w:val="21"/>
              </w:rPr>
              <w:t>t/a</w:t>
            </w:r>
          </w:p>
        </w:tc>
        <w:tc>
          <w:tcPr>
            <w:tcW w:w="1344" w:type="dxa"/>
            <w:noWrap w:val="0"/>
            <w:vAlign w:val="center"/>
          </w:tcPr>
          <w:p w14:paraId="3881BB0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cs="Times New Roman"/>
                <w:snapToGrid w:val="0"/>
                <w:color w:val="auto"/>
                <w:kern w:val="21"/>
                <w:szCs w:val="21"/>
                <w:highlight w:val="none"/>
                <w:lang w:val="en-US" w:eastAsia="zh-CN"/>
              </w:rPr>
            </w:pPr>
            <w:r>
              <w:rPr>
                <w:rFonts w:hint="eastAsia"/>
                <w:color w:val="auto"/>
                <w:sz w:val="21"/>
                <w:szCs w:val="21"/>
                <w:lang w:val="en-US" w:eastAsia="zh-CN" w:bidi="ar"/>
              </w:rPr>
              <w:t>3</w:t>
            </w:r>
            <w:r>
              <w:rPr>
                <w:rFonts w:hint="default" w:ascii="Times New Roman" w:hAnsi="Times New Roman" w:cs="Times New Roman"/>
                <w:b w:val="0"/>
                <w:bCs w:val="0"/>
                <w:color w:val="auto"/>
                <w:sz w:val="21"/>
                <w:szCs w:val="21"/>
              </w:rPr>
              <w:t>t/a</w:t>
            </w:r>
          </w:p>
        </w:tc>
      </w:tr>
    </w:tbl>
    <w:p w14:paraId="7C58E9E8">
      <w:pPr>
        <w:pStyle w:val="43"/>
        <w:spacing w:before="192" w:beforeLines="80" w:after="24"/>
        <w:ind w:firstLine="0" w:firstLineChars="0"/>
        <w:jc w:val="left"/>
        <w:rPr>
          <w:color w:val="auto"/>
          <w:highlight w:val="none"/>
        </w:rPr>
      </w:pPr>
      <w:r>
        <w:rPr>
          <w:rFonts w:hAnsi="宋体" w:cs="Times New Roman"/>
          <w:snapToGrid w:val="0"/>
          <w:color w:val="auto"/>
          <w:kern w:val="21"/>
          <w:szCs w:val="21"/>
          <w:highlight w:val="none"/>
        </w:rPr>
        <w:t>注：</w:t>
      </w:r>
      <w:r>
        <w:rPr>
          <w:rFonts w:hAnsi="宋体" w:cs="Times New Roman"/>
          <w:snapToGrid w:val="0"/>
          <w:color w:val="auto"/>
          <w:spacing w:val="-16"/>
          <w:kern w:val="21"/>
          <w:szCs w:val="21"/>
          <w:highlight w:val="none"/>
        </w:rPr>
        <w:fldChar w:fldCharType="begin"/>
      </w:r>
      <w:r>
        <w:rPr>
          <w:rFonts w:hAnsi="宋体" w:cs="Times New Roman"/>
          <w:snapToGrid w:val="0"/>
          <w:color w:val="auto"/>
          <w:spacing w:val="-16"/>
          <w:kern w:val="21"/>
          <w:szCs w:val="21"/>
          <w:highlight w:val="none"/>
        </w:rPr>
        <w:instrText xml:space="preserve"> = 6 \* GB3 \* MERGEFORMAT </w:instrText>
      </w:r>
      <w:r>
        <w:rPr>
          <w:rFonts w:hAnsi="宋体" w:cs="Times New Roman"/>
          <w:snapToGrid w:val="0"/>
          <w:color w:val="auto"/>
          <w:spacing w:val="-16"/>
          <w:kern w:val="21"/>
          <w:szCs w:val="21"/>
          <w:highlight w:val="none"/>
        </w:rPr>
        <w:fldChar w:fldCharType="separate"/>
      </w:r>
      <w:r>
        <w:rPr>
          <w:rFonts w:hint="eastAsia" w:hAnsi="宋体" w:cs="Times New Roman"/>
          <w:color w:val="auto"/>
          <w:szCs w:val="21"/>
          <w:highlight w:val="none"/>
        </w:rPr>
        <w:t>⑥</w:t>
      </w:r>
      <w:r>
        <w:rPr>
          <w:rFonts w:hAnsi="宋体" w:cs="Times New Roman"/>
          <w:snapToGrid w:val="0"/>
          <w:color w:val="auto"/>
          <w:spacing w:val="-16"/>
          <w:kern w:val="21"/>
          <w:szCs w:val="21"/>
          <w:highlight w:val="none"/>
        </w:rPr>
        <w:fldChar w:fldCharType="end"/>
      </w:r>
      <w:r>
        <w:rPr>
          <w:rFonts w:hAnsi="宋体" w:cs="Times New Roman"/>
          <w:snapToGrid w:val="0"/>
          <w:color w:val="auto"/>
          <w:spacing w:val="-16"/>
          <w:kern w:val="21"/>
          <w:szCs w:val="21"/>
          <w:highlight w:val="none"/>
        </w:rPr>
        <w:t>=</w:t>
      </w:r>
      <w:r>
        <w:rPr>
          <w:rFonts w:hAnsi="宋体" w:cs="Times New Roman"/>
          <w:snapToGrid w:val="0"/>
          <w:color w:val="auto"/>
          <w:spacing w:val="-6"/>
          <w:kern w:val="21"/>
          <w:szCs w:val="21"/>
          <w:highlight w:val="none"/>
        </w:rPr>
        <w:fldChar w:fldCharType="begin"/>
      </w:r>
      <w:r>
        <w:rPr>
          <w:rFonts w:hAnsi="宋体" w:cs="Times New Roman"/>
          <w:snapToGrid w:val="0"/>
          <w:color w:val="auto"/>
          <w:spacing w:val="-6"/>
          <w:kern w:val="21"/>
          <w:szCs w:val="21"/>
          <w:highlight w:val="none"/>
        </w:rPr>
        <w:instrText xml:space="preserve"> = 1 \* GB3 \* MERGEFORMAT </w:instrText>
      </w:r>
      <w:r>
        <w:rPr>
          <w:rFonts w:hAnsi="宋体" w:cs="Times New Roman"/>
          <w:snapToGrid w:val="0"/>
          <w:color w:val="auto"/>
          <w:spacing w:val="-6"/>
          <w:kern w:val="21"/>
          <w:szCs w:val="21"/>
          <w:highlight w:val="none"/>
        </w:rPr>
        <w:fldChar w:fldCharType="separate"/>
      </w:r>
      <w:r>
        <w:rPr>
          <w:rFonts w:hint="eastAsia" w:hAnsi="宋体" w:cs="Times New Roman"/>
          <w:color w:val="auto"/>
          <w:szCs w:val="21"/>
          <w:highlight w:val="none"/>
        </w:rPr>
        <w:t>①</w:t>
      </w:r>
      <w:r>
        <w:rPr>
          <w:rFonts w:hAnsi="宋体" w:cs="Times New Roman"/>
          <w:snapToGrid w:val="0"/>
          <w:color w:val="auto"/>
          <w:spacing w:val="-6"/>
          <w:kern w:val="21"/>
          <w:szCs w:val="21"/>
          <w:highlight w:val="none"/>
        </w:rPr>
        <w:fldChar w:fldCharType="end"/>
      </w:r>
      <w:r>
        <w:rPr>
          <w:rFonts w:hAnsi="宋体" w:cs="Times New Roman"/>
          <w:snapToGrid w:val="0"/>
          <w:color w:val="auto"/>
          <w:spacing w:val="-6"/>
          <w:kern w:val="21"/>
          <w:szCs w:val="21"/>
          <w:highlight w:val="none"/>
        </w:rPr>
        <w:t>+</w:t>
      </w:r>
      <w:r>
        <w:rPr>
          <w:rFonts w:hAnsi="宋体" w:cs="Times New Roman"/>
          <w:snapToGrid w:val="0"/>
          <w:color w:val="auto"/>
          <w:spacing w:val="-6"/>
          <w:kern w:val="21"/>
          <w:szCs w:val="21"/>
          <w:highlight w:val="none"/>
        </w:rPr>
        <w:fldChar w:fldCharType="begin"/>
      </w:r>
      <w:r>
        <w:rPr>
          <w:rFonts w:hAnsi="宋体" w:cs="Times New Roman"/>
          <w:snapToGrid w:val="0"/>
          <w:color w:val="auto"/>
          <w:spacing w:val="-6"/>
          <w:kern w:val="21"/>
          <w:szCs w:val="21"/>
          <w:highlight w:val="none"/>
        </w:rPr>
        <w:instrText xml:space="preserve"> = 3 \* GB3 \* MERGEFORMAT </w:instrText>
      </w:r>
      <w:r>
        <w:rPr>
          <w:rFonts w:hAnsi="宋体" w:cs="Times New Roman"/>
          <w:snapToGrid w:val="0"/>
          <w:color w:val="auto"/>
          <w:spacing w:val="-6"/>
          <w:kern w:val="21"/>
          <w:szCs w:val="21"/>
          <w:highlight w:val="none"/>
        </w:rPr>
        <w:fldChar w:fldCharType="separate"/>
      </w:r>
      <w:r>
        <w:rPr>
          <w:rFonts w:hint="eastAsia" w:hAnsi="宋体" w:cs="Times New Roman"/>
          <w:color w:val="auto"/>
          <w:szCs w:val="21"/>
          <w:highlight w:val="none"/>
        </w:rPr>
        <w:t>③</w:t>
      </w:r>
      <w:r>
        <w:rPr>
          <w:rFonts w:hAnsi="宋体" w:cs="Times New Roman"/>
          <w:snapToGrid w:val="0"/>
          <w:color w:val="auto"/>
          <w:spacing w:val="-6"/>
          <w:kern w:val="21"/>
          <w:szCs w:val="21"/>
          <w:highlight w:val="none"/>
        </w:rPr>
        <w:fldChar w:fldCharType="end"/>
      </w:r>
      <w:r>
        <w:rPr>
          <w:rFonts w:hAnsi="宋体" w:cs="Times New Roman"/>
          <w:snapToGrid w:val="0"/>
          <w:color w:val="auto"/>
          <w:spacing w:val="-6"/>
          <w:kern w:val="21"/>
          <w:szCs w:val="21"/>
          <w:highlight w:val="none"/>
        </w:rPr>
        <w:t>+</w:t>
      </w:r>
      <w:r>
        <w:rPr>
          <w:rFonts w:hAnsi="宋体" w:cs="Times New Roman"/>
          <w:snapToGrid w:val="0"/>
          <w:color w:val="auto"/>
          <w:spacing w:val="-6"/>
          <w:kern w:val="21"/>
          <w:szCs w:val="21"/>
          <w:highlight w:val="none"/>
        </w:rPr>
        <w:fldChar w:fldCharType="begin"/>
      </w:r>
      <w:r>
        <w:rPr>
          <w:rFonts w:hAnsi="宋体" w:cs="Times New Roman"/>
          <w:snapToGrid w:val="0"/>
          <w:color w:val="auto"/>
          <w:spacing w:val="-6"/>
          <w:kern w:val="21"/>
          <w:szCs w:val="21"/>
          <w:highlight w:val="none"/>
        </w:rPr>
        <w:instrText xml:space="preserve"> = 4 \* GB3 \* MERGEFORMAT </w:instrText>
      </w:r>
      <w:r>
        <w:rPr>
          <w:rFonts w:hAnsi="宋体" w:cs="Times New Roman"/>
          <w:snapToGrid w:val="0"/>
          <w:color w:val="auto"/>
          <w:spacing w:val="-6"/>
          <w:kern w:val="21"/>
          <w:szCs w:val="21"/>
          <w:highlight w:val="none"/>
        </w:rPr>
        <w:fldChar w:fldCharType="separate"/>
      </w:r>
      <w:r>
        <w:rPr>
          <w:rFonts w:hint="eastAsia" w:hAnsi="宋体" w:cs="Times New Roman"/>
          <w:color w:val="auto"/>
          <w:szCs w:val="21"/>
          <w:highlight w:val="none"/>
        </w:rPr>
        <w:t>④</w:t>
      </w:r>
      <w:r>
        <w:rPr>
          <w:rFonts w:hAnsi="宋体" w:cs="Times New Roman"/>
          <w:snapToGrid w:val="0"/>
          <w:color w:val="auto"/>
          <w:spacing w:val="-6"/>
          <w:kern w:val="21"/>
          <w:szCs w:val="21"/>
          <w:highlight w:val="none"/>
        </w:rPr>
        <w:fldChar w:fldCharType="end"/>
      </w:r>
      <w:r>
        <w:rPr>
          <w:rFonts w:hAnsi="宋体" w:cs="Times New Roman"/>
          <w:snapToGrid w:val="0"/>
          <w:color w:val="auto"/>
          <w:spacing w:val="-6"/>
          <w:kern w:val="21"/>
          <w:szCs w:val="21"/>
          <w:highlight w:val="none"/>
        </w:rPr>
        <w:t>-</w:t>
      </w:r>
      <w:r>
        <w:rPr>
          <w:rFonts w:hAnsi="宋体" w:cs="Times New Roman"/>
          <w:snapToGrid w:val="0"/>
          <w:color w:val="auto"/>
          <w:spacing w:val="-16"/>
          <w:kern w:val="21"/>
          <w:szCs w:val="21"/>
          <w:highlight w:val="none"/>
        </w:rPr>
        <w:fldChar w:fldCharType="begin"/>
      </w:r>
      <w:r>
        <w:rPr>
          <w:rFonts w:hAnsi="宋体" w:cs="Times New Roman"/>
          <w:snapToGrid w:val="0"/>
          <w:color w:val="auto"/>
          <w:spacing w:val="-16"/>
          <w:kern w:val="21"/>
          <w:szCs w:val="21"/>
          <w:highlight w:val="none"/>
        </w:rPr>
        <w:instrText xml:space="preserve"> = 5 \* GB3 \* MERGEFORMAT </w:instrText>
      </w:r>
      <w:r>
        <w:rPr>
          <w:rFonts w:hAnsi="宋体" w:cs="Times New Roman"/>
          <w:snapToGrid w:val="0"/>
          <w:color w:val="auto"/>
          <w:spacing w:val="-16"/>
          <w:kern w:val="21"/>
          <w:szCs w:val="21"/>
          <w:highlight w:val="none"/>
        </w:rPr>
        <w:fldChar w:fldCharType="separate"/>
      </w:r>
      <w:r>
        <w:rPr>
          <w:rFonts w:hint="eastAsia" w:hAnsi="宋体" w:cs="Times New Roman"/>
          <w:color w:val="auto"/>
          <w:szCs w:val="21"/>
          <w:highlight w:val="none"/>
        </w:rPr>
        <w:t>⑤</w:t>
      </w:r>
      <w:r>
        <w:rPr>
          <w:rFonts w:hAnsi="宋体" w:cs="Times New Roman"/>
          <w:snapToGrid w:val="0"/>
          <w:color w:val="auto"/>
          <w:spacing w:val="-16"/>
          <w:kern w:val="21"/>
          <w:szCs w:val="21"/>
          <w:highlight w:val="none"/>
        </w:rPr>
        <w:fldChar w:fldCharType="end"/>
      </w:r>
      <w:r>
        <w:rPr>
          <w:rFonts w:hAnsi="宋体" w:cs="Times New Roman"/>
          <w:snapToGrid w:val="0"/>
          <w:color w:val="auto"/>
          <w:spacing w:val="-16"/>
          <w:kern w:val="21"/>
          <w:szCs w:val="21"/>
          <w:highlight w:val="none"/>
        </w:rPr>
        <w:t>；</w:t>
      </w:r>
      <w:r>
        <w:rPr>
          <w:rFonts w:hAnsi="宋体" w:cs="Times New Roman"/>
          <w:snapToGrid w:val="0"/>
          <w:color w:val="auto"/>
          <w:spacing w:val="-6"/>
          <w:kern w:val="21"/>
          <w:szCs w:val="21"/>
          <w:highlight w:val="none"/>
        </w:rPr>
        <w:fldChar w:fldCharType="begin"/>
      </w:r>
      <w:r>
        <w:rPr>
          <w:rFonts w:hAnsi="宋体" w:cs="Times New Roman"/>
          <w:snapToGrid w:val="0"/>
          <w:color w:val="auto"/>
          <w:spacing w:val="-6"/>
          <w:kern w:val="21"/>
          <w:szCs w:val="21"/>
          <w:highlight w:val="none"/>
        </w:rPr>
        <w:instrText xml:space="preserve"> = 7 \* GB3 \* MERGEFORMAT </w:instrText>
      </w:r>
      <w:r>
        <w:rPr>
          <w:rFonts w:hAnsi="宋体" w:cs="Times New Roman"/>
          <w:snapToGrid w:val="0"/>
          <w:color w:val="auto"/>
          <w:spacing w:val="-6"/>
          <w:kern w:val="21"/>
          <w:szCs w:val="21"/>
          <w:highlight w:val="none"/>
        </w:rPr>
        <w:fldChar w:fldCharType="separate"/>
      </w:r>
      <w:r>
        <w:rPr>
          <w:rFonts w:hint="eastAsia" w:hAnsi="宋体" w:cs="Times New Roman"/>
          <w:color w:val="auto"/>
          <w:szCs w:val="21"/>
          <w:highlight w:val="none"/>
        </w:rPr>
        <w:t>⑦</w:t>
      </w:r>
      <w:r>
        <w:rPr>
          <w:rFonts w:hAnsi="宋体" w:cs="Times New Roman"/>
          <w:snapToGrid w:val="0"/>
          <w:color w:val="auto"/>
          <w:spacing w:val="-6"/>
          <w:kern w:val="21"/>
          <w:szCs w:val="21"/>
          <w:highlight w:val="none"/>
        </w:rPr>
        <w:fldChar w:fldCharType="end"/>
      </w:r>
      <w:r>
        <w:rPr>
          <w:rFonts w:hAnsi="宋体" w:cs="Times New Roman"/>
          <w:snapToGrid w:val="0"/>
          <w:color w:val="auto"/>
          <w:spacing w:val="-6"/>
          <w:kern w:val="21"/>
          <w:szCs w:val="21"/>
          <w:highlight w:val="none"/>
        </w:rPr>
        <w:t>=</w:t>
      </w:r>
      <w:r>
        <w:rPr>
          <w:rFonts w:hAnsi="宋体" w:cs="Times New Roman"/>
          <w:snapToGrid w:val="0"/>
          <w:color w:val="auto"/>
          <w:spacing w:val="-16"/>
          <w:kern w:val="21"/>
          <w:szCs w:val="21"/>
          <w:highlight w:val="none"/>
        </w:rPr>
        <w:fldChar w:fldCharType="begin"/>
      </w:r>
      <w:r>
        <w:rPr>
          <w:rFonts w:hAnsi="宋体" w:cs="Times New Roman"/>
          <w:snapToGrid w:val="0"/>
          <w:color w:val="auto"/>
          <w:spacing w:val="-16"/>
          <w:kern w:val="21"/>
          <w:szCs w:val="21"/>
          <w:highlight w:val="none"/>
        </w:rPr>
        <w:instrText xml:space="preserve"> = 6 \* GB3 \* MERGEFORMAT </w:instrText>
      </w:r>
      <w:r>
        <w:rPr>
          <w:rFonts w:hAnsi="宋体" w:cs="Times New Roman"/>
          <w:snapToGrid w:val="0"/>
          <w:color w:val="auto"/>
          <w:spacing w:val="-16"/>
          <w:kern w:val="21"/>
          <w:szCs w:val="21"/>
          <w:highlight w:val="none"/>
        </w:rPr>
        <w:fldChar w:fldCharType="separate"/>
      </w:r>
      <w:r>
        <w:rPr>
          <w:rFonts w:hint="eastAsia" w:hAnsi="宋体" w:cs="Times New Roman"/>
          <w:color w:val="auto"/>
          <w:szCs w:val="21"/>
          <w:highlight w:val="none"/>
        </w:rPr>
        <w:t>⑥</w:t>
      </w:r>
      <w:r>
        <w:rPr>
          <w:rFonts w:hAnsi="宋体" w:cs="Times New Roman"/>
          <w:snapToGrid w:val="0"/>
          <w:color w:val="auto"/>
          <w:spacing w:val="-16"/>
          <w:kern w:val="21"/>
          <w:szCs w:val="21"/>
          <w:highlight w:val="none"/>
        </w:rPr>
        <w:fldChar w:fldCharType="end"/>
      </w:r>
      <w:r>
        <w:rPr>
          <w:rFonts w:hAnsi="宋体" w:cs="Times New Roman"/>
          <w:snapToGrid w:val="0"/>
          <w:color w:val="auto"/>
          <w:spacing w:val="-16"/>
          <w:kern w:val="21"/>
          <w:szCs w:val="21"/>
          <w:highlight w:val="none"/>
        </w:rPr>
        <w:t>-</w:t>
      </w:r>
      <w:r>
        <w:rPr>
          <w:rFonts w:hAnsi="宋体" w:cs="Times New Roman"/>
          <w:snapToGrid w:val="0"/>
          <w:color w:val="auto"/>
          <w:spacing w:val="-6"/>
          <w:kern w:val="21"/>
          <w:szCs w:val="21"/>
          <w:highlight w:val="none"/>
        </w:rPr>
        <w:fldChar w:fldCharType="begin"/>
      </w:r>
      <w:r>
        <w:rPr>
          <w:rFonts w:hAnsi="宋体" w:cs="Times New Roman"/>
          <w:snapToGrid w:val="0"/>
          <w:color w:val="auto"/>
          <w:spacing w:val="-6"/>
          <w:kern w:val="21"/>
          <w:szCs w:val="21"/>
          <w:highlight w:val="none"/>
        </w:rPr>
        <w:instrText xml:space="preserve"> = 1 \* GB3 \* MERGEFORMAT </w:instrText>
      </w:r>
      <w:r>
        <w:rPr>
          <w:rFonts w:hAnsi="宋体" w:cs="Times New Roman"/>
          <w:snapToGrid w:val="0"/>
          <w:color w:val="auto"/>
          <w:spacing w:val="-6"/>
          <w:kern w:val="21"/>
          <w:szCs w:val="21"/>
          <w:highlight w:val="none"/>
        </w:rPr>
        <w:fldChar w:fldCharType="separate"/>
      </w:r>
      <w:r>
        <w:rPr>
          <w:rFonts w:hint="eastAsia" w:hAnsi="宋体" w:cs="Times New Roman"/>
          <w:color w:val="auto"/>
          <w:szCs w:val="21"/>
          <w:highlight w:val="none"/>
        </w:rPr>
        <w:t>①</w:t>
      </w:r>
      <w:r>
        <w:rPr>
          <w:rFonts w:hAnsi="宋体" w:cs="Times New Roman"/>
          <w:snapToGrid w:val="0"/>
          <w:color w:val="auto"/>
          <w:spacing w:val="-6"/>
          <w:kern w:val="21"/>
          <w:szCs w:val="21"/>
          <w:highlight w:val="none"/>
        </w:rPr>
        <w:fldChar w:fldCharType="end"/>
      </w: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Times">
    <w:altName w:val="Times New Roman"/>
    <w:panose1 w:val="02020603050405020304"/>
    <w:charset w:val="00"/>
    <w:family w:val="roman"/>
    <w:pitch w:val="default"/>
    <w:sig w:usb0="00000000" w:usb1="00000000" w:usb2="00000009" w:usb3="00000000" w:csb0="000001FF"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01CB7">
    <w:pPr>
      <w:pStyle w:val="18"/>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0F0C7">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41EBD">
    <w:pPr>
      <w:pStyle w:val="18"/>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21724B">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021724B">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9093C">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EC0AF">
    <w:pPr>
      <w:pStyle w:val="1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5D7B2"/>
    <w:multiLevelType w:val="singleLevel"/>
    <w:tmpl w:val="81E5D7B2"/>
    <w:lvl w:ilvl="0" w:tentative="0">
      <w:start w:val="3"/>
      <w:numFmt w:val="decimal"/>
      <w:suff w:val="nothing"/>
      <w:lvlText w:val="（%1）"/>
      <w:lvlJc w:val="left"/>
    </w:lvl>
  </w:abstractNum>
  <w:abstractNum w:abstractNumId="1">
    <w:nsid w:val="13BB7F4A"/>
    <w:multiLevelType w:val="singleLevel"/>
    <w:tmpl w:val="13BB7F4A"/>
    <w:lvl w:ilvl="0" w:tentative="0">
      <w:start w:val="1"/>
      <w:numFmt w:val="decimal"/>
      <w:suff w:val="nothing"/>
      <w:lvlText w:val="（%1）"/>
      <w:lvlJc w:val="left"/>
    </w:lvl>
  </w:abstractNum>
  <w:abstractNum w:abstractNumId="2">
    <w:nsid w:val="147234C8"/>
    <w:multiLevelType w:val="singleLevel"/>
    <w:tmpl w:val="147234C8"/>
    <w:lvl w:ilvl="0" w:tentative="0">
      <w:start w:val="4"/>
      <w:numFmt w:val="decimal"/>
      <w:lvlText w:val="%1."/>
      <w:lvlJc w:val="left"/>
      <w:pPr>
        <w:tabs>
          <w:tab w:val="left" w:pos="312"/>
        </w:tabs>
      </w:pPr>
    </w:lvl>
  </w:abstractNum>
  <w:abstractNum w:abstractNumId="3">
    <w:nsid w:val="325BC4AC"/>
    <w:multiLevelType w:val="singleLevel"/>
    <w:tmpl w:val="325BC4AC"/>
    <w:lvl w:ilvl="0" w:tentative="0">
      <w:start w:val="1"/>
      <w:numFmt w:val="decimal"/>
      <w:suff w:val="nothing"/>
      <w:lvlText w:val="%1、"/>
      <w:lvlJc w:val="left"/>
    </w:lvl>
  </w:abstractNum>
  <w:abstractNum w:abstractNumId="4">
    <w:nsid w:val="5C919487"/>
    <w:multiLevelType w:val="singleLevel"/>
    <w:tmpl w:val="5C919487"/>
    <w:lvl w:ilvl="0" w:tentative="0">
      <w:start w:val="2"/>
      <w:numFmt w:val="decimal"/>
      <w:suff w:val="nothing"/>
      <w:lvlText w:val="（%1）"/>
      <w:lvlJc w:val="left"/>
    </w:lvl>
  </w:abstractNum>
  <w:abstractNum w:abstractNumId="5">
    <w:nsid w:val="6C67F906"/>
    <w:multiLevelType w:val="singleLevel"/>
    <w:tmpl w:val="6C67F906"/>
    <w:lvl w:ilvl="0" w:tentative="0">
      <w:start w:val="1"/>
      <w:numFmt w:val="decimal"/>
      <w:suff w:val="nothing"/>
      <w:lvlText w:val="%1、"/>
      <w:lvlJc w:val="left"/>
    </w:lvl>
  </w:abstractNum>
  <w:abstractNum w:abstractNumId="6">
    <w:nsid w:val="79C14AB6"/>
    <w:multiLevelType w:val="singleLevel"/>
    <w:tmpl w:val="79C14AB6"/>
    <w:lvl w:ilvl="0" w:tentative="0">
      <w:start w:val="2"/>
      <w:numFmt w:val="decimal"/>
      <w:suff w:val="nothing"/>
      <w:lvlText w:val="%1、"/>
      <w:lvlJc w:val="left"/>
    </w:lvl>
  </w:abstractNum>
  <w:num w:numId="1">
    <w:abstractNumId w:val="6"/>
  </w:num>
  <w:num w:numId="2">
    <w:abstractNumId w:val="2"/>
  </w:num>
  <w:num w:numId="3">
    <w:abstractNumId w:val="0"/>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00172A27"/>
    <w:rsid w:val="00044A6F"/>
    <w:rsid w:val="0005678D"/>
    <w:rsid w:val="000E6515"/>
    <w:rsid w:val="002E5BEA"/>
    <w:rsid w:val="00321A7D"/>
    <w:rsid w:val="00321D53"/>
    <w:rsid w:val="003729E8"/>
    <w:rsid w:val="0037520D"/>
    <w:rsid w:val="0039685B"/>
    <w:rsid w:val="00413ECE"/>
    <w:rsid w:val="00427B79"/>
    <w:rsid w:val="00450E24"/>
    <w:rsid w:val="004D25FA"/>
    <w:rsid w:val="00503E0B"/>
    <w:rsid w:val="0053380B"/>
    <w:rsid w:val="005338BA"/>
    <w:rsid w:val="0058750D"/>
    <w:rsid w:val="00650A76"/>
    <w:rsid w:val="00814795"/>
    <w:rsid w:val="00844A14"/>
    <w:rsid w:val="009A13B3"/>
    <w:rsid w:val="009D69F8"/>
    <w:rsid w:val="00A04E84"/>
    <w:rsid w:val="00A6529F"/>
    <w:rsid w:val="00A73344"/>
    <w:rsid w:val="00AB1812"/>
    <w:rsid w:val="00C26023"/>
    <w:rsid w:val="00C51FC6"/>
    <w:rsid w:val="00C66338"/>
    <w:rsid w:val="00D27F9D"/>
    <w:rsid w:val="00D56CAE"/>
    <w:rsid w:val="00D83FAA"/>
    <w:rsid w:val="00E00ABA"/>
    <w:rsid w:val="00EC5CB3"/>
    <w:rsid w:val="00F15FDA"/>
    <w:rsid w:val="00F47AB6"/>
    <w:rsid w:val="013F6A3F"/>
    <w:rsid w:val="0187342F"/>
    <w:rsid w:val="019458FC"/>
    <w:rsid w:val="01AF5B29"/>
    <w:rsid w:val="01CD3481"/>
    <w:rsid w:val="01DF6DD4"/>
    <w:rsid w:val="01F47CAA"/>
    <w:rsid w:val="02741985"/>
    <w:rsid w:val="0285780A"/>
    <w:rsid w:val="02867489"/>
    <w:rsid w:val="029C0550"/>
    <w:rsid w:val="02D42854"/>
    <w:rsid w:val="031D0912"/>
    <w:rsid w:val="033330AB"/>
    <w:rsid w:val="03501AFF"/>
    <w:rsid w:val="038906D8"/>
    <w:rsid w:val="03B4351B"/>
    <w:rsid w:val="03C02B97"/>
    <w:rsid w:val="03DE5A5A"/>
    <w:rsid w:val="03E25E27"/>
    <w:rsid w:val="03F704D6"/>
    <w:rsid w:val="03FA0D0C"/>
    <w:rsid w:val="04667ED5"/>
    <w:rsid w:val="04B12888"/>
    <w:rsid w:val="04E86B91"/>
    <w:rsid w:val="053D408C"/>
    <w:rsid w:val="059960DD"/>
    <w:rsid w:val="05BA04AD"/>
    <w:rsid w:val="05E355AA"/>
    <w:rsid w:val="05E76565"/>
    <w:rsid w:val="05F23A3F"/>
    <w:rsid w:val="06090B0F"/>
    <w:rsid w:val="06B16D08"/>
    <w:rsid w:val="06DB43AB"/>
    <w:rsid w:val="06DF1FF2"/>
    <w:rsid w:val="06F40E6F"/>
    <w:rsid w:val="06F757B1"/>
    <w:rsid w:val="070C5F99"/>
    <w:rsid w:val="074B1659"/>
    <w:rsid w:val="074F14C2"/>
    <w:rsid w:val="077C0FA1"/>
    <w:rsid w:val="078821A4"/>
    <w:rsid w:val="079365F1"/>
    <w:rsid w:val="07AA33EC"/>
    <w:rsid w:val="07D727EF"/>
    <w:rsid w:val="082258E7"/>
    <w:rsid w:val="0842466F"/>
    <w:rsid w:val="085F63D7"/>
    <w:rsid w:val="08CA47FF"/>
    <w:rsid w:val="08DD4095"/>
    <w:rsid w:val="09072660"/>
    <w:rsid w:val="091E202E"/>
    <w:rsid w:val="093404FF"/>
    <w:rsid w:val="094F49C4"/>
    <w:rsid w:val="09857DB9"/>
    <w:rsid w:val="09995B5E"/>
    <w:rsid w:val="09BB602A"/>
    <w:rsid w:val="0A121423"/>
    <w:rsid w:val="0A1B17B6"/>
    <w:rsid w:val="0A445538"/>
    <w:rsid w:val="0A4505E1"/>
    <w:rsid w:val="0A4E61DE"/>
    <w:rsid w:val="0A640A93"/>
    <w:rsid w:val="0A787B6E"/>
    <w:rsid w:val="0A823A0A"/>
    <w:rsid w:val="0A976649"/>
    <w:rsid w:val="0AB609AA"/>
    <w:rsid w:val="0AE353FC"/>
    <w:rsid w:val="0AFA5870"/>
    <w:rsid w:val="0B290993"/>
    <w:rsid w:val="0B342FD1"/>
    <w:rsid w:val="0B676B2C"/>
    <w:rsid w:val="0B954E1C"/>
    <w:rsid w:val="0BC0345C"/>
    <w:rsid w:val="0BC455EF"/>
    <w:rsid w:val="0BC652D6"/>
    <w:rsid w:val="0BCC2E43"/>
    <w:rsid w:val="0BDC63A6"/>
    <w:rsid w:val="0BFE4924"/>
    <w:rsid w:val="0C3B0529"/>
    <w:rsid w:val="0C41095A"/>
    <w:rsid w:val="0C441ACF"/>
    <w:rsid w:val="0C4F1BEB"/>
    <w:rsid w:val="0C6F7F22"/>
    <w:rsid w:val="0D034B7E"/>
    <w:rsid w:val="0D0E5220"/>
    <w:rsid w:val="0D441AA6"/>
    <w:rsid w:val="0D4B46EA"/>
    <w:rsid w:val="0D644858"/>
    <w:rsid w:val="0D80136C"/>
    <w:rsid w:val="0D8B6C53"/>
    <w:rsid w:val="0DEA18E9"/>
    <w:rsid w:val="0E4F132D"/>
    <w:rsid w:val="0E5E4B89"/>
    <w:rsid w:val="0E8306BB"/>
    <w:rsid w:val="0E874952"/>
    <w:rsid w:val="0E997C87"/>
    <w:rsid w:val="0EE33677"/>
    <w:rsid w:val="0F2C0F52"/>
    <w:rsid w:val="0F837B42"/>
    <w:rsid w:val="0F9465A6"/>
    <w:rsid w:val="0FAF04D4"/>
    <w:rsid w:val="0FB42852"/>
    <w:rsid w:val="0FD96CA6"/>
    <w:rsid w:val="0FF012CD"/>
    <w:rsid w:val="0FF177D9"/>
    <w:rsid w:val="10004D36"/>
    <w:rsid w:val="10010DE7"/>
    <w:rsid w:val="102726F1"/>
    <w:rsid w:val="103F3196"/>
    <w:rsid w:val="104906FF"/>
    <w:rsid w:val="105F436F"/>
    <w:rsid w:val="107A6B0B"/>
    <w:rsid w:val="11090B78"/>
    <w:rsid w:val="11553E35"/>
    <w:rsid w:val="11863596"/>
    <w:rsid w:val="1197256F"/>
    <w:rsid w:val="11BD7637"/>
    <w:rsid w:val="11CA4CAB"/>
    <w:rsid w:val="11D335AC"/>
    <w:rsid w:val="11E66435"/>
    <w:rsid w:val="125F430E"/>
    <w:rsid w:val="12D24667"/>
    <w:rsid w:val="12E1680A"/>
    <w:rsid w:val="136A4D79"/>
    <w:rsid w:val="139B1544"/>
    <w:rsid w:val="13BA21F9"/>
    <w:rsid w:val="13CF17CA"/>
    <w:rsid w:val="13E51540"/>
    <w:rsid w:val="143053A8"/>
    <w:rsid w:val="143E280E"/>
    <w:rsid w:val="147B6C4E"/>
    <w:rsid w:val="14951D83"/>
    <w:rsid w:val="14AA6970"/>
    <w:rsid w:val="14BD72F0"/>
    <w:rsid w:val="14D069A0"/>
    <w:rsid w:val="15293D99"/>
    <w:rsid w:val="15577521"/>
    <w:rsid w:val="156C504B"/>
    <w:rsid w:val="15725583"/>
    <w:rsid w:val="159008BC"/>
    <w:rsid w:val="159B7358"/>
    <w:rsid w:val="159F14ED"/>
    <w:rsid w:val="15BB0422"/>
    <w:rsid w:val="15E218CA"/>
    <w:rsid w:val="15F616AD"/>
    <w:rsid w:val="160F5935"/>
    <w:rsid w:val="163745A7"/>
    <w:rsid w:val="164068AD"/>
    <w:rsid w:val="16584E40"/>
    <w:rsid w:val="169734DD"/>
    <w:rsid w:val="16BA5622"/>
    <w:rsid w:val="172B5F8A"/>
    <w:rsid w:val="17494CAD"/>
    <w:rsid w:val="177A53E6"/>
    <w:rsid w:val="17A33B59"/>
    <w:rsid w:val="17A96A9A"/>
    <w:rsid w:val="17AA0EB7"/>
    <w:rsid w:val="17D66B97"/>
    <w:rsid w:val="17E83F05"/>
    <w:rsid w:val="1803270E"/>
    <w:rsid w:val="1823063E"/>
    <w:rsid w:val="183E7CA2"/>
    <w:rsid w:val="18B51028"/>
    <w:rsid w:val="18BD2E29"/>
    <w:rsid w:val="19740D51"/>
    <w:rsid w:val="19A4054D"/>
    <w:rsid w:val="19B61163"/>
    <w:rsid w:val="1A0033C6"/>
    <w:rsid w:val="1A172ED1"/>
    <w:rsid w:val="1A4049A4"/>
    <w:rsid w:val="1A7613D3"/>
    <w:rsid w:val="1A775AAE"/>
    <w:rsid w:val="1AD37983"/>
    <w:rsid w:val="1AE21B8B"/>
    <w:rsid w:val="1AEC413F"/>
    <w:rsid w:val="1B6F3710"/>
    <w:rsid w:val="1B723200"/>
    <w:rsid w:val="1B7770EC"/>
    <w:rsid w:val="1B966EEF"/>
    <w:rsid w:val="1C0320AA"/>
    <w:rsid w:val="1C036AA0"/>
    <w:rsid w:val="1C0A1546"/>
    <w:rsid w:val="1C2D39A5"/>
    <w:rsid w:val="1C6655B3"/>
    <w:rsid w:val="1C865E96"/>
    <w:rsid w:val="1C8C54EF"/>
    <w:rsid w:val="1C951932"/>
    <w:rsid w:val="1CA07D99"/>
    <w:rsid w:val="1CC951DA"/>
    <w:rsid w:val="1CD7348F"/>
    <w:rsid w:val="1CDE6A47"/>
    <w:rsid w:val="1D1D2C4C"/>
    <w:rsid w:val="1D332EDA"/>
    <w:rsid w:val="1D70551D"/>
    <w:rsid w:val="1D73737C"/>
    <w:rsid w:val="1D8213E1"/>
    <w:rsid w:val="1DBA5CB2"/>
    <w:rsid w:val="1E4C1F44"/>
    <w:rsid w:val="1EE41BE5"/>
    <w:rsid w:val="1EF25D0C"/>
    <w:rsid w:val="1EF54DB0"/>
    <w:rsid w:val="1F0157C7"/>
    <w:rsid w:val="1F512260"/>
    <w:rsid w:val="1F661774"/>
    <w:rsid w:val="1F6733B3"/>
    <w:rsid w:val="1F6D6E87"/>
    <w:rsid w:val="1FD33696"/>
    <w:rsid w:val="1FD94DF1"/>
    <w:rsid w:val="1FDF204D"/>
    <w:rsid w:val="1FE3568E"/>
    <w:rsid w:val="1FF1297D"/>
    <w:rsid w:val="202B0A6C"/>
    <w:rsid w:val="20363E81"/>
    <w:rsid w:val="204B1E62"/>
    <w:rsid w:val="205659AB"/>
    <w:rsid w:val="207571B4"/>
    <w:rsid w:val="20823833"/>
    <w:rsid w:val="2100305C"/>
    <w:rsid w:val="21204254"/>
    <w:rsid w:val="21335582"/>
    <w:rsid w:val="21357883"/>
    <w:rsid w:val="21556359"/>
    <w:rsid w:val="217A53FA"/>
    <w:rsid w:val="21A51984"/>
    <w:rsid w:val="21AC72F4"/>
    <w:rsid w:val="21DE15EF"/>
    <w:rsid w:val="220D1C78"/>
    <w:rsid w:val="223F4C5A"/>
    <w:rsid w:val="22482FBA"/>
    <w:rsid w:val="225C277B"/>
    <w:rsid w:val="22677489"/>
    <w:rsid w:val="226C08E6"/>
    <w:rsid w:val="229C6CD6"/>
    <w:rsid w:val="22A50907"/>
    <w:rsid w:val="22A94D80"/>
    <w:rsid w:val="22C17560"/>
    <w:rsid w:val="22C55FC4"/>
    <w:rsid w:val="2306536E"/>
    <w:rsid w:val="236029D8"/>
    <w:rsid w:val="23710B6E"/>
    <w:rsid w:val="2375510B"/>
    <w:rsid w:val="23953990"/>
    <w:rsid w:val="239D7DE5"/>
    <w:rsid w:val="23F41377"/>
    <w:rsid w:val="23F8650F"/>
    <w:rsid w:val="24183F9D"/>
    <w:rsid w:val="247E6772"/>
    <w:rsid w:val="24993867"/>
    <w:rsid w:val="24C37A93"/>
    <w:rsid w:val="24CD63C1"/>
    <w:rsid w:val="24D32F62"/>
    <w:rsid w:val="24E14767"/>
    <w:rsid w:val="250F2633"/>
    <w:rsid w:val="251A6F7C"/>
    <w:rsid w:val="259E5AB0"/>
    <w:rsid w:val="25B712EC"/>
    <w:rsid w:val="25B95C0C"/>
    <w:rsid w:val="260F6C7E"/>
    <w:rsid w:val="26215F4F"/>
    <w:rsid w:val="26225F18"/>
    <w:rsid w:val="26245F54"/>
    <w:rsid w:val="262C63CC"/>
    <w:rsid w:val="263112BB"/>
    <w:rsid w:val="265C4F46"/>
    <w:rsid w:val="2677791D"/>
    <w:rsid w:val="26A01AA9"/>
    <w:rsid w:val="26B03931"/>
    <w:rsid w:val="26BB1FF1"/>
    <w:rsid w:val="26E27407"/>
    <w:rsid w:val="26FA5545"/>
    <w:rsid w:val="26FC1213"/>
    <w:rsid w:val="270C62F9"/>
    <w:rsid w:val="271B3BF7"/>
    <w:rsid w:val="278F6142"/>
    <w:rsid w:val="279E7167"/>
    <w:rsid w:val="27CF6D4B"/>
    <w:rsid w:val="27D52B4D"/>
    <w:rsid w:val="27E939B8"/>
    <w:rsid w:val="281F3A00"/>
    <w:rsid w:val="284B2E0F"/>
    <w:rsid w:val="284E33C0"/>
    <w:rsid w:val="28521B3F"/>
    <w:rsid w:val="28631399"/>
    <w:rsid w:val="287D2A70"/>
    <w:rsid w:val="28A5748C"/>
    <w:rsid w:val="28C12073"/>
    <w:rsid w:val="28CD2DB2"/>
    <w:rsid w:val="28D00D45"/>
    <w:rsid w:val="28DB158E"/>
    <w:rsid w:val="290B653F"/>
    <w:rsid w:val="290C0740"/>
    <w:rsid w:val="29261AD1"/>
    <w:rsid w:val="292B6BC4"/>
    <w:rsid w:val="298856C1"/>
    <w:rsid w:val="2995263D"/>
    <w:rsid w:val="29A555D9"/>
    <w:rsid w:val="29C341AD"/>
    <w:rsid w:val="29D71293"/>
    <w:rsid w:val="2A294668"/>
    <w:rsid w:val="2A346954"/>
    <w:rsid w:val="2A3F2DD1"/>
    <w:rsid w:val="2AB436B4"/>
    <w:rsid w:val="2ADD36FD"/>
    <w:rsid w:val="2AEB0E39"/>
    <w:rsid w:val="2B2E5C1D"/>
    <w:rsid w:val="2BC4275F"/>
    <w:rsid w:val="2C190227"/>
    <w:rsid w:val="2C2B3683"/>
    <w:rsid w:val="2C727FA3"/>
    <w:rsid w:val="2C7D272D"/>
    <w:rsid w:val="2CD836C3"/>
    <w:rsid w:val="2CEB4181"/>
    <w:rsid w:val="2D012636"/>
    <w:rsid w:val="2D52661D"/>
    <w:rsid w:val="2D604F93"/>
    <w:rsid w:val="2D6513A6"/>
    <w:rsid w:val="2D666F31"/>
    <w:rsid w:val="2DDA3CB1"/>
    <w:rsid w:val="2E654071"/>
    <w:rsid w:val="2E797219"/>
    <w:rsid w:val="2EA76AF4"/>
    <w:rsid w:val="2EE64167"/>
    <w:rsid w:val="2EFB7F58"/>
    <w:rsid w:val="2F373749"/>
    <w:rsid w:val="2F377F7C"/>
    <w:rsid w:val="2F64267C"/>
    <w:rsid w:val="2FA8088A"/>
    <w:rsid w:val="2FCE5693"/>
    <w:rsid w:val="2FDD442C"/>
    <w:rsid w:val="307B16FA"/>
    <w:rsid w:val="309B36BC"/>
    <w:rsid w:val="30DB5C7B"/>
    <w:rsid w:val="30E23DC5"/>
    <w:rsid w:val="31035C56"/>
    <w:rsid w:val="31114EC0"/>
    <w:rsid w:val="311C3667"/>
    <w:rsid w:val="314D7BF8"/>
    <w:rsid w:val="316B37B5"/>
    <w:rsid w:val="31D45F4D"/>
    <w:rsid w:val="31DD5894"/>
    <w:rsid w:val="31EB5FFC"/>
    <w:rsid w:val="32143444"/>
    <w:rsid w:val="324A708E"/>
    <w:rsid w:val="32801CF7"/>
    <w:rsid w:val="32B276A1"/>
    <w:rsid w:val="32DB7BFE"/>
    <w:rsid w:val="33146233"/>
    <w:rsid w:val="331D6DD3"/>
    <w:rsid w:val="332A5E5B"/>
    <w:rsid w:val="33316E3C"/>
    <w:rsid w:val="33356B95"/>
    <w:rsid w:val="33411DEB"/>
    <w:rsid w:val="33420DDF"/>
    <w:rsid w:val="3359561A"/>
    <w:rsid w:val="33666447"/>
    <w:rsid w:val="338B0EAB"/>
    <w:rsid w:val="33A250D6"/>
    <w:rsid w:val="33DC1F41"/>
    <w:rsid w:val="33F40F8B"/>
    <w:rsid w:val="34103B5F"/>
    <w:rsid w:val="341778C5"/>
    <w:rsid w:val="344D6EC0"/>
    <w:rsid w:val="34963664"/>
    <w:rsid w:val="34A86D72"/>
    <w:rsid w:val="34B17183"/>
    <w:rsid w:val="34D6300D"/>
    <w:rsid w:val="35057219"/>
    <w:rsid w:val="353D620E"/>
    <w:rsid w:val="3550415A"/>
    <w:rsid w:val="35635C3C"/>
    <w:rsid w:val="35847960"/>
    <w:rsid w:val="358B173E"/>
    <w:rsid w:val="35A247DB"/>
    <w:rsid w:val="35BA3691"/>
    <w:rsid w:val="35C37D48"/>
    <w:rsid w:val="35D75175"/>
    <w:rsid w:val="35EC49EF"/>
    <w:rsid w:val="361D6035"/>
    <w:rsid w:val="3628373B"/>
    <w:rsid w:val="362D1DA6"/>
    <w:rsid w:val="363F405B"/>
    <w:rsid w:val="368D612F"/>
    <w:rsid w:val="3692657F"/>
    <w:rsid w:val="36D55B1E"/>
    <w:rsid w:val="36DB7701"/>
    <w:rsid w:val="36E13739"/>
    <w:rsid w:val="36EF067F"/>
    <w:rsid w:val="37136937"/>
    <w:rsid w:val="372238D5"/>
    <w:rsid w:val="3748171B"/>
    <w:rsid w:val="37A03870"/>
    <w:rsid w:val="37B314BD"/>
    <w:rsid w:val="37B45F96"/>
    <w:rsid w:val="37B6229D"/>
    <w:rsid w:val="37CE368F"/>
    <w:rsid w:val="37D43D23"/>
    <w:rsid w:val="38242FE6"/>
    <w:rsid w:val="38286CC9"/>
    <w:rsid w:val="384C6E5B"/>
    <w:rsid w:val="38636220"/>
    <w:rsid w:val="389A6F50"/>
    <w:rsid w:val="389C1D05"/>
    <w:rsid w:val="38A075FB"/>
    <w:rsid w:val="38C1763C"/>
    <w:rsid w:val="38C43E10"/>
    <w:rsid w:val="38F71F8E"/>
    <w:rsid w:val="392F14CD"/>
    <w:rsid w:val="39382F3B"/>
    <w:rsid w:val="393A7027"/>
    <w:rsid w:val="39633C00"/>
    <w:rsid w:val="397D5F8B"/>
    <w:rsid w:val="39DA0497"/>
    <w:rsid w:val="3A23599A"/>
    <w:rsid w:val="3A574DC9"/>
    <w:rsid w:val="3A736194"/>
    <w:rsid w:val="3AF26F94"/>
    <w:rsid w:val="3AF8527C"/>
    <w:rsid w:val="3B4D49FD"/>
    <w:rsid w:val="3B6072A0"/>
    <w:rsid w:val="3B8C1506"/>
    <w:rsid w:val="3BA46004"/>
    <w:rsid w:val="3BE05CB2"/>
    <w:rsid w:val="3BE55007"/>
    <w:rsid w:val="3C187054"/>
    <w:rsid w:val="3C291536"/>
    <w:rsid w:val="3C4251A1"/>
    <w:rsid w:val="3C46654F"/>
    <w:rsid w:val="3C836F40"/>
    <w:rsid w:val="3C85592A"/>
    <w:rsid w:val="3C8D359E"/>
    <w:rsid w:val="3CDA6E78"/>
    <w:rsid w:val="3CDE2086"/>
    <w:rsid w:val="3CEA4A05"/>
    <w:rsid w:val="3CF43D03"/>
    <w:rsid w:val="3CF92920"/>
    <w:rsid w:val="3D1E069A"/>
    <w:rsid w:val="3D424389"/>
    <w:rsid w:val="3D435F50"/>
    <w:rsid w:val="3D7B5A33"/>
    <w:rsid w:val="3D9848F1"/>
    <w:rsid w:val="3DAC7512"/>
    <w:rsid w:val="3DEB4A20"/>
    <w:rsid w:val="3E06111A"/>
    <w:rsid w:val="3E496CD2"/>
    <w:rsid w:val="3E6E0AC3"/>
    <w:rsid w:val="3EA76CBC"/>
    <w:rsid w:val="3EBC7C68"/>
    <w:rsid w:val="3ECF2045"/>
    <w:rsid w:val="3F27354A"/>
    <w:rsid w:val="3F2A77CA"/>
    <w:rsid w:val="3F370D16"/>
    <w:rsid w:val="3FA04D9F"/>
    <w:rsid w:val="3FDA33A4"/>
    <w:rsid w:val="3FDE5C0F"/>
    <w:rsid w:val="40002E01"/>
    <w:rsid w:val="40056AEA"/>
    <w:rsid w:val="40644C21"/>
    <w:rsid w:val="4066556A"/>
    <w:rsid w:val="40740BE5"/>
    <w:rsid w:val="408A2019"/>
    <w:rsid w:val="40C547D3"/>
    <w:rsid w:val="40D13B0F"/>
    <w:rsid w:val="40D64BC0"/>
    <w:rsid w:val="411C63AB"/>
    <w:rsid w:val="41585ED5"/>
    <w:rsid w:val="41913F38"/>
    <w:rsid w:val="41F145CF"/>
    <w:rsid w:val="41FC16D4"/>
    <w:rsid w:val="42061075"/>
    <w:rsid w:val="42063766"/>
    <w:rsid w:val="428F4DA0"/>
    <w:rsid w:val="42955237"/>
    <w:rsid w:val="42BE27E0"/>
    <w:rsid w:val="42E4108B"/>
    <w:rsid w:val="43544E16"/>
    <w:rsid w:val="43671840"/>
    <w:rsid w:val="436C26FD"/>
    <w:rsid w:val="437D77AA"/>
    <w:rsid w:val="43B73F1A"/>
    <w:rsid w:val="43DF3DCC"/>
    <w:rsid w:val="43E639BC"/>
    <w:rsid w:val="44091C54"/>
    <w:rsid w:val="44653FFB"/>
    <w:rsid w:val="44D954DF"/>
    <w:rsid w:val="452A64EC"/>
    <w:rsid w:val="453B64C0"/>
    <w:rsid w:val="454022F6"/>
    <w:rsid w:val="4549532C"/>
    <w:rsid w:val="454D0E01"/>
    <w:rsid w:val="45C0050B"/>
    <w:rsid w:val="45CD4445"/>
    <w:rsid w:val="46024367"/>
    <w:rsid w:val="46172F63"/>
    <w:rsid w:val="4632714C"/>
    <w:rsid w:val="463B7939"/>
    <w:rsid w:val="46733F07"/>
    <w:rsid w:val="46827CF1"/>
    <w:rsid w:val="46CB538E"/>
    <w:rsid w:val="46E159EF"/>
    <w:rsid w:val="46EF3383"/>
    <w:rsid w:val="46FF5CE4"/>
    <w:rsid w:val="475278BE"/>
    <w:rsid w:val="475A6773"/>
    <w:rsid w:val="47780476"/>
    <w:rsid w:val="47857C94"/>
    <w:rsid w:val="47B769CD"/>
    <w:rsid w:val="47F7034D"/>
    <w:rsid w:val="481E33C9"/>
    <w:rsid w:val="48387BE3"/>
    <w:rsid w:val="48444974"/>
    <w:rsid w:val="484F4BC2"/>
    <w:rsid w:val="4877361E"/>
    <w:rsid w:val="487E290D"/>
    <w:rsid w:val="488B752C"/>
    <w:rsid w:val="48F62ACC"/>
    <w:rsid w:val="490746D8"/>
    <w:rsid w:val="491C33EE"/>
    <w:rsid w:val="495335E7"/>
    <w:rsid w:val="496417E9"/>
    <w:rsid w:val="49814250"/>
    <w:rsid w:val="49872373"/>
    <w:rsid w:val="499122C4"/>
    <w:rsid w:val="49997594"/>
    <w:rsid w:val="49B75465"/>
    <w:rsid w:val="49BE56DF"/>
    <w:rsid w:val="49CF2AF7"/>
    <w:rsid w:val="49F86C6D"/>
    <w:rsid w:val="4A0550BC"/>
    <w:rsid w:val="4A0F00F0"/>
    <w:rsid w:val="4A1B580D"/>
    <w:rsid w:val="4A4138CD"/>
    <w:rsid w:val="4A5021E3"/>
    <w:rsid w:val="4A604C96"/>
    <w:rsid w:val="4A781C26"/>
    <w:rsid w:val="4AB11D99"/>
    <w:rsid w:val="4AF137FC"/>
    <w:rsid w:val="4AF255B7"/>
    <w:rsid w:val="4B1C090F"/>
    <w:rsid w:val="4B2C1B2A"/>
    <w:rsid w:val="4B3935F3"/>
    <w:rsid w:val="4B5E7428"/>
    <w:rsid w:val="4B676292"/>
    <w:rsid w:val="4B9646E8"/>
    <w:rsid w:val="4BA742D1"/>
    <w:rsid w:val="4BBF08AD"/>
    <w:rsid w:val="4BF56DD6"/>
    <w:rsid w:val="4C1D7F69"/>
    <w:rsid w:val="4C4874E2"/>
    <w:rsid w:val="4C620054"/>
    <w:rsid w:val="4C7C1AA1"/>
    <w:rsid w:val="4C8845BD"/>
    <w:rsid w:val="4CA168B0"/>
    <w:rsid w:val="4CA371B7"/>
    <w:rsid w:val="4CBB2749"/>
    <w:rsid w:val="4CBC4EB3"/>
    <w:rsid w:val="4CBD3B96"/>
    <w:rsid w:val="4CDE25B1"/>
    <w:rsid w:val="4D201A3E"/>
    <w:rsid w:val="4D3F7C3D"/>
    <w:rsid w:val="4D4D1601"/>
    <w:rsid w:val="4D586ABB"/>
    <w:rsid w:val="4D7C18A8"/>
    <w:rsid w:val="4DB420C6"/>
    <w:rsid w:val="4DD43B9D"/>
    <w:rsid w:val="4E4D3CD5"/>
    <w:rsid w:val="4E606D65"/>
    <w:rsid w:val="4E62051F"/>
    <w:rsid w:val="4E74636C"/>
    <w:rsid w:val="4EA053B3"/>
    <w:rsid w:val="4EC221C4"/>
    <w:rsid w:val="4EE83D74"/>
    <w:rsid w:val="4EE94FAC"/>
    <w:rsid w:val="4EF4135C"/>
    <w:rsid w:val="4F1335E9"/>
    <w:rsid w:val="4F19042A"/>
    <w:rsid w:val="4F1A7D2D"/>
    <w:rsid w:val="4F20650C"/>
    <w:rsid w:val="4F596D5F"/>
    <w:rsid w:val="4F6939F7"/>
    <w:rsid w:val="4F883BB0"/>
    <w:rsid w:val="4FA669F9"/>
    <w:rsid w:val="4FC3739E"/>
    <w:rsid w:val="4FD45920"/>
    <w:rsid w:val="4FF97EA7"/>
    <w:rsid w:val="5017120F"/>
    <w:rsid w:val="50396271"/>
    <w:rsid w:val="505A3CEE"/>
    <w:rsid w:val="50813F75"/>
    <w:rsid w:val="508F4E18"/>
    <w:rsid w:val="50F535E4"/>
    <w:rsid w:val="515B4BCA"/>
    <w:rsid w:val="519726AE"/>
    <w:rsid w:val="51990C27"/>
    <w:rsid w:val="51D059C9"/>
    <w:rsid w:val="51DE4AD1"/>
    <w:rsid w:val="52244F60"/>
    <w:rsid w:val="52331478"/>
    <w:rsid w:val="5285349C"/>
    <w:rsid w:val="528678D9"/>
    <w:rsid w:val="529D6371"/>
    <w:rsid w:val="52DB4C31"/>
    <w:rsid w:val="530364A3"/>
    <w:rsid w:val="535D6829"/>
    <w:rsid w:val="536129EF"/>
    <w:rsid w:val="537132FC"/>
    <w:rsid w:val="539A0DDE"/>
    <w:rsid w:val="539B5300"/>
    <w:rsid w:val="53BF70EF"/>
    <w:rsid w:val="53FC0F92"/>
    <w:rsid w:val="54016992"/>
    <w:rsid w:val="540D340C"/>
    <w:rsid w:val="54545743"/>
    <w:rsid w:val="546E34BA"/>
    <w:rsid w:val="54752F2C"/>
    <w:rsid w:val="54787788"/>
    <w:rsid w:val="54792592"/>
    <w:rsid w:val="54A345C1"/>
    <w:rsid w:val="54A41D26"/>
    <w:rsid w:val="54A5707C"/>
    <w:rsid w:val="54A77A39"/>
    <w:rsid w:val="551B1443"/>
    <w:rsid w:val="553B1CBA"/>
    <w:rsid w:val="55413FAB"/>
    <w:rsid w:val="557F21C6"/>
    <w:rsid w:val="5591003B"/>
    <w:rsid w:val="55957BBE"/>
    <w:rsid w:val="55A958D9"/>
    <w:rsid w:val="55E41C38"/>
    <w:rsid w:val="55F81343"/>
    <w:rsid w:val="56026402"/>
    <w:rsid w:val="56180294"/>
    <w:rsid w:val="567322AB"/>
    <w:rsid w:val="56D9742C"/>
    <w:rsid w:val="573B4066"/>
    <w:rsid w:val="575F07A9"/>
    <w:rsid w:val="5773022A"/>
    <w:rsid w:val="57BF45E6"/>
    <w:rsid w:val="58066516"/>
    <w:rsid w:val="58243AAE"/>
    <w:rsid w:val="582B1593"/>
    <w:rsid w:val="583B0699"/>
    <w:rsid w:val="583D0BD5"/>
    <w:rsid w:val="584678A0"/>
    <w:rsid w:val="586075B5"/>
    <w:rsid w:val="5867682C"/>
    <w:rsid w:val="589715D5"/>
    <w:rsid w:val="5899437F"/>
    <w:rsid w:val="58A66E90"/>
    <w:rsid w:val="58A94B3D"/>
    <w:rsid w:val="58BD3BC3"/>
    <w:rsid w:val="58CE6FC1"/>
    <w:rsid w:val="58D0743E"/>
    <w:rsid w:val="58E46A19"/>
    <w:rsid w:val="58F12CD9"/>
    <w:rsid w:val="58FA03FD"/>
    <w:rsid w:val="591946E0"/>
    <w:rsid w:val="594956AE"/>
    <w:rsid w:val="594A1D8E"/>
    <w:rsid w:val="59AD6AE8"/>
    <w:rsid w:val="5A140798"/>
    <w:rsid w:val="5A2F57C8"/>
    <w:rsid w:val="5A345DD8"/>
    <w:rsid w:val="5A3A6841"/>
    <w:rsid w:val="5A787087"/>
    <w:rsid w:val="5A8C6A21"/>
    <w:rsid w:val="5ABD29AE"/>
    <w:rsid w:val="5AD16A74"/>
    <w:rsid w:val="5AD235E7"/>
    <w:rsid w:val="5B2F1F7F"/>
    <w:rsid w:val="5B5E462C"/>
    <w:rsid w:val="5B741465"/>
    <w:rsid w:val="5BB935F8"/>
    <w:rsid w:val="5BBD3E93"/>
    <w:rsid w:val="5BC94925"/>
    <w:rsid w:val="5C163158"/>
    <w:rsid w:val="5C29373E"/>
    <w:rsid w:val="5C3774EF"/>
    <w:rsid w:val="5C81041F"/>
    <w:rsid w:val="5C8C71E4"/>
    <w:rsid w:val="5CCE7404"/>
    <w:rsid w:val="5D14332F"/>
    <w:rsid w:val="5D212606"/>
    <w:rsid w:val="5D582CA1"/>
    <w:rsid w:val="5D887568"/>
    <w:rsid w:val="5DA84F6A"/>
    <w:rsid w:val="5DDF466D"/>
    <w:rsid w:val="5DE46C08"/>
    <w:rsid w:val="5E041067"/>
    <w:rsid w:val="5E061C34"/>
    <w:rsid w:val="5E554B4E"/>
    <w:rsid w:val="5E65558D"/>
    <w:rsid w:val="5E6D0792"/>
    <w:rsid w:val="5E7A120A"/>
    <w:rsid w:val="5E854A36"/>
    <w:rsid w:val="5EB02BD9"/>
    <w:rsid w:val="5EB32EE1"/>
    <w:rsid w:val="5EDC1CD3"/>
    <w:rsid w:val="5EDD41BC"/>
    <w:rsid w:val="5EDE564F"/>
    <w:rsid w:val="5EFE2C1C"/>
    <w:rsid w:val="5F0333E3"/>
    <w:rsid w:val="5F0F64F1"/>
    <w:rsid w:val="5F1622D7"/>
    <w:rsid w:val="5F1A2B21"/>
    <w:rsid w:val="5F257D99"/>
    <w:rsid w:val="5F2F5331"/>
    <w:rsid w:val="5F315EA9"/>
    <w:rsid w:val="5F7162D6"/>
    <w:rsid w:val="5F73082E"/>
    <w:rsid w:val="5F78797B"/>
    <w:rsid w:val="5F797C86"/>
    <w:rsid w:val="5F7F56EE"/>
    <w:rsid w:val="5F824661"/>
    <w:rsid w:val="5FAD78B7"/>
    <w:rsid w:val="5FAE1C26"/>
    <w:rsid w:val="5FD527BD"/>
    <w:rsid w:val="5FF4446A"/>
    <w:rsid w:val="602C33F6"/>
    <w:rsid w:val="603743C0"/>
    <w:rsid w:val="605D6959"/>
    <w:rsid w:val="60A06E06"/>
    <w:rsid w:val="60A122D8"/>
    <w:rsid w:val="60A46F85"/>
    <w:rsid w:val="60DD2504"/>
    <w:rsid w:val="60FA20B6"/>
    <w:rsid w:val="61057872"/>
    <w:rsid w:val="613E3746"/>
    <w:rsid w:val="615829B6"/>
    <w:rsid w:val="61E57333"/>
    <w:rsid w:val="625149F1"/>
    <w:rsid w:val="627944CE"/>
    <w:rsid w:val="6286206E"/>
    <w:rsid w:val="62970423"/>
    <w:rsid w:val="62A06C0B"/>
    <w:rsid w:val="62B47227"/>
    <w:rsid w:val="62DF12B8"/>
    <w:rsid w:val="62EC079C"/>
    <w:rsid w:val="6351322C"/>
    <w:rsid w:val="635527B8"/>
    <w:rsid w:val="63A457E3"/>
    <w:rsid w:val="63AF6D8B"/>
    <w:rsid w:val="63D00091"/>
    <w:rsid w:val="63DE0202"/>
    <w:rsid w:val="64517E4C"/>
    <w:rsid w:val="645B2605"/>
    <w:rsid w:val="646A2AE3"/>
    <w:rsid w:val="64B05459"/>
    <w:rsid w:val="64B62545"/>
    <w:rsid w:val="64FA4794"/>
    <w:rsid w:val="651C45F8"/>
    <w:rsid w:val="65314431"/>
    <w:rsid w:val="653C5EF5"/>
    <w:rsid w:val="659B7A7E"/>
    <w:rsid w:val="659E327C"/>
    <w:rsid w:val="65C904C4"/>
    <w:rsid w:val="65D77797"/>
    <w:rsid w:val="65D961F3"/>
    <w:rsid w:val="65E842B1"/>
    <w:rsid w:val="660D5121"/>
    <w:rsid w:val="662155A7"/>
    <w:rsid w:val="664A73D5"/>
    <w:rsid w:val="66680A54"/>
    <w:rsid w:val="66857C7F"/>
    <w:rsid w:val="66CF1559"/>
    <w:rsid w:val="66E60BBC"/>
    <w:rsid w:val="66FC14BD"/>
    <w:rsid w:val="670649C9"/>
    <w:rsid w:val="6759039D"/>
    <w:rsid w:val="677011A4"/>
    <w:rsid w:val="67B36A9B"/>
    <w:rsid w:val="67D50076"/>
    <w:rsid w:val="67ED609E"/>
    <w:rsid w:val="67FF7A4C"/>
    <w:rsid w:val="6846275D"/>
    <w:rsid w:val="685C3CFE"/>
    <w:rsid w:val="6884565C"/>
    <w:rsid w:val="68A26C64"/>
    <w:rsid w:val="692F3C99"/>
    <w:rsid w:val="69623AA4"/>
    <w:rsid w:val="69A27DD9"/>
    <w:rsid w:val="69AB1862"/>
    <w:rsid w:val="69CE3F91"/>
    <w:rsid w:val="6A2F0F93"/>
    <w:rsid w:val="6A5512F0"/>
    <w:rsid w:val="6A5A4C82"/>
    <w:rsid w:val="6A5E315C"/>
    <w:rsid w:val="6A8D0EE2"/>
    <w:rsid w:val="6ACA7A04"/>
    <w:rsid w:val="6AD074B5"/>
    <w:rsid w:val="6AD662E8"/>
    <w:rsid w:val="6ADF3368"/>
    <w:rsid w:val="6B2241EA"/>
    <w:rsid w:val="6B541169"/>
    <w:rsid w:val="6B64651A"/>
    <w:rsid w:val="6B84623F"/>
    <w:rsid w:val="6BBA54CD"/>
    <w:rsid w:val="6BF40694"/>
    <w:rsid w:val="6BF711B4"/>
    <w:rsid w:val="6C3311BD"/>
    <w:rsid w:val="6C7F2654"/>
    <w:rsid w:val="6CAA725F"/>
    <w:rsid w:val="6CC618D1"/>
    <w:rsid w:val="6D521B17"/>
    <w:rsid w:val="6D5B76FC"/>
    <w:rsid w:val="6D7A228D"/>
    <w:rsid w:val="6D8C41DA"/>
    <w:rsid w:val="6D917808"/>
    <w:rsid w:val="6DAE51A8"/>
    <w:rsid w:val="6DC341B6"/>
    <w:rsid w:val="6DC977CD"/>
    <w:rsid w:val="6DCC3978"/>
    <w:rsid w:val="6E0730C1"/>
    <w:rsid w:val="6E1201A4"/>
    <w:rsid w:val="6E2C4084"/>
    <w:rsid w:val="6E535815"/>
    <w:rsid w:val="6E535829"/>
    <w:rsid w:val="6E5811B4"/>
    <w:rsid w:val="6E9A6BA3"/>
    <w:rsid w:val="6EC60247"/>
    <w:rsid w:val="6EEC71D7"/>
    <w:rsid w:val="6EEF60FD"/>
    <w:rsid w:val="6EF33759"/>
    <w:rsid w:val="6EF42AB9"/>
    <w:rsid w:val="6F1631A6"/>
    <w:rsid w:val="6F174DC6"/>
    <w:rsid w:val="6F181CA9"/>
    <w:rsid w:val="6F342C7F"/>
    <w:rsid w:val="6F481F70"/>
    <w:rsid w:val="6F96721F"/>
    <w:rsid w:val="6FA243A0"/>
    <w:rsid w:val="6FC347EA"/>
    <w:rsid w:val="70196485"/>
    <w:rsid w:val="703B2A65"/>
    <w:rsid w:val="704148AE"/>
    <w:rsid w:val="70547576"/>
    <w:rsid w:val="70870F19"/>
    <w:rsid w:val="709F4A6F"/>
    <w:rsid w:val="70A32C74"/>
    <w:rsid w:val="70BB63E6"/>
    <w:rsid w:val="714615CC"/>
    <w:rsid w:val="71542E05"/>
    <w:rsid w:val="716578CB"/>
    <w:rsid w:val="717C3D25"/>
    <w:rsid w:val="71877A08"/>
    <w:rsid w:val="71911372"/>
    <w:rsid w:val="71F328ED"/>
    <w:rsid w:val="71F633B8"/>
    <w:rsid w:val="722160F2"/>
    <w:rsid w:val="7249235F"/>
    <w:rsid w:val="72695E21"/>
    <w:rsid w:val="72843552"/>
    <w:rsid w:val="72977868"/>
    <w:rsid w:val="72C06094"/>
    <w:rsid w:val="72D57472"/>
    <w:rsid w:val="72D84D1C"/>
    <w:rsid w:val="72E066ED"/>
    <w:rsid w:val="73796B46"/>
    <w:rsid w:val="73D46E59"/>
    <w:rsid w:val="73DA3FDF"/>
    <w:rsid w:val="73EE6A40"/>
    <w:rsid w:val="73F14E96"/>
    <w:rsid w:val="73FC4EF9"/>
    <w:rsid w:val="74020D1E"/>
    <w:rsid w:val="74187B62"/>
    <w:rsid w:val="74877891"/>
    <w:rsid w:val="74A33DC4"/>
    <w:rsid w:val="74A61A39"/>
    <w:rsid w:val="74D632A4"/>
    <w:rsid w:val="750D1161"/>
    <w:rsid w:val="7513051D"/>
    <w:rsid w:val="7551310E"/>
    <w:rsid w:val="7554721A"/>
    <w:rsid w:val="75716E03"/>
    <w:rsid w:val="75A23AF7"/>
    <w:rsid w:val="75A84144"/>
    <w:rsid w:val="75CA3A3E"/>
    <w:rsid w:val="766C3C49"/>
    <w:rsid w:val="76753E27"/>
    <w:rsid w:val="76822F12"/>
    <w:rsid w:val="76956B5B"/>
    <w:rsid w:val="76CE4908"/>
    <w:rsid w:val="76D07D48"/>
    <w:rsid w:val="76EE071E"/>
    <w:rsid w:val="77196534"/>
    <w:rsid w:val="775123B5"/>
    <w:rsid w:val="776D5ECB"/>
    <w:rsid w:val="777127C1"/>
    <w:rsid w:val="778D61C6"/>
    <w:rsid w:val="77923E13"/>
    <w:rsid w:val="779B48D9"/>
    <w:rsid w:val="77AE4713"/>
    <w:rsid w:val="77CD0AF8"/>
    <w:rsid w:val="77E15F71"/>
    <w:rsid w:val="77F8193B"/>
    <w:rsid w:val="781D378C"/>
    <w:rsid w:val="78420AFE"/>
    <w:rsid w:val="784707E5"/>
    <w:rsid w:val="78926BDB"/>
    <w:rsid w:val="789F146C"/>
    <w:rsid w:val="78A43B3B"/>
    <w:rsid w:val="78AD0549"/>
    <w:rsid w:val="78B57177"/>
    <w:rsid w:val="79911A9B"/>
    <w:rsid w:val="79C92668"/>
    <w:rsid w:val="79DF73F2"/>
    <w:rsid w:val="79EF7ECE"/>
    <w:rsid w:val="7A3542B1"/>
    <w:rsid w:val="7A587845"/>
    <w:rsid w:val="7A590988"/>
    <w:rsid w:val="7A703241"/>
    <w:rsid w:val="7A895ED3"/>
    <w:rsid w:val="7ADA7929"/>
    <w:rsid w:val="7AED3C9A"/>
    <w:rsid w:val="7B1106F4"/>
    <w:rsid w:val="7B1664C9"/>
    <w:rsid w:val="7B391059"/>
    <w:rsid w:val="7B76372B"/>
    <w:rsid w:val="7B7F18A6"/>
    <w:rsid w:val="7BB75966"/>
    <w:rsid w:val="7BBA7D4F"/>
    <w:rsid w:val="7BE91898"/>
    <w:rsid w:val="7BFB6CE1"/>
    <w:rsid w:val="7C211AB5"/>
    <w:rsid w:val="7C4F2C2D"/>
    <w:rsid w:val="7C6158D2"/>
    <w:rsid w:val="7C62370D"/>
    <w:rsid w:val="7C6D064E"/>
    <w:rsid w:val="7C6E0A31"/>
    <w:rsid w:val="7C7713DB"/>
    <w:rsid w:val="7C931E91"/>
    <w:rsid w:val="7C9B0F86"/>
    <w:rsid w:val="7CA6331D"/>
    <w:rsid w:val="7CA81753"/>
    <w:rsid w:val="7CE10630"/>
    <w:rsid w:val="7CE4771D"/>
    <w:rsid w:val="7CE76B2A"/>
    <w:rsid w:val="7D191C04"/>
    <w:rsid w:val="7D2F16E9"/>
    <w:rsid w:val="7D4B5988"/>
    <w:rsid w:val="7D4F193E"/>
    <w:rsid w:val="7D5D253D"/>
    <w:rsid w:val="7D5D55AF"/>
    <w:rsid w:val="7D664E2A"/>
    <w:rsid w:val="7DB25EDF"/>
    <w:rsid w:val="7DC76379"/>
    <w:rsid w:val="7E4629F8"/>
    <w:rsid w:val="7E5D031B"/>
    <w:rsid w:val="7E91408F"/>
    <w:rsid w:val="7E9D4EA1"/>
    <w:rsid w:val="7EA7622E"/>
    <w:rsid w:val="7EB17464"/>
    <w:rsid w:val="7EC8772A"/>
    <w:rsid w:val="7F030EC3"/>
    <w:rsid w:val="7F213B20"/>
    <w:rsid w:val="7F642801"/>
    <w:rsid w:val="7F647F5B"/>
    <w:rsid w:val="7FC53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5">
    <w:name w:val="heading 1"/>
    <w:basedOn w:val="1"/>
    <w:next w:val="1"/>
    <w:qFormat/>
    <w:uiPriority w:val="0"/>
    <w:pPr>
      <w:keepNext/>
      <w:keepLines/>
      <w:ind w:firstLine="0" w:firstLineChars="0"/>
      <w:outlineLvl w:val="0"/>
    </w:pPr>
    <w:rPr>
      <w:b/>
      <w:bCs/>
      <w:kern w:val="44"/>
      <w:sz w:val="30"/>
      <w:szCs w:val="44"/>
    </w:rPr>
  </w:style>
  <w:style w:type="paragraph" w:styleId="6">
    <w:name w:val="heading 2"/>
    <w:basedOn w:val="1"/>
    <w:next w:val="1"/>
    <w:qFormat/>
    <w:uiPriority w:val="0"/>
    <w:pPr>
      <w:keepNext/>
      <w:keepLines/>
      <w:widowControl w:val="0"/>
      <w:ind w:firstLine="0" w:firstLineChars="0"/>
      <w:jc w:val="both"/>
      <w:outlineLvl w:val="1"/>
    </w:pPr>
    <w:rPr>
      <w:rFonts w:ascii="Times New Roman" w:hAnsi="Times New Roman" w:eastAsia="宋体" w:cs="Times New Roman"/>
      <w:b/>
      <w:kern w:val="2"/>
      <w:sz w:val="30"/>
      <w:szCs w:val="24"/>
      <w:lang w:val="en-US" w:eastAsia="zh-CN" w:bidi="ar-SA"/>
    </w:rPr>
  </w:style>
  <w:style w:type="paragraph" w:styleId="7">
    <w:name w:val="heading 3"/>
    <w:basedOn w:val="1"/>
    <w:next w:val="1"/>
    <w:qFormat/>
    <w:uiPriority w:val="0"/>
    <w:pPr>
      <w:keepNext/>
      <w:keepLines/>
      <w:spacing w:before="93" w:beforeLines="30" w:after="93" w:afterLines="30"/>
      <w:ind w:firstLine="100" w:firstLineChars="100"/>
      <w:outlineLvl w:val="2"/>
    </w:pPr>
    <w:rPr>
      <w:rFonts w:eastAsia="楷体_GB2312"/>
      <w:b/>
      <w:bCs/>
      <w:sz w:val="28"/>
      <w:szCs w:val="32"/>
    </w:rPr>
  </w:style>
  <w:style w:type="paragraph" w:styleId="8">
    <w:name w:val="heading 4"/>
    <w:basedOn w:val="1"/>
    <w:next w:val="9"/>
    <w:qFormat/>
    <w:uiPriority w:val="0"/>
    <w:pPr>
      <w:keepNext/>
      <w:spacing w:before="50" w:beforeLines="50" w:after="50" w:afterLines="50"/>
      <w:outlineLvl w:val="3"/>
    </w:pPr>
    <w:rPr>
      <w:rFonts w:ascii="黑体" w:hAnsi="Courier New" w:eastAsia="黑体" w:cs="Courier New"/>
      <w:bCs/>
      <w:kern w:val="44"/>
      <w:szCs w:val="21"/>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widowControl w:val="0"/>
      <w:adjustRightInd/>
      <w:snapToGrid/>
      <w:spacing w:line="240" w:lineRule="auto"/>
      <w:ind w:firstLine="420" w:firstLineChars="100"/>
    </w:pPr>
    <w:rPr>
      <w:sz w:val="21"/>
    </w:rPr>
  </w:style>
  <w:style w:type="paragraph" w:styleId="3">
    <w:name w:val="Body Text"/>
    <w:basedOn w:val="1"/>
    <w:next w:val="4"/>
    <w:unhideWhenUsed/>
    <w:qFormat/>
    <w:uiPriority w:val="0"/>
    <w:pPr>
      <w:spacing w:after="120" w:line="240" w:lineRule="auto"/>
      <w:ind w:firstLine="0" w:firstLineChars="0"/>
    </w:pPr>
    <w:rPr>
      <w:kern w:val="0"/>
      <w:sz w:val="20"/>
      <w:szCs w:val="24"/>
    </w:rPr>
  </w:style>
  <w:style w:type="paragraph" w:customStyle="1" w:styleId="4">
    <w:name w:val="明显引用1"/>
    <w:next w:val="1"/>
    <w:qFormat/>
    <w:uiPriority w:val="0"/>
    <w:pPr>
      <w:wordWrap w:val="0"/>
      <w:spacing w:before="360" w:beforeLines="0" w:after="360" w:afterLines="0"/>
      <w:ind w:left="950" w:right="950"/>
      <w:jc w:val="center"/>
    </w:pPr>
    <w:rPr>
      <w:rFonts w:ascii="Times New Roman" w:hAnsi="Times New Roman" w:eastAsia="宋体" w:cs="Times New Roman"/>
      <w:i/>
      <w:sz w:val="21"/>
      <w:lang w:val="en-US" w:eastAsia="zh-CN" w:bidi="ar-SA"/>
    </w:rPr>
  </w:style>
  <w:style w:type="paragraph" w:styleId="9">
    <w:name w:val="Normal Indent"/>
    <w:basedOn w:val="1"/>
    <w:next w:val="1"/>
    <w:qFormat/>
    <w:uiPriority w:val="0"/>
    <w:pPr>
      <w:ind w:firstLine="420"/>
    </w:pPr>
  </w:style>
  <w:style w:type="paragraph" w:styleId="10">
    <w:name w:val="annotation text"/>
    <w:basedOn w:val="1"/>
    <w:qFormat/>
    <w:uiPriority w:val="0"/>
    <w:pPr>
      <w:widowControl w:val="0"/>
      <w:spacing w:line="360" w:lineRule="auto"/>
      <w:ind w:firstLine="200" w:firstLineChars="200"/>
      <w:jc w:val="left"/>
    </w:pPr>
    <w:rPr>
      <w:rFonts w:ascii="Times New Roman" w:hAnsi="Times New Roman" w:eastAsia="宋体" w:cs="Times New Roman"/>
      <w:kern w:val="2"/>
      <w:sz w:val="24"/>
      <w:szCs w:val="22"/>
      <w:lang w:val="en-US" w:eastAsia="zh-CN" w:bidi="ar-SA"/>
    </w:rPr>
  </w:style>
  <w:style w:type="paragraph" w:styleId="11">
    <w:name w:val="Salutation"/>
    <w:basedOn w:val="1"/>
    <w:next w:val="1"/>
    <w:qFormat/>
    <w:uiPriority w:val="0"/>
    <w:pPr>
      <w:widowControl/>
      <w:jc w:val="left"/>
    </w:pPr>
    <w:rPr>
      <w:kern w:val="0"/>
      <w:sz w:val="24"/>
      <w:szCs w:val="20"/>
    </w:rPr>
  </w:style>
  <w:style w:type="paragraph" w:styleId="12">
    <w:name w:val="Body Text Indent"/>
    <w:basedOn w:val="1"/>
    <w:next w:val="13"/>
    <w:qFormat/>
    <w:uiPriority w:val="0"/>
    <w:pPr>
      <w:spacing w:after="120"/>
      <w:ind w:left="420" w:leftChars="200"/>
    </w:pPr>
    <w:rPr>
      <w:kern w:val="0"/>
      <w:sz w:val="24"/>
      <w:szCs w:val="20"/>
    </w:rPr>
  </w:style>
  <w:style w:type="paragraph" w:styleId="13">
    <w:name w:val="header"/>
    <w:basedOn w:val="1"/>
    <w:next w:val="1"/>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4">
    <w:name w:val="Plain Text"/>
    <w:basedOn w:val="1"/>
    <w:next w:val="15"/>
    <w:qFormat/>
    <w:uiPriority w:val="99"/>
    <w:pPr>
      <w:spacing w:line="240" w:lineRule="auto"/>
      <w:ind w:firstLine="0" w:firstLineChars="0"/>
    </w:pPr>
    <w:rPr>
      <w:rFonts w:ascii="宋体" w:hAnsi="Courier New" w:eastAsia="仿宋_GB2312" w:cs="Times New Roman"/>
      <w:kern w:val="0"/>
      <w:sz w:val="28"/>
      <w:szCs w:val="20"/>
    </w:rPr>
  </w:style>
  <w:style w:type="paragraph" w:customStyle="1" w:styleId="15">
    <w:name w:val="Default"/>
    <w:basedOn w:val="16"/>
    <w:next w:val="1"/>
    <w:qFormat/>
    <w:uiPriority w:val="99"/>
    <w:pPr>
      <w:widowControl w:val="0"/>
      <w:autoSpaceDE w:val="0"/>
      <w:autoSpaceDN w:val="0"/>
      <w:adjustRightInd w:val="0"/>
    </w:pPr>
    <w:rPr>
      <w:rFonts w:ascii="方正小标宋_GBK" w:hAnsi="方正小标宋_GBK" w:eastAsia="方正小标宋_GBK" w:cs="Times New Roman"/>
      <w:color w:val="000000"/>
      <w:sz w:val="24"/>
      <w:lang w:val="en-US" w:eastAsia="zh-CN" w:bidi="ar-SA"/>
    </w:rPr>
  </w:style>
  <w:style w:type="paragraph" w:customStyle="1" w:styleId="16">
    <w:name w:val="纯文本1"/>
    <w:basedOn w:val="1"/>
    <w:qFormat/>
    <w:uiPriority w:val="0"/>
    <w:pPr>
      <w:adjustRightInd w:val="0"/>
      <w:textAlignment w:val="baseline"/>
    </w:pPr>
    <w:rPr>
      <w:rFonts w:ascii="宋体" w:hAnsi="Courier New" w:cs="Courier New"/>
      <w:sz w:val="28"/>
      <w:szCs w:val="21"/>
    </w:rPr>
  </w:style>
  <w:style w:type="paragraph" w:styleId="17">
    <w:name w:val="Body Text Indent 2"/>
    <w:basedOn w:val="1"/>
    <w:qFormat/>
    <w:uiPriority w:val="0"/>
    <w:pPr>
      <w:spacing w:line="440" w:lineRule="exact"/>
      <w:ind w:firstLine="720" w:firstLineChars="300"/>
    </w:pPr>
    <w:rPr>
      <w:rFonts w:ascii="宋体" w:hAnsi="宋体"/>
      <w:color w:val="000000"/>
      <w:sz w:val="24"/>
    </w:rPr>
  </w:style>
  <w:style w:type="paragraph" w:styleId="18">
    <w:name w:val="footer"/>
    <w:basedOn w:val="1"/>
    <w:unhideWhenUsed/>
    <w:qFormat/>
    <w:uiPriority w:val="0"/>
    <w:pPr>
      <w:tabs>
        <w:tab w:val="center" w:pos="4153"/>
        <w:tab w:val="right" w:pos="8306"/>
      </w:tabs>
      <w:snapToGrid w:val="0"/>
      <w:spacing w:line="240" w:lineRule="auto"/>
      <w:jc w:val="left"/>
    </w:pPr>
    <w:rPr>
      <w:sz w:val="18"/>
      <w:szCs w:val="18"/>
    </w:rPr>
  </w:style>
  <w:style w:type="paragraph" w:styleId="19">
    <w:name w:val="toc 1"/>
    <w:basedOn w:val="1"/>
    <w:next w:val="1"/>
    <w:unhideWhenUsed/>
    <w:qFormat/>
    <w:uiPriority w:val="39"/>
  </w:style>
  <w:style w:type="paragraph" w:styleId="20">
    <w:name w:val="index heading"/>
    <w:basedOn w:val="1"/>
    <w:next w:val="21"/>
    <w:qFormat/>
    <w:uiPriority w:val="0"/>
    <w:rPr>
      <w:rFonts w:ascii="Arial" w:hAnsi="Arial"/>
      <w:b/>
    </w:rPr>
  </w:style>
  <w:style w:type="paragraph" w:styleId="21">
    <w:name w:val="index 1"/>
    <w:basedOn w:val="1"/>
    <w:next w:val="1"/>
    <w:qFormat/>
    <w:uiPriority w:val="0"/>
    <w:pPr>
      <w:spacing w:line="240" w:lineRule="exact"/>
      <w:jc w:val="left"/>
    </w:pPr>
    <w:rPr>
      <w:b/>
      <w:kern w:val="0"/>
      <w:szCs w:val="21"/>
    </w:rPr>
  </w:style>
  <w:style w:type="paragraph" w:styleId="22">
    <w:name w:val="List"/>
    <w:basedOn w:val="1"/>
    <w:qFormat/>
    <w:uiPriority w:val="0"/>
    <w:pPr>
      <w:ind w:left="200" w:hanging="200" w:hangingChars="200"/>
      <w:contextualSpacing/>
    </w:pPr>
  </w:style>
  <w:style w:type="paragraph" w:styleId="2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4">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5">
    <w:name w:val="Title"/>
    <w:basedOn w:val="1"/>
    <w:next w:val="1"/>
    <w:qFormat/>
    <w:uiPriority w:val="10"/>
    <w:pPr>
      <w:widowControl/>
      <w:jc w:val="center"/>
      <w:outlineLvl w:val="4"/>
    </w:pPr>
    <w:rPr>
      <w:bCs/>
      <w:szCs w:val="32"/>
    </w:rPr>
  </w:style>
  <w:style w:type="paragraph" w:styleId="26">
    <w:name w:val="Body Text First Indent 2"/>
    <w:basedOn w:val="12"/>
    <w:next w:val="2"/>
    <w:qFormat/>
    <w:uiPriority w:val="0"/>
    <w:pPr>
      <w:widowControl w:val="0"/>
      <w:spacing w:after="120" w:line="240" w:lineRule="auto"/>
      <w:ind w:left="420" w:leftChars="200" w:firstLine="420" w:firstLineChars="200"/>
      <w:jc w:val="both"/>
    </w:pPr>
    <w:rPr>
      <w:rFonts w:ascii="Times New Roman" w:hAnsi="Times New Roman" w:eastAsia="宋体" w:cs="Calibri"/>
      <w:kern w:val="0"/>
      <w:sz w:val="24"/>
      <w:szCs w:val="24"/>
      <w:lang w:val="en-US" w:eastAsia="zh-CN" w:bidi="ar-SA"/>
    </w:rPr>
  </w:style>
  <w:style w:type="table" w:styleId="28">
    <w:name w:val="Table Grid"/>
    <w:basedOn w:val="27"/>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annotation reference"/>
    <w:semiHidden/>
    <w:qFormat/>
    <w:uiPriority w:val="0"/>
    <w:rPr>
      <w:sz w:val="21"/>
    </w:rPr>
  </w:style>
  <w:style w:type="paragraph" w:customStyle="1" w:styleId="32">
    <w:name w:val="1正文段落"/>
    <w:basedOn w:val="1"/>
    <w:qFormat/>
    <w:uiPriority w:val="0"/>
    <w:pPr>
      <w:ind w:firstLine="480"/>
      <w:jc w:val="left"/>
    </w:pPr>
    <w:rPr>
      <w:snapToGrid w:val="0"/>
      <w:kern w:val="0"/>
    </w:rPr>
  </w:style>
  <w:style w:type="paragraph" w:customStyle="1" w:styleId="33">
    <w:name w:val="样式1"/>
    <w:basedOn w:val="20"/>
    <w:next w:val="1"/>
    <w:qFormat/>
    <w:uiPriority w:val="0"/>
    <w:pPr>
      <w:snapToGrid w:val="0"/>
      <w:jc w:val="center"/>
    </w:pPr>
    <w:rPr>
      <w:rFonts w:ascii="宋体"/>
      <w:szCs w:val="20"/>
    </w:rPr>
  </w:style>
  <w:style w:type="paragraph" w:customStyle="1" w:styleId="34">
    <w:name w:val="样式5"/>
    <w:basedOn w:val="35"/>
    <w:next w:val="1"/>
    <w:qFormat/>
    <w:uiPriority w:val="0"/>
    <w:pPr>
      <w:tabs>
        <w:tab w:val="left" w:pos="420"/>
        <w:tab w:val="left" w:pos="1589"/>
      </w:tabs>
      <w:adjustRightInd w:val="0"/>
      <w:spacing w:line="480" w:lineRule="exact"/>
      <w:ind w:firstLine="480"/>
      <w:jc w:val="left"/>
    </w:pPr>
    <w:rPr>
      <w:rFonts w:ascii="宋体" w:hAnsi="宋体"/>
      <w:b/>
      <w:snapToGrid w:val="0"/>
      <w:szCs w:val="24"/>
    </w:rPr>
  </w:style>
  <w:style w:type="paragraph" w:customStyle="1" w:styleId="35">
    <w:name w:val="正文1"/>
    <w:basedOn w:val="1"/>
    <w:next w:val="1"/>
    <w:qFormat/>
    <w:uiPriority w:val="0"/>
    <w:pPr>
      <w:snapToGrid w:val="0"/>
      <w:spacing w:line="270" w:lineRule="exact"/>
      <w:jc w:val="center"/>
    </w:pPr>
    <w:rPr>
      <w:spacing w:val="8"/>
      <w:kern w:val="21"/>
      <w:szCs w:val="20"/>
    </w:rPr>
  </w:style>
  <w:style w:type="paragraph" w:customStyle="1" w:styleId="36">
    <w:name w:val="_Style 4"/>
    <w:basedOn w:val="5"/>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37">
    <w:name w:val="表格内容"/>
    <w:basedOn w:val="38"/>
    <w:next w:val="1"/>
    <w:qFormat/>
    <w:uiPriority w:val="0"/>
    <w:pPr>
      <w:keepNext/>
      <w:overflowPunct w:val="0"/>
      <w:adjustRightInd w:val="0"/>
      <w:jc w:val="center"/>
      <w:textAlignment w:val="baseline"/>
    </w:pPr>
    <w:rPr>
      <w:rFonts w:ascii="宋体" w:hAnsi="Arial"/>
      <w:sz w:val="24"/>
      <w:lang w:val="en-US" w:eastAsia="zh-CN" w:bidi="ar-SA"/>
    </w:rPr>
  </w:style>
  <w:style w:type="paragraph" w:customStyle="1" w:styleId="38">
    <w:name w:val="+正文"/>
    <w:basedOn w:val="1"/>
    <w:qFormat/>
    <w:uiPriority w:val="0"/>
    <w:pPr>
      <w:spacing w:line="360" w:lineRule="auto"/>
      <w:ind w:firstLine="200" w:firstLineChars="200"/>
    </w:pPr>
    <w:rPr>
      <w:kern w:val="0"/>
      <w:sz w:val="28"/>
      <w:szCs w:val="28"/>
    </w:rPr>
  </w:style>
  <w:style w:type="paragraph" w:customStyle="1" w:styleId="39">
    <w:name w:val="注解"/>
    <w:basedOn w:val="5"/>
    <w:qFormat/>
    <w:uiPriority w:val="0"/>
    <w:pPr>
      <w:widowControl w:val="0"/>
      <w:jc w:val="both"/>
    </w:pPr>
    <w:rPr>
      <w:rFonts w:ascii="宋体" w:hAnsi="Arial Black"/>
      <w:kern w:val="2"/>
      <w:sz w:val="15"/>
      <w:lang w:val="en-US" w:eastAsia="zh-CN" w:bidi="ar-SA"/>
    </w:rPr>
  </w:style>
  <w:style w:type="paragraph" w:customStyle="1" w:styleId="40">
    <w:name w:val="表格内容 GH"/>
    <w:basedOn w:val="1"/>
    <w:qFormat/>
    <w:uiPriority w:val="0"/>
    <w:pPr>
      <w:adjustRightInd w:val="0"/>
      <w:snapToGrid w:val="0"/>
      <w:spacing w:line="240" w:lineRule="auto"/>
      <w:ind w:firstLine="0" w:firstLineChars="0"/>
      <w:jc w:val="center"/>
    </w:pPr>
    <w:rPr>
      <w:rFonts w:ascii="Times" w:hAnsi="Times" w:cs="Times New Roman"/>
      <w:sz w:val="21"/>
      <w:szCs w:val="21"/>
    </w:rPr>
  </w:style>
  <w:style w:type="paragraph" w:customStyle="1" w:styleId="41">
    <w:name w:val="表格/图表标题"/>
    <w:next w:val="1"/>
    <w:qFormat/>
    <w:uiPriority w:val="0"/>
    <w:pPr>
      <w:widowControl w:val="0"/>
      <w:spacing w:beforeLines="50"/>
      <w:jc w:val="center"/>
    </w:pPr>
    <w:rPr>
      <w:rFonts w:ascii="Calibri" w:hAnsi="Calibri" w:eastAsia="宋体" w:cs="Times New Roman"/>
      <w:b/>
      <w:bCs/>
      <w:sz w:val="22"/>
      <w:lang w:val="en-US" w:eastAsia="zh-CN" w:bidi="ar-SA"/>
    </w:rPr>
  </w:style>
  <w:style w:type="paragraph" w:customStyle="1" w:styleId="42">
    <w:name w:val="表格111111111"/>
    <w:qFormat/>
    <w:uiPriority w:val="0"/>
    <w:pPr>
      <w:keepNext/>
      <w:widowControl w:val="0"/>
      <w:adjustRightInd w:val="0"/>
      <w:snapToGrid w:val="0"/>
      <w:jc w:val="center"/>
      <w:textAlignment w:val="baseline"/>
    </w:pPr>
    <w:rPr>
      <w:rFonts w:ascii="Times New Roman" w:hAnsi="Times New Roman" w:eastAsia="宋体" w:cs="宋体"/>
      <w:sz w:val="21"/>
      <w:lang w:val="en-US" w:eastAsia="zh-CN" w:bidi="ar-SA"/>
    </w:rPr>
  </w:style>
  <w:style w:type="paragraph" w:customStyle="1" w:styleId="43">
    <w:name w:val="表格"/>
    <w:next w:val="1"/>
    <w:qFormat/>
    <w:uiPriority w:val="0"/>
    <w:pPr>
      <w:widowControl w:val="0"/>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44">
    <w:name w:val="SC正文"/>
    <w:qFormat/>
    <w:uiPriority w:val="0"/>
    <w:pPr>
      <w:widowControl w:val="0"/>
      <w:adjustRightInd w:val="0"/>
      <w:snapToGrid w:val="0"/>
      <w:spacing w:line="324" w:lineRule="auto"/>
      <w:ind w:firstLine="560" w:firstLineChars="200"/>
      <w:jc w:val="both"/>
    </w:pPr>
    <w:rPr>
      <w:rFonts w:ascii="仿宋_GB2312" w:hAnsi="Times New Roman" w:eastAsia="仿宋_GB2312" w:cs="Calibri"/>
      <w:color w:val="0000FF"/>
      <w:kern w:val="2"/>
      <w:sz w:val="24"/>
      <w:szCs w:val="28"/>
      <w:lang w:val="en-US" w:eastAsia="zh-CN" w:bidi="ar-SA"/>
    </w:rPr>
  </w:style>
  <w:style w:type="paragraph" w:customStyle="1" w:styleId="45">
    <w:name w:val="SC表头"/>
    <w:qFormat/>
    <w:uiPriority w:val="0"/>
    <w:pPr>
      <w:widowControl w:val="0"/>
      <w:adjustRightInd w:val="0"/>
      <w:snapToGrid w:val="0"/>
      <w:spacing w:line="240" w:lineRule="auto"/>
      <w:jc w:val="center"/>
    </w:pPr>
    <w:rPr>
      <w:rFonts w:ascii="仿宋_GB2312" w:hAnsi="Times New Roman" w:eastAsia="仿宋_GB2312" w:cs="Calibri"/>
      <w:b/>
      <w:color w:val="0000FF"/>
      <w:kern w:val="2"/>
      <w:sz w:val="24"/>
      <w:lang w:val="en-US" w:eastAsia="zh-CN" w:bidi="ar-SA"/>
    </w:rPr>
  </w:style>
  <w:style w:type="paragraph" w:styleId="46">
    <w:name w:val="No Spacing"/>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47">
    <w:name w:val="段落正文"/>
    <w:qFormat/>
    <w:uiPriority w:val="0"/>
    <w:pPr>
      <w:widowControl w:val="0"/>
      <w:spacing w:line="360" w:lineRule="auto"/>
      <w:ind w:firstLine="480" w:firstLineChars="200"/>
      <w:jc w:val="both"/>
    </w:pPr>
    <w:rPr>
      <w:rFonts w:ascii="Times New Roman" w:hAnsi="Times New Roman" w:eastAsia="宋体" w:cs="宋体"/>
      <w:kern w:val="2"/>
      <w:sz w:val="24"/>
      <w:szCs w:val="20"/>
      <w:lang w:val="en-US" w:eastAsia="zh-CN" w:bidi="ar-SA"/>
    </w:rPr>
  </w:style>
  <w:style w:type="table" w:customStyle="1" w:styleId="48">
    <w:name w:val="Table Normal1"/>
    <w:qFormat/>
    <w:uiPriority w:val="0"/>
    <w:rPr>
      <w:rFonts w:eastAsia="Times New Roman"/>
      <w:kern w:val="2"/>
      <w:sz w:val="21"/>
      <w:szCs w:val="22"/>
    </w:rPr>
    <w:tblPr>
      <w:tblCellMar>
        <w:top w:w="0" w:type="dxa"/>
        <w:left w:w="0" w:type="dxa"/>
        <w:bottom w:w="0" w:type="dxa"/>
        <w:right w:w="0" w:type="dxa"/>
      </w:tblCellMar>
    </w:tblPr>
  </w:style>
  <w:style w:type="paragraph" w:customStyle="1" w:styleId="49">
    <w:name w:val="Table Paragraph"/>
    <w:basedOn w:val="1"/>
    <w:qFormat/>
    <w:uiPriority w:val="0"/>
  </w:style>
  <w:style w:type="character" w:customStyle="1" w:styleId="50">
    <w:name w:val="标题 3 Char"/>
    <w:basedOn w:val="29"/>
    <w:qFormat/>
    <w:uiPriority w:val="0"/>
    <w:rPr>
      <w:szCs w:val="20"/>
    </w:rPr>
  </w:style>
  <w:style w:type="table" w:customStyle="1" w:styleId="51">
    <w:name w:val="Table Normal"/>
    <w:semiHidden/>
    <w:unhideWhenUsed/>
    <w:qFormat/>
    <w:uiPriority w:val="0"/>
    <w:tblPr>
      <w:tblCellMar>
        <w:top w:w="0" w:type="dxa"/>
        <w:left w:w="0" w:type="dxa"/>
        <w:bottom w:w="0" w:type="dxa"/>
        <w:right w:w="0" w:type="dxa"/>
      </w:tblCellMar>
    </w:tblPr>
  </w:style>
  <w:style w:type="paragraph" w:customStyle="1" w:styleId="52">
    <w:name w:val="样式 首行缩进"/>
    <w:basedOn w:val="1"/>
    <w:qFormat/>
    <w:uiPriority w:val="0"/>
    <w:pPr>
      <w:spacing w:before="60" w:after="60"/>
    </w:pPr>
    <w:rPr>
      <w:rFonts w:cs="宋体"/>
      <w:szCs w:val="20"/>
    </w:rPr>
  </w:style>
  <w:style w:type="paragraph" w:customStyle="1" w:styleId="53">
    <w:name w:val="正文啦"/>
    <w:qFormat/>
    <w:uiPriority w:val="0"/>
    <w:pPr>
      <w:widowControl w:val="0"/>
      <w:ind w:firstLine="1440"/>
      <w:jc w:val="both"/>
    </w:pPr>
    <w:rPr>
      <w:rFonts w:ascii="Times New Roman" w:hAnsi="Times New Roman" w:eastAsia="Times New Roman" w:cs="Times New Roman"/>
      <w:kern w:val="0"/>
      <w:sz w:val="21"/>
      <w:szCs w:val="24"/>
      <w:lang w:val="en-US" w:eastAsia="zh-CN" w:bidi="ar-SA"/>
    </w:rPr>
  </w:style>
  <w:style w:type="paragraph" w:customStyle="1" w:styleId="54">
    <w:name w:val="表内文字"/>
    <w:qFormat/>
    <w:uiPriority w:val="0"/>
    <w:pPr>
      <w:widowControl w:val="0"/>
      <w:jc w:val="center"/>
    </w:pPr>
    <w:rPr>
      <w:rFonts w:ascii="Times New Roman" w:hAnsi="Times New Roman" w:eastAsia="Times New Roman" w:cs="Times New Roman"/>
      <w:kern w:val="44"/>
      <w:sz w:val="20"/>
      <w:szCs w:val="24"/>
      <w:lang w:val="en-US" w:eastAsia="zh-CN" w:bidi="ar-SA"/>
    </w:rPr>
  </w:style>
  <w:style w:type="paragraph" w:customStyle="1" w:styleId="55">
    <w:name w:val="样式 样式 样式 小四 首行缩进:  2.25 字符 + 首行缩进:  2.25 字符 + 首行缩进:  2 字符"/>
    <w:basedOn w:val="56"/>
    <w:qFormat/>
    <w:uiPriority w:val="0"/>
  </w:style>
  <w:style w:type="paragraph" w:customStyle="1" w:styleId="56">
    <w:name w:val="样式 样式 小四 首行缩进:  2.25 字符 + 首行缩进:  2.25 字符"/>
    <w:basedOn w:val="57"/>
    <w:qFormat/>
    <w:uiPriority w:val="0"/>
  </w:style>
  <w:style w:type="paragraph" w:customStyle="1" w:styleId="57">
    <w:name w:val="样式 小四 首行缩进:  2.25 字符"/>
    <w:basedOn w:val="1"/>
    <w:qFormat/>
    <w:uiPriority w:val="0"/>
    <w:pPr>
      <w:spacing w:line="440" w:lineRule="exact"/>
      <w:ind w:firstLine="200" w:firstLineChars="200"/>
    </w:pPr>
    <w:rPr>
      <w:rFonts w:ascii="Times New Roman" w:hAnsi="Times New Roman" w:eastAsia="宋体"/>
      <w:sz w:val="24"/>
      <w:szCs w:val="20"/>
    </w:rPr>
  </w:style>
  <w:style w:type="paragraph" w:customStyle="1" w:styleId="58">
    <w:name w:val="表头"/>
    <w:basedOn w:val="1"/>
    <w:qFormat/>
    <w:uiPriority w:val="0"/>
    <w:pPr>
      <w:adjustRightInd w:val="0"/>
      <w:spacing w:line="240" w:lineRule="auto"/>
      <w:jc w:val="center"/>
      <w:textAlignment w:val="baseline"/>
    </w:pPr>
    <w:rPr>
      <w:b/>
      <w:bCs/>
      <w:kern w:val="0"/>
      <w:sz w:val="21"/>
      <w:szCs w:val="21"/>
    </w:rPr>
  </w:style>
  <w:style w:type="character" w:customStyle="1" w:styleId="59">
    <w:name w:val="正文（首行缩进两字） Char"/>
    <w:qFormat/>
    <w:uiPriority w:val="0"/>
    <w:rPr>
      <w:rFonts w:eastAsia="宋体"/>
      <w:kern w:val="2"/>
      <w:sz w:val="24"/>
      <w:lang w:val="en-US" w:eastAsia="zh-CN"/>
    </w:rPr>
  </w:style>
  <w:style w:type="paragraph" w:customStyle="1" w:styleId="60">
    <w:name w:val="报告正文"/>
    <w:basedOn w:val="1"/>
    <w:qFormat/>
    <w:uiPriority w:val="0"/>
    <w:pPr>
      <w:adjustRightInd w:val="0"/>
      <w:snapToGrid w:val="0"/>
      <w:spacing w:before="120" w:beforeLines="50" w:after="120" w:afterLines="50"/>
    </w:pPr>
    <w:rPr>
      <w:rFonts w:ascii="Times New Roman" w:eastAsia="宋体"/>
      <w:spacing w:val="4"/>
      <w:kern w:val="2"/>
      <w:sz w:val="24"/>
      <w:szCs w:val="24"/>
    </w:rPr>
  </w:style>
  <w:style w:type="paragraph" w:customStyle="1" w:styleId="61">
    <w:name w:val="封面2"/>
    <w:next w:val="1"/>
    <w:qFormat/>
    <w:uiPriority w:val="0"/>
    <w:pPr>
      <w:keepNext/>
      <w:widowControl/>
      <w:spacing w:line="360" w:lineRule="auto"/>
      <w:jc w:val="center"/>
    </w:pPr>
    <w:rPr>
      <w:rFonts w:ascii="Times New Roman" w:hAnsi="Times New Roman" w:eastAsia="宋体" w:cs="Times New Roman"/>
      <w:b/>
      <w:bCs/>
      <w:kern w:val="2"/>
      <w:sz w:val="84"/>
      <w:szCs w:val="84"/>
      <w:lang w:val="en-US" w:eastAsia="zh-CN" w:bidi="ar-SA"/>
    </w:rPr>
  </w:style>
  <w:style w:type="paragraph" w:customStyle="1" w:styleId="62">
    <w:name w:val="缩进"/>
    <w:basedOn w:val="1"/>
    <w:qFormat/>
    <w:uiPriority w:val="0"/>
    <w:pPr>
      <w:autoSpaceDE w:val="0"/>
      <w:autoSpaceDN w:val="0"/>
      <w:adjustRightInd w:val="0"/>
      <w:spacing w:line="400" w:lineRule="atLeast"/>
      <w:ind w:firstLine="200" w:firstLineChars="200"/>
      <w:textAlignment w:val="baseline"/>
    </w:pPr>
    <w:rPr>
      <w:rFonts w:ascii="Times New Roman" w:hAnsi="Times New Roman"/>
      <w:kern w:val="0"/>
      <w:sz w:val="24"/>
      <w:szCs w:val="20"/>
    </w:rPr>
  </w:style>
  <w:style w:type="paragraph" w:customStyle="1" w:styleId="63">
    <w:name w:val="表格小四"/>
    <w:basedOn w:val="1"/>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2"/>
      <w:sz w:val="24"/>
      <w:szCs w:val="20"/>
      <w:lang w:val="en-US" w:eastAsia="zh-CN" w:bidi="ar"/>
    </w:rPr>
  </w:style>
  <w:style w:type="paragraph" w:customStyle="1" w:styleId="64">
    <w:name w:val="表格标题"/>
    <w:basedOn w:val="1"/>
    <w:qFormat/>
    <w:uiPriority w:val="0"/>
    <w:pPr>
      <w:adjustRightInd w:val="0"/>
      <w:snapToGrid w:val="0"/>
      <w:jc w:val="center"/>
    </w:pPr>
    <w:rPr>
      <w:sz w:val="24"/>
      <w:szCs w:val="22"/>
    </w:rPr>
  </w:style>
  <w:style w:type="paragraph" w:customStyle="1" w:styleId="65">
    <w:name w:val="文章"/>
    <w:basedOn w:val="1"/>
    <w:qFormat/>
    <w:uiPriority w:val="0"/>
    <w:pPr>
      <w:spacing w:line="360" w:lineRule="auto"/>
      <w:ind w:firstLine="200" w:firstLineChars="200"/>
    </w:pPr>
    <w:rPr>
      <w:rFonts w:cs="宋体"/>
      <w:bCs/>
      <w:color w:val="000000"/>
    </w:rPr>
  </w:style>
  <w:style w:type="character" w:customStyle="1" w:styleId="66">
    <w:name w:val="内容 Char"/>
    <w:link w:val="67"/>
    <w:qFormat/>
    <w:locked/>
    <w:uiPriority w:val="0"/>
    <w:rPr>
      <w:rFonts w:cs="Times New Roman"/>
      <w:color w:val="000000"/>
      <w:sz w:val="24"/>
    </w:rPr>
  </w:style>
  <w:style w:type="paragraph" w:customStyle="1" w:styleId="67">
    <w:name w:val="内容"/>
    <w:basedOn w:val="1"/>
    <w:link w:val="66"/>
    <w:qFormat/>
    <w:uiPriority w:val="0"/>
    <w:pPr>
      <w:spacing w:before="156" w:beforeLines="50" w:after="156" w:afterLines="50"/>
      <w:ind w:firstLine="200" w:firstLineChars="200"/>
    </w:pPr>
    <w:rPr>
      <w:rFonts w:cs="Times New Roman"/>
      <w:color w:val="000000"/>
      <w:sz w:val="24"/>
    </w:rPr>
  </w:style>
  <w:style w:type="paragraph" w:customStyle="1" w:styleId="68">
    <w:name w:val="赵"/>
    <w:basedOn w:val="1"/>
    <w:qFormat/>
    <w:uiPriority w:val="0"/>
    <w:pPr>
      <w:widowControl/>
      <w:tabs>
        <w:tab w:val="left" w:pos="540"/>
        <w:tab w:val="left" w:pos="851"/>
        <w:tab w:val="left" w:pos="994"/>
        <w:tab w:val="left" w:pos="1260"/>
        <w:tab w:val="left" w:pos="3108"/>
        <w:tab w:val="left" w:pos="3150"/>
      </w:tabs>
      <w:adjustRightInd w:val="0"/>
      <w:spacing w:line="360" w:lineRule="auto"/>
      <w:ind w:firstLine="200" w:firstLineChars="200"/>
    </w:pPr>
    <w:rPr>
      <w:color w:val="000000"/>
      <w:kern w:val="32"/>
      <w:sz w:val="24"/>
      <w:szCs w:val="28"/>
    </w:rPr>
  </w:style>
  <w:style w:type="paragraph" w:customStyle="1" w:styleId="69">
    <w:name w:val="三级标题"/>
    <w:basedOn w:val="1"/>
    <w:next w:val="13"/>
    <w:qFormat/>
    <w:uiPriority w:val="0"/>
    <w:pPr>
      <w:adjustRightInd w:val="0"/>
      <w:jc w:val="center"/>
    </w:pPr>
    <w:rPr>
      <w:bCs/>
      <w:szCs w:val="21"/>
    </w:rPr>
  </w:style>
  <w:style w:type="paragraph" w:customStyle="1" w:styleId="70">
    <w:name w:val="ice表头"/>
    <w:qFormat/>
    <w:uiPriority w:val="0"/>
    <w:pPr>
      <w:widowControl/>
      <w:spacing w:line="240" w:lineRule="auto"/>
      <w:ind w:firstLine="0" w:firstLineChars="0"/>
      <w:jc w:val="center"/>
      <w:outlineLvl w:val="4"/>
    </w:pPr>
    <w:rPr>
      <w:rFonts w:ascii="宋体" w:hAnsi="宋体" w:eastAsia="宋体" w:cs="宋体"/>
      <w:b/>
      <w:kern w:val="0"/>
      <w:sz w:val="24"/>
      <w:szCs w:val="21"/>
      <w:lang w:val="en-US" w:eastAsia="zh-CN" w:bidi="ar-SA"/>
    </w:rPr>
  </w:style>
  <w:style w:type="paragraph" w:customStyle="1" w:styleId="71">
    <w:name w:val="p19"/>
    <w:basedOn w:val="1"/>
    <w:qFormat/>
    <w:uiPriority w:val="99"/>
    <w:pPr>
      <w:widowControl/>
      <w:jc w:val="left"/>
    </w:pPr>
    <w:rPr>
      <w:rFonts w:ascii="Arial Unicode MS" w:hAnsi="Arial Unicode MS" w:eastAsia="Arial Unicode MS" w:cs="Arial Unicode MS"/>
      <w:kern w:val="0"/>
      <w:sz w:val="24"/>
    </w:rPr>
  </w:style>
  <w:style w:type="paragraph" w:customStyle="1" w:styleId="72">
    <w:name w:val="ice表内"/>
    <w:basedOn w:val="1"/>
    <w:qFormat/>
    <w:uiPriority w:val="0"/>
    <w:pPr>
      <w:widowControl/>
      <w:spacing w:line="240" w:lineRule="auto"/>
      <w:ind w:firstLine="0" w:firstLineChars="0"/>
      <w:jc w:val="center"/>
    </w:pPr>
    <w:rPr>
      <w:rFonts w:cs="宋体"/>
      <w:color w:val="000000"/>
      <w:kern w:val="0"/>
      <w:sz w:val="21"/>
    </w:rPr>
  </w:style>
  <w:style w:type="paragraph" w:customStyle="1" w:styleId="73">
    <w:name w:val="ice表头、图头"/>
    <w:next w:val="1"/>
    <w:qFormat/>
    <w:uiPriority w:val="0"/>
    <w:pPr>
      <w:spacing w:before="20" w:beforeLines="20" w:after="15" w:afterLines="15"/>
      <w:jc w:val="center"/>
      <w:outlineLvl w:val="5"/>
    </w:pPr>
    <w:rPr>
      <w:rFonts w:ascii="Times New Roman" w:hAnsi="Times New Roman" w:eastAsia="宋体" w:cs="Times New Roman"/>
      <w:b/>
      <w:kern w:val="2"/>
      <w:sz w:val="24"/>
      <w:szCs w:val="24"/>
      <w:lang w:val="en-US" w:eastAsia="zh-CN" w:bidi="ar-SA"/>
    </w:rPr>
  </w:style>
  <w:style w:type="paragraph" w:customStyle="1" w:styleId="74">
    <w:name w:val="Table Text"/>
    <w:basedOn w:val="1"/>
    <w:semiHidden/>
    <w:qFormat/>
    <w:uiPriority w:val="0"/>
    <w:rPr>
      <w:rFonts w:ascii="宋体" w:hAnsi="宋体" w:eastAsia="宋体" w:cs="宋体"/>
      <w:sz w:val="24"/>
      <w:szCs w:val="24"/>
      <w:lang w:val="en-US" w:eastAsia="en-US" w:bidi="ar-SA"/>
    </w:rPr>
  </w:style>
  <w:style w:type="paragraph" w:customStyle="1" w:styleId="75">
    <w:name w:val="大风丫口正文"/>
    <w:basedOn w:val="1"/>
    <w:qFormat/>
    <w:uiPriority w:val="0"/>
    <w:pPr>
      <w:spacing w:line="360" w:lineRule="auto"/>
      <w:ind w:firstLine="200" w:firstLineChars="200"/>
    </w:pPr>
    <w:rPr>
      <w:spacing w:val="1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100</Pages>
  <Words>13745</Words>
  <Characters>14485</Characters>
  <Lines>1</Lines>
  <Paragraphs>1</Paragraphs>
  <TotalTime>10</TotalTime>
  <ScaleCrop>false</ScaleCrop>
  <LinksUpToDate>false</LinksUpToDate>
  <CharactersWithSpaces>14545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2021-02-25T07:44:00Z</dcterms:created>
  <dc:creator>aa</dc:creator>
  <cp:lastModifiedBy>刘变香</cp:lastModifiedBy>
  <cp:lastPrinted>2022-07-07T03:52:00Z</cp:lastPrinted>
  <dcterms:modified xsi:type="dcterms:W3CDTF">2025-04-15T08:23:47Z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E328AE57079C4B7CA977BB1099DF9272</vt:lpwstr>
  </property>
</Properties>
</file>